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F236137" w14:textId="79770143" w:rsidR="00D63A11" w:rsidRPr="00D63A11" w:rsidRDefault="00803DD1" w:rsidP="00000380">
          <w:pPr>
            <w:pStyle w:val="Title"/>
          </w:pPr>
          <w:r>
            <w:rPr>
              <w:rStyle w:val="TitleChar"/>
            </w:rPr>
            <w:t>Enrolment procedures</w:t>
          </w:r>
        </w:p>
      </w:sdtContent>
    </w:sdt>
    <w:p w14:paraId="473E8472" w14:textId="77777777" w:rsidR="00D63A11" w:rsidRPr="00D63A11" w:rsidRDefault="00D63A11" w:rsidP="00D63A11"/>
    <w:p w14:paraId="7CE564A8" w14:textId="77777777" w:rsidR="00D63A11" w:rsidRPr="00D63A11" w:rsidRDefault="00D63A11" w:rsidP="00D63A11"/>
    <w:p w14:paraId="29E7E8AA" w14:textId="77777777" w:rsidR="00D63A11" w:rsidRPr="00D63A11" w:rsidRDefault="00D63A11" w:rsidP="00D63A11"/>
    <w:p w14:paraId="5D7171BF" w14:textId="77777777" w:rsidR="00D63A11" w:rsidRPr="00D63A11" w:rsidRDefault="00D63A11" w:rsidP="00D63A11"/>
    <w:p w14:paraId="0DF7581E" w14:textId="77777777" w:rsidR="00D63A11" w:rsidRPr="00D63A11" w:rsidRDefault="00D63A11" w:rsidP="00D63A11"/>
    <w:p w14:paraId="39964F2D" w14:textId="77777777" w:rsidR="00D63A11" w:rsidRPr="00D63A11" w:rsidRDefault="00D63A11" w:rsidP="00D63A11"/>
    <w:p w14:paraId="7952EB08" w14:textId="77777777" w:rsidR="00D63A11" w:rsidRPr="00D63A11" w:rsidRDefault="00D63A11" w:rsidP="00D63A11"/>
    <w:p w14:paraId="55F2958C" w14:textId="77777777" w:rsidR="00D63A11" w:rsidRPr="00D63A11" w:rsidRDefault="00D63A11" w:rsidP="00D63A11"/>
    <w:p w14:paraId="3A33A7C5" w14:textId="77777777" w:rsidR="00D63A11" w:rsidRPr="00D63A11" w:rsidRDefault="00D63A11" w:rsidP="00D63A11"/>
    <w:p w14:paraId="2FC4DCDA" w14:textId="77777777" w:rsidR="00D63A11" w:rsidRPr="00D63A11" w:rsidRDefault="00D63A11" w:rsidP="00D63A11"/>
    <w:p w14:paraId="38E7B138" w14:textId="77777777" w:rsidR="00D63A11" w:rsidRPr="00D63A11" w:rsidRDefault="00D63A11" w:rsidP="00D63A11"/>
    <w:p w14:paraId="6026C351" w14:textId="77777777" w:rsidR="00D63A11" w:rsidRPr="00D63A11" w:rsidRDefault="00D63A11" w:rsidP="00D63A11"/>
    <w:p w14:paraId="470FCD79" w14:textId="77777777" w:rsidR="00D63A11" w:rsidRPr="00D63A11" w:rsidRDefault="00D63A11" w:rsidP="00D63A11"/>
    <w:p w14:paraId="75D75A24" w14:textId="77777777" w:rsidR="00D63A11" w:rsidRPr="00D63A11" w:rsidRDefault="00D63A11" w:rsidP="00D63A11"/>
    <w:p w14:paraId="56B066DE" w14:textId="77777777" w:rsidR="00D63A11" w:rsidRPr="00D63A11" w:rsidRDefault="00D63A11" w:rsidP="00D63A11"/>
    <w:p w14:paraId="3845330A" w14:textId="77777777" w:rsidR="00D63A11" w:rsidRPr="00D63A11" w:rsidRDefault="00D63A11" w:rsidP="00D63A11"/>
    <w:p w14:paraId="6405A26D" w14:textId="77777777" w:rsidR="00D63A11" w:rsidRPr="00D63A11" w:rsidRDefault="00D63A11" w:rsidP="00D63A11"/>
    <w:p w14:paraId="5CBFD0EE" w14:textId="77777777" w:rsidR="00D63A11" w:rsidRPr="00D63A11" w:rsidRDefault="00D63A11" w:rsidP="00D63A11"/>
    <w:p w14:paraId="50EA6394" w14:textId="7A2F02FC" w:rsidR="00D63A11" w:rsidRPr="00D63A11" w:rsidRDefault="00D63A11" w:rsidP="00D63A11">
      <w:pPr>
        <w:tabs>
          <w:tab w:val="left" w:pos="8456"/>
        </w:tabs>
      </w:pPr>
      <w:r>
        <w:tab/>
      </w:r>
    </w:p>
    <w:p w14:paraId="161DE1BA" w14:textId="78F56BA1" w:rsidR="00D63A11" w:rsidRPr="00D63A11" w:rsidRDefault="00D63A11" w:rsidP="00D63A11">
      <w:pPr>
        <w:tabs>
          <w:tab w:val="left" w:pos="8456"/>
        </w:tabs>
        <w:sectPr w:rsidR="00D63A11" w:rsidRPr="00D63A11"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r>
        <w:tab/>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p>
        <w:p w14:paraId="51701508" w14:textId="1749CA73" w:rsidR="00F5477F"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94928344" w:history="1">
            <w:r w:rsidR="00F5477F" w:rsidRPr="00664BFC">
              <w:rPr>
                <w:rStyle w:val="Hyperlink"/>
                <w:noProof/>
                <w:lang w:eastAsia="en-AU"/>
              </w:rPr>
              <w:t>1. Policy statement</w:t>
            </w:r>
            <w:r w:rsidR="00F5477F">
              <w:rPr>
                <w:noProof/>
                <w:webHidden/>
              </w:rPr>
              <w:tab/>
            </w:r>
            <w:r w:rsidR="00F5477F">
              <w:rPr>
                <w:noProof/>
                <w:webHidden/>
              </w:rPr>
              <w:fldChar w:fldCharType="begin"/>
            </w:r>
            <w:r w:rsidR="00F5477F">
              <w:rPr>
                <w:noProof/>
                <w:webHidden/>
              </w:rPr>
              <w:instrText xml:space="preserve"> PAGEREF _Toc194928344 \h </w:instrText>
            </w:r>
            <w:r w:rsidR="00F5477F">
              <w:rPr>
                <w:noProof/>
                <w:webHidden/>
              </w:rPr>
            </w:r>
            <w:r w:rsidR="00F5477F">
              <w:rPr>
                <w:noProof/>
                <w:webHidden/>
              </w:rPr>
              <w:fldChar w:fldCharType="separate"/>
            </w:r>
            <w:r w:rsidR="00C54AB1">
              <w:rPr>
                <w:noProof/>
                <w:webHidden/>
              </w:rPr>
              <w:t>3</w:t>
            </w:r>
            <w:r w:rsidR="00F5477F">
              <w:rPr>
                <w:noProof/>
                <w:webHidden/>
              </w:rPr>
              <w:fldChar w:fldCharType="end"/>
            </w:r>
          </w:hyperlink>
        </w:p>
        <w:p w14:paraId="53E3A9B3" w14:textId="36C6BE50" w:rsidR="00F5477F" w:rsidRDefault="00027E8D">
          <w:pPr>
            <w:pStyle w:val="TOC1"/>
            <w:rPr>
              <w:rFonts w:asciiTheme="minorHAnsi" w:eastAsiaTheme="minorEastAsia" w:hAnsiTheme="minorHAnsi" w:cstheme="minorBidi"/>
              <w:b w:val="0"/>
              <w:noProof/>
              <w:kern w:val="2"/>
              <w:sz w:val="24"/>
              <w:szCs w:val="24"/>
              <w:lang w:eastAsia="en-AU"/>
              <w14:ligatures w14:val="standardContextual"/>
            </w:rPr>
          </w:pPr>
          <w:hyperlink w:anchor="_Toc194928345" w:history="1">
            <w:r w:rsidR="00F5477F" w:rsidRPr="00664BFC">
              <w:rPr>
                <w:rStyle w:val="Hyperlink"/>
                <w:noProof/>
                <w:lang w:eastAsia="en-AU"/>
              </w:rPr>
              <w:t>2. Procedures for enrolment</w:t>
            </w:r>
            <w:r w:rsidR="00F5477F">
              <w:rPr>
                <w:noProof/>
                <w:webHidden/>
              </w:rPr>
              <w:tab/>
            </w:r>
            <w:r w:rsidR="00F5477F">
              <w:rPr>
                <w:noProof/>
                <w:webHidden/>
              </w:rPr>
              <w:fldChar w:fldCharType="begin"/>
            </w:r>
            <w:r w:rsidR="00F5477F">
              <w:rPr>
                <w:noProof/>
                <w:webHidden/>
              </w:rPr>
              <w:instrText xml:space="preserve"> PAGEREF _Toc194928345 \h </w:instrText>
            </w:r>
            <w:r w:rsidR="00F5477F">
              <w:rPr>
                <w:noProof/>
                <w:webHidden/>
              </w:rPr>
            </w:r>
            <w:r w:rsidR="00F5477F">
              <w:rPr>
                <w:noProof/>
                <w:webHidden/>
              </w:rPr>
              <w:fldChar w:fldCharType="separate"/>
            </w:r>
            <w:r w:rsidR="00C54AB1">
              <w:rPr>
                <w:noProof/>
                <w:webHidden/>
              </w:rPr>
              <w:t>3</w:t>
            </w:r>
            <w:r w:rsidR="00F5477F">
              <w:rPr>
                <w:noProof/>
                <w:webHidden/>
              </w:rPr>
              <w:fldChar w:fldCharType="end"/>
            </w:r>
          </w:hyperlink>
        </w:p>
        <w:p w14:paraId="5FF2110A" w14:textId="4514719F" w:rsidR="00F5477F" w:rsidRDefault="00027E8D">
          <w:pPr>
            <w:pStyle w:val="TOC2"/>
            <w:rPr>
              <w:rFonts w:asciiTheme="minorHAnsi" w:eastAsiaTheme="minorEastAsia" w:hAnsiTheme="minorHAnsi" w:cstheme="minorBidi"/>
              <w:noProof/>
              <w:kern w:val="2"/>
              <w:sz w:val="24"/>
              <w:szCs w:val="24"/>
              <w:lang w:eastAsia="en-AU"/>
              <w14:ligatures w14:val="standardContextual"/>
            </w:rPr>
          </w:pPr>
          <w:hyperlink w:anchor="_Toc194928346" w:history="1">
            <w:r w:rsidR="00F5477F" w:rsidRPr="00664BFC">
              <w:rPr>
                <w:rStyle w:val="Hyperlink"/>
                <w:noProof/>
              </w:rPr>
              <w:t>2.1. Parents of children, children living independently, and mature age students</w:t>
            </w:r>
            <w:r w:rsidR="00F5477F">
              <w:rPr>
                <w:noProof/>
                <w:webHidden/>
              </w:rPr>
              <w:tab/>
            </w:r>
            <w:r w:rsidR="00F5477F">
              <w:rPr>
                <w:noProof/>
                <w:webHidden/>
              </w:rPr>
              <w:fldChar w:fldCharType="begin"/>
            </w:r>
            <w:r w:rsidR="00F5477F">
              <w:rPr>
                <w:noProof/>
                <w:webHidden/>
              </w:rPr>
              <w:instrText xml:space="preserve"> PAGEREF _Toc194928346 \h </w:instrText>
            </w:r>
            <w:r w:rsidR="00F5477F">
              <w:rPr>
                <w:noProof/>
                <w:webHidden/>
              </w:rPr>
            </w:r>
            <w:r w:rsidR="00F5477F">
              <w:rPr>
                <w:noProof/>
                <w:webHidden/>
              </w:rPr>
              <w:fldChar w:fldCharType="separate"/>
            </w:r>
            <w:r w:rsidR="00C54AB1">
              <w:rPr>
                <w:noProof/>
                <w:webHidden/>
              </w:rPr>
              <w:t>3</w:t>
            </w:r>
            <w:r w:rsidR="00F5477F">
              <w:rPr>
                <w:noProof/>
                <w:webHidden/>
              </w:rPr>
              <w:fldChar w:fldCharType="end"/>
            </w:r>
          </w:hyperlink>
        </w:p>
        <w:p w14:paraId="6484A4BE" w14:textId="682CE7DB" w:rsidR="00F5477F" w:rsidRDefault="00027E8D">
          <w:pPr>
            <w:pStyle w:val="TOC2"/>
            <w:rPr>
              <w:rFonts w:asciiTheme="minorHAnsi" w:eastAsiaTheme="minorEastAsia" w:hAnsiTheme="minorHAnsi" w:cstheme="minorBidi"/>
              <w:noProof/>
              <w:kern w:val="2"/>
              <w:sz w:val="24"/>
              <w:szCs w:val="24"/>
              <w:lang w:eastAsia="en-AU"/>
              <w14:ligatures w14:val="standardContextual"/>
            </w:rPr>
          </w:pPr>
          <w:hyperlink w:anchor="_Toc194928347" w:history="1">
            <w:r w:rsidR="00F5477F" w:rsidRPr="00664BFC">
              <w:rPr>
                <w:rStyle w:val="Hyperlink"/>
                <w:noProof/>
              </w:rPr>
              <w:t>2.2. Enrolling in and NT Government school for the first time</w:t>
            </w:r>
            <w:r w:rsidR="00F5477F">
              <w:rPr>
                <w:noProof/>
                <w:webHidden/>
              </w:rPr>
              <w:tab/>
            </w:r>
            <w:r w:rsidR="00F5477F">
              <w:rPr>
                <w:noProof/>
                <w:webHidden/>
              </w:rPr>
              <w:fldChar w:fldCharType="begin"/>
            </w:r>
            <w:r w:rsidR="00F5477F">
              <w:rPr>
                <w:noProof/>
                <w:webHidden/>
              </w:rPr>
              <w:instrText xml:space="preserve"> PAGEREF _Toc194928347 \h </w:instrText>
            </w:r>
            <w:r w:rsidR="00F5477F">
              <w:rPr>
                <w:noProof/>
                <w:webHidden/>
              </w:rPr>
            </w:r>
            <w:r w:rsidR="00F5477F">
              <w:rPr>
                <w:noProof/>
                <w:webHidden/>
              </w:rPr>
              <w:fldChar w:fldCharType="separate"/>
            </w:r>
            <w:r w:rsidR="00C54AB1">
              <w:rPr>
                <w:noProof/>
                <w:webHidden/>
              </w:rPr>
              <w:t>5</w:t>
            </w:r>
            <w:r w:rsidR="00F5477F">
              <w:rPr>
                <w:noProof/>
                <w:webHidden/>
              </w:rPr>
              <w:fldChar w:fldCharType="end"/>
            </w:r>
          </w:hyperlink>
        </w:p>
        <w:p w14:paraId="4FB0ED61" w14:textId="2F9BB4BD" w:rsidR="00F5477F" w:rsidRDefault="00027E8D">
          <w:pPr>
            <w:pStyle w:val="TOC2"/>
            <w:rPr>
              <w:rFonts w:asciiTheme="minorHAnsi" w:eastAsiaTheme="minorEastAsia" w:hAnsiTheme="minorHAnsi" w:cstheme="minorBidi"/>
              <w:noProof/>
              <w:kern w:val="2"/>
              <w:sz w:val="24"/>
              <w:szCs w:val="24"/>
              <w:lang w:eastAsia="en-AU"/>
              <w14:ligatures w14:val="standardContextual"/>
            </w:rPr>
          </w:pPr>
          <w:hyperlink w:anchor="_Toc194928348" w:history="1">
            <w:r w:rsidR="00F5477F" w:rsidRPr="00664BFC">
              <w:rPr>
                <w:rStyle w:val="Hyperlink"/>
                <w:noProof/>
              </w:rPr>
              <w:t>2.3. Transferring between NT Government schools</w:t>
            </w:r>
            <w:r w:rsidR="00F5477F">
              <w:rPr>
                <w:noProof/>
                <w:webHidden/>
              </w:rPr>
              <w:tab/>
            </w:r>
            <w:r w:rsidR="00F5477F">
              <w:rPr>
                <w:noProof/>
                <w:webHidden/>
              </w:rPr>
              <w:fldChar w:fldCharType="begin"/>
            </w:r>
            <w:r w:rsidR="00F5477F">
              <w:rPr>
                <w:noProof/>
                <w:webHidden/>
              </w:rPr>
              <w:instrText xml:space="preserve"> PAGEREF _Toc194928348 \h </w:instrText>
            </w:r>
            <w:r w:rsidR="00F5477F">
              <w:rPr>
                <w:noProof/>
                <w:webHidden/>
              </w:rPr>
            </w:r>
            <w:r w:rsidR="00F5477F">
              <w:rPr>
                <w:noProof/>
                <w:webHidden/>
              </w:rPr>
              <w:fldChar w:fldCharType="separate"/>
            </w:r>
            <w:r w:rsidR="00C54AB1">
              <w:rPr>
                <w:noProof/>
                <w:webHidden/>
              </w:rPr>
              <w:t>6</w:t>
            </w:r>
            <w:r w:rsidR="00F5477F">
              <w:rPr>
                <w:noProof/>
                <w:webHidden/>
              </w:rPr>
              <w:fldChar w:fldCharType="end"/>
            </w:r>
          </w:hyperlink>
        </w:p>
        <w:p w14:paraId="518F92B4" w14:textId="4750C03D" w:rsidR="00F5477F" w:rsidRDefault="00027E8D">
          <w:pPr>
            <w:pStyle w:val="TOC1"/>
            <w:rPr>
              <w:rFonts w:asciiTheme="minorHAnsi" w:eastAsiaTheme="minorEastAsia" w:hAnsiTheme="minorHAnsi" w:cstheme="minorBidi"/>
              <w:b w:val="0"/>
              <w:noProof/>
              <w:kern w:val="2"/>
              <w:sz w:val="24"/>
              <w:szCs w:val="24"/>
              <w:lang w:eastAsia="en-AU"/>
              <w14:ligatures w14:val="standardContextual"/>
            </w:rPr>
          </w:pPr>
          <w:hyperlink w:anchor="_Toc194928349" w:history="1">
            <w:r w:rsidR="00F5477F" w:rsidRPr="00664BFC">
              <w:rPr>
                <w:rStyle w:val="Hyperlink"/>
                <w:noProof/>
                <w:lang w:eastAsia="en-AU"/>
              </w:rPr>
              <w:t>3. Procedures for dual enrolment</w:t>
            </w:r>
            <w:r w:rsidR="00F5477F">
              <w:rPr>
                <w:noProof/>
                <w:webHidden/>
              </w:rPr>
              <w:tab/>
            </w:r>
            <w:r w:rsidR="00F5477F">
              <w:rPr>
                <w:noProof/>
                <w:webHidden/>
              </w:rPr>
              <w:fldChar w:fldCharType="begin"/>
            </w:r>
            <w:r w:rsidR="00F5477F">
              <w:rPr>
                <w:noProof/>
                <w:webHidden/>
              </w:rPr>
              <w:instrText xml:space="preserve"> PAGEREF _Toc194928349 \h </w:instrText>
            </w:r>
            <w:r w:rsidR="00F5477F">
              <w:rPr>
                <w:noProof/>
                <w:webHidden/>
              </w:rPr>
            </w:r>
            <w:r w:rsidR="00F5477F">
              <w:rPr>
                <w:noProof/>
                <w:webHidden/>
              </w:rPr>
              <w:fldChar w:fldCharType="separate"/>
            </w:r>
            <w:r w:rsidR="00C54AB1">
              <w:rPr>
                <w:noProof/>
                <w:webHidden/>
              </w:rPr>
              <w:t>6</w:t>
            </w:r>
            <w:r w:rsidR="00F5477F">
              <w:rPr>
                <w:noProof/>
                <w:webHidden/>
              </w:rPr>
              <w:fldChar w:fldCharType="end"/>
            </w:r>
          </w:hyperlink>
        </w:p>
        <w:p w14:paraId="0BFBF5E2" w14:textId="565AE52D" w:rsidR="00F5477F" w:rsidRDefault="00027E8D">
          <w:pPr>
            <w:pStyle w:val="TOC2"/>
            <w:rPr>
              <w:rFonts w:asciiTheme="minorHAnsi" w:eastAsiaTheme="minorEastAsia" w:hAnsiTheme="minorHAnsi" w:cstheme="minorBidi"/>
              <w:noProof/>
              <w:kern w:val="2"/>
              <w:sz w:val="24"/>
              <w:szCs w:val="24"/>
              <w:lang w:eastAsia="en-AU"/>
              <w14:ligatures w14:val="standardContextual"/>
            </w:rPr>
          </w:pPr>
          <w:hyperlink w:anchor="_Toc194928350" w:history="1">
            <w:r w:rsidR="00F5477F" w:rsidRPr="00664BFC">
              <w:rPr>
                <w:rStyle w:val="Hyperlink"/>
                <w:noProof/>
              </w:rPr>
              <w:t>3.1. Dual enrolment on the grounds of significant support needs</w:t>
            </w:r>
            <w:r w:rsidR="00F5477F">
              <w:rPr>
                <w:noProof/>
                <w:webHidden/>
              </w:rPr>
              <w:tab/>
            </w:r>
            <w:r w:rsidR="00F5477F">
              <w:rPr>
                <w:noProof/>
                <w:webHidden/>
              </w:rPr>
              <w:fldChar w:fldCharType="begin"/>
            </w:r>
            <w:r w:rsidR="00F5477F">
              <w:rPr>
                <w:noProof/>
                <w:webHidden/>
              </w:rPr>
              <w:instrText xml:space="preserve"> PAGEREF _Toc194928350 \h </w:instrText>
            </w:r>
            <w:r w:rsidR="00F5477F">
              <w:rPr>
                <w:noProof/>
                <w:webHidden/>
              </w:rPr>
            </w:r>
            <w:r w:rsidR="00F5477F">
              <w:rPr>
                <w:noProof/>
                <w:webHidden/>
              </w:rPr>
              <w:fldChar w:fldCharType="separate"/>
            </w:r>
            <w:r w:rsidR="00C54AB1">
              <w:rPr>
                <w:noProof/>
                <w:webHidden/>
              </w:rPr>
              <w:t>6</w:t>
            </w:r>
            <w:r w:rsidR="00F5477F">
              <w:rPr>
                <w:noProof/>
                <w:webHidden/>
              </w:rPr>
              <w:fldChar w:fldCharType="end"/>
            </w:r>
          </w:hyperlink>
        </w:p>
        <w:p w14:paraId="5C14A78E" w14:textId="1108C1D6" w:rsidR="00F5477F" w:rsidRDefault="00027E8D">
          <w:pPr>
            <w:pStyle w:val="TOC2"/>
            <w:rPr>
              <w:rFonts w:asciiTheme="minorHAnsi" w:eastAsiaTheme="minorEastAsia" w:hAnsiTheme="minorHAnsi" w:cstheme="minorBidi"/>
              <w:noProof/>
              <w:kern w:val="2"/>
              <w:sz w:val="24"/>
              <w:szCs w:val="24"/>
              <w:lang w:eastAsia="en-AU"/>
              <w14:ligatures w14:val="standardContextual"/>
            </w:rPr>
          </w:pPr>
          <w:hyperlink w:anchor="_Toc194928351" w:history="1">
            <w:r w:rsidR="00F5477F" w:rsidRPr="00664BFC">
              <w:rPr>
                <w:rStyle w:val="Hyperlink"/>
                <w:noProof/>
              </w:rPr>
              <w:t>3.2. Dual enrolment on the grounds of established mobility patterns</w:t>
            </w:r>
            <w:r w:rsidR="00F5477F">
              <w:rPr>
                <w:noProof/>
                <w:webHidden/>
              </w:rPr>
              <w:tab/>
            </w:r>
            <w:r w:rsidR="00F5477F">
              <w:rPr>
                <w:noProof/>
                <w:webHidden/>
              </w:rPr>
              <w:fldChar w:fldCharType="begin"/>
            </w:r>
            <w:r w:rsidR="00F5477F">
              <w:rPr>
                <w:noProof/>
                <w:webHidden/>
              </w:rPr>
              <w:instrText xml:space="preserve"> PAGEREF _Toc194928351 \h </w:instrText>
            </w:r>
            <w:r w:rsidR="00F5477F">
              <w:rPr>
                <w:noProof/>
                <w:webHidden/>
              </w:rPr>
            </w:r>
            <w:r w:rsidR="00F5477F">
              <w:rPr>
                <w:noProof/>
                <w:webHidden/>
              </w:rPr>
              <w:fldChar w:fldCharType="separate"/>
            </w:r>
            <w:r w:rsidR="00C54AB1">
              <w:rPr>
                <w:noProof/>
                <w:webHidden/>
              </w:rPr>
              <w:t>7</w:t>
            </w:r>
            <w:r w:rsidR="00F5477F">
              <w:rPr>
                <w:noProof/>
                <w:webHidden/>
              </w:rPr>
              <w:fldChar w:fldCharType="end"/>
            </w:r>
          </w:hyperlink>
        </w:p>
        <w:p w14:paraId="1F6CE53B" w14:textId="5F90D357" w:rsidR="00F5477F" w:rsidRDefault="00027E8D">
          <w:pPr>
            <w:pStyle w:val="TOC1"/>
            <w:rPr>
              <w:rFonts w:asciiTheme="minorHAnsi" w:eastAsiaTheme="minorEastAsia" w:hAnsiTheme="minorHAnsi" w:cstheme="minorBidi"/>
              <w:b w:val="0"/>
              <w:noProof/>
              <w:kern w:val="2"/>
              <w:sz w:val="24"/>
              <w:szCs w:val="24"/>
              <w:lang w:eastAsia="en-AU"/>
              <w14:ligatures w14:val="standardContextual"/>
            </w:rPr>
          </w:pPr>
          <w:hyperlink w:anchor="_Toc194928352" w:history="1">
            <w:r w:rsidR="00F5477F" w:rsidRPr="00664BFC">
              <w:rPr>
                <w:rStyle w:val="Hyperlink"/>
                <w:noProof/>
                <w:lang w:eastAsia="en-AU"/>
              </w:rPr>
              <w:t>4. Supplementary preschool enrolment form</w:t>
            </w:r>
            <w:r w:rsidR="00F5477F">
              <w:rPr>
                <w:noProof/>
                <w:webHidden/>
              </w:rPr>
              <w:tab/>
            </w:r>
            <w:r w:rsidR="00F5477F">
              <w:rPr>
                <w:noProof/>
                <w:webHidden/>
              </w:rPr>
              <w:fldChar w:fldCharType="begin"/>
            </w:r>
            <w:r w:rsidR="00F5477F">
              <w:rPr>
                <w:noProof/>
                <w:webHidden/>
              </w:rPr>
              <w:instrText xml:space="preserve"> PAGEREF _Toc194928352 \h </w:instrText>
            </w:r>
            <w:r w:rsidR="00F5477F">
              <w:rPr>
                <w:noProof/>
                <w:webHidden/>
              </w:rPr>
            </w:r>
            <w:r w:rsidR="00F5477F">
              <w:rPr>
                <w:noProof/>
                <w:webHidden/>
              </w:rPr>
              <w:fldChar w:fldCharType="separate"/>
            </w:r>
            <w:r w:rsidR="00C54AB1">
              <w:rPr>
                <w:noProof/>
                <w:webHidden/>
              </w:rPr>
              <w:t>7</w:t>
            </w:r>
            <w:r w:rsidR="00F5477F">
              <w:rPr>
                <w:noProof/>
                <w:webHidden/>
              </w:rPr>
              <w:fldChar w:fldCharType="end"/>
            </w:r>
          </w:hyperlink>
        </w:p>
        <w:p w14:paraId="2FA2B877" w14:textId="603EBC99" w:rsidR="00F5477F" w:rsidRDefault="00027E8D">
          <w:pPr>
            <w:pStyle w:val="TOC1"/>
            <w:rPr>
              <w:rFonts w:asciiTheme="minorHAnsi" w:eastAsiaTheme="minorEastAsia" w:hAnsiTheme="minorHAnsi" w:cstheme="minorBidi"/>
              <w:b w:val="0"/>
              <w:noProof/>
              <w:kern w:val="2"/>
              <w:sz w:val="24"/>
              <w:szCs w:val="24"/>
              <w:lang w:eastAsia="en-AU"/>
              <w14:ligatures w14:val="standardContextual"/>
            </w:rPr>
          </w:pPr>
          <w:hyperlink w:anchor="_Toc194928353" w:history="1">
            <w:r w:rsidR="00F5477F" w:rsidRPr="00664BFC">
              <w:rPr>
                <w:rStyle w:val="Hyperlink"/>
                <w:noProof/>
                <w:lang w:eastAsia="en-AU"/>
              </w:rPr>
              <w:t>5. Student record management</w:t>
            </w:r>
            <w:r w:rsidR="00F5477F">
              <w:rPr>
                <w:noProof/>
                <w:webHidden/>
              </w:rPr>
              <w:tab/>
            </w:r>
            <w:r w:rsidR="00F5477F">
              <w:rPr>
                <w:noProof/>
                <w:webHidden/>
              </w:rPr>
              <w:fldChar w:fldCharType="begin"/>
            </w:r>
            <w:r w:rsidR="00F5477F">
              <w:rPr>
                <w:noProof/>
                <w:webHidden/>
              </w:rPr>
              <w:instrText xml:space="preserve"> PAGEREF _Toc194928353 \h </w:instrText>
            </w:r>
            <w:r w:rsidR="00F5477F">
              <w:rPr>
                <w:noProof/>
                <w:webHidden/>
              </w:rPr>
            </w:r>
            <w:r w:rsidR="00F5477F">
              <w:rPr>
                <w:noProof/>
                <w:webHidden/>
              </w:rPr>
              <w:fldChar w:fldCharType="separate"/>
            </w:r>
            <w:r w:rsidR="00C54AB1">
              <w:rPr>
                <w:noProof/>
                <w:webHidden/>
              </w:rPr>
              <w:t>7</w:t>
            </w:r>
            <w:r w:rsidR="00F5477F">
              <w:rPr>
                <w:noProof/>
                <w:webHidden/>
              </w:rPr>
              <w:fldChar w:fldCharType="end"/>
            </w:r>
          </w:hyperlink>
        </w:p>
        <w:p w14:paraId="108B7145" w14:textId="2B3844EA" w:rsidR="00F5477F" w:rsidRDefault="00027E8D">
          <w:pPr>
            <w:pStyle w:val="TOC1"/>
            <w:rPr>
              <w:rFonts w:asciiTheme="minorHAnsi" w:eastAsiaTheme="minorEastAsia" w:hAnsiTheme="minorHAnsi" w:cstheme="minorBidi"/>
              <w:b w:val="0"/>
              <w:noProof/>
              <w:kern w:val="2"/>
              <w:sz w:val="24"/>
              <w:szCs w:val="24"/>
              <w:lang w:eastAsia="en-AU"/>
              <w14:ligatures w14:val="standardContextual"/>
            </w:rPr>
          </w:pPr>
          <w:hyperlink w:anchor="_Toc194928354" w:history="1">
            <w:r w:rsidR="00F5477F" w:rsidRPr="00664BFC">
              <w:rPr>
                <w:rStyle w:val="Hyperlink"/>
                <w:noProof/>
                <w:lang w:eastAsia="en-AU"/>
              </w:rPr>
              <w:t>6. Information sharing</w:t>
            </w:r>
            <w:r w:rsidR="00F5477F">
              <w:rPr>
                <w:noProof/>
                <w:webHidden/>
              </w:rPr>
              <w:tab/>
            </w:r>
            <w:r w:rsidR="00F5477F">
              <w:rPr>
                <w:noProof/>
                <w:webHidden/>
              </w:rPr>
              <w:fldChar w:fldCharType="begin"/>
            </w:r>
            <w:r w:rsidR="00F5477F">
              <w:rPr>
                <w:noProof/>
                <w:webHidden/>
              </w:rPr>
              <w:instrText xml:space="preserve"> PAGEREF _Toc194928354 \h </w:instrText>
            </w:r>
            <w:r w:rsidR="00F5477F">
              <w:rPr>
                <w:noProof/>
                <w:webHidden/>
              </w:rPr>
            </w:r>
            <w:r w:rsidR="00F5477F">
              <w:rPr>
                <w:noProof/>
                <w:webHidden/>
              </w:rPr>
              <w:fldChar w:fldCharType="separate"/>
            </w:r>
            <w:r w:rsidR="00C54AB1">
              <w:rPr>
                <w:noProof/>
                <w:webHidden/>
              </w:rPr>
              <w:t>7</w:t>
            </w:r>
            <w:r w:rsidR="00F5477F">
              <w:rPr>
                <w:noProof/>
                <w:webHidden/>
              </w:rPr>
              <w:fldChar w:fldCharType="end"/>
            </w:r>
          </w:hyperlink>
        </w:p>
        <w:p w14:paraId="508514D8" w14:textId="7E20EED0" w:rsidR="00F5477F" w:rsidRDefault="00027E8D">
          <w:pPr>
            <w:pStyle w:val="TOC1"/>
            <w:rPr>
              <w:rFonts w:asciiTheme="minorHAnsi" w:eastAsiaTheme="minorEastAsia" w:hAnsiTheme="minorHAnsi" w:cstheme="minorBidi"/>
              <w:b w:val="0"/>
              <w:noProof/>
              <w:kern w:val="2"/>
              <w:sz w:val="24"/>
              <w:szCs w:val="24"/>
              <w:lang w:eastAsia="en-AU"/>
              <w14:ligatures w14:val="standardContextual"/>
            </w:rPr>
          </w:pPr>
          <w:hyperlink w:anchor="_Toc194928355" w:history="1">
            <w:r w:rsidR="00F5477F" w:rsidRPr="00664BFC">
              <w:rPr>
                <w:rStyle w:val="Hyperlink"/>
                <w:noProof/>
                <w:lang w:eastAsia="en-AU"/>
              </w:rPr>
              <w:t>7. Related legislation, procedures and information</w:t>
            </w:r>
            <w:r w:rsidR="00F5477F">
              <w:rPr>
                <w:noProof/>
                <w:webHidden/>
              </w:rPr>
              <w:tab/>
            </w:r>
            <w:r w:rsidR="00F5477F">
              <w:rPr>
                <w:noProof/>
                <w:webHidden/>
              </w:rPr>
              <w:fldChar w:fldCharType="begin"/>
            </w:r>
            <w:r w:rsidR="00F5477F">
              <w:rPr>
                <w:noProof/>
                <w:webHidden/>
              </w:rPr>
              <w:instrText xml:space="preserve"> PAGEREF _Toc194928355 \h </w:instrText>
            </w:r>
            <w:r w:rsidR="00F5477F">
              <w:rPr>
                <w:noProof/>
                <w:webHidden/>
              </w:rPr>
            </w:r>
            <w:r w:rsidR="00F5477F">
              <w:rPr>
                <w:noProof/>
                <w:webHidden/>
              </w:rPr>
              <w:fldChar w:fldCharType="separate"/>
            </w:r>
            <w:r w:rsidR="00C54AB1">
              <w:rPr>
                <w:noProof/>
                <w:webHidden/>
              </w:rPr>
              <w:t>8</w:t>
            </w:r>
            <w:r w:rsidR="00F5477F">
              <w:rPr>
                <w:noProof/>
                <w:webHidden/>
              </w:rPr>
              <w:fldChar w:fldCharType="end"/>
            </w:r>
          </w:hyperlink>
        </w:p>
        <w:p w14:paraId="1C7D85D3" w14:textId="6CCE8D36" w:rsidR="00F5477F" w:rsidRDefault="00027E8D">
          <w:pPr>
            <w:pStyle w:val="TOC2"/>
            <w:rPr>
              <w:rFonts w:asciiTheme="minorHAnsi" w:eastAsiaTheme="minorEastAsia" w:hAnsiTheme="minorHAnsi" w:cstheme="minorBidi"/>
              <w:noProof/>
              <w:kern w:val="2"/>
              <w:sz w:val="24"/>
              <w:szCs w:val="24"/>
              <w:lang w:eastAsia="en-AU"/>
              <w14:ligatures w14:val="standardContextual"/>
            </w:rPr>
          </w:pPr>
          <w:hyperlink w:anchor="_Toc194928356" w:history="1">
            <w:r w:rsidR="00F5477F" w:rsidRPr="00664BFC">
              <w:rPr>
                <w:rStyle w:val="Hyperlink"/>
                <w:noProof/>
              </w:rPr>
              <w:t>7.1. Legislation</w:t>
            </w:r>
            <w:r w:rsidR="00F5477F">
              <w:rPr>
                <w:noProof/>
                <w:webHidden/>
              </w:rPr>
              <w:tab/>
            </w:r>
            <w:r w:rsidR="00F5477F">
              <w:rPr>
                <w:noProof/>
                <w:webHidden/>
              </w:rPr>
              <w:fldChar w:fldCharType="begin"/>
            </w:r>
            <w:r w:rsidR="00F5477F">
              <w:rPr>
                <w:noProof/>
                <w:webHidden/>
              </w:rPr>
              <w:instrText xml:space="preserve"> PAGEREF _Toc194928356 \h </w:instrText>
            </w:r>
            <w:r w:rsidR="00F5477F">
              <w:rPr>
                <w:noProof/>
                <w:webHidden/>
              </w:rPr>
            </w:r>
            <w:r w:rsidR="00F5477F">
              <w:rPr>
                <w:noProof/>
                <w:webHidden/>
              </w:rPr>
              <w:fldChar w:fldCharType="separate"/>
            </w:r>
            <w:r w:rsidR="00C54AB1">
              <w:rPr>
                <w:noProof/>
                <w:webHidden/>
              </w:rPr>
              <w:t>8</w:t>
            </w:r>
            <w:r w:rsidR="00F5477F">
              <w:rPr>
                <w:noProof/>
                <w:webHidden/>
              </w:rPr>
              <w:fldChar w:fldCharType="end"/>
            </w:r>
          </w:hyperlink>
        </w:p>
        <w:p w14:paraId="1683C3F3" w14:textId="39755015" w:rsidR="00F5477F" w:rsidRDefault="00027E8D">
          <w:pPr>
            <w:pStyle w:val="TOC2"/>
            <w:rPr>
              <w:rFonts w:asciiTheme="minorHAnsi" w:eastAsiaTheme="minorEastAsia" w:hAnsiTheme="minorHAnsi" w:cstheme="minorBidi"/>
              <w:noProof/>
              <w:kern w:val="2"/>
              <w:sz w:val="24"/>
              <w:szCs w:val="24"/>
              <w:lang w:eastAsia="en-AU"/>
              <w14:ligatures w14:val="standardContextual"/>
            </w:rPr>
          </w:pPr>
          <w:hyperlink w:anchor="_Toc194928357" w:history="1">
            <w:r w:rsidR="00F5477F" w:rsidRPr="00664BFC">
              <w:rPr>
                <w:rStyle w:val="Hyperlink"/>
                <w:noProof/>
              </w:rPr>
              <w:t>7.2. Guidelines and Procedures</w:t>
            </w:r>
            <w:r w:rsidR="00F5477F">
              <w:rPr>
                <w:noProof/>
                <w:webHidden/>
              </w:rPr>
              <w:tab/>
            </w:r>
            <w:r w:rsidR="00F5477F">
              <w:rPr>
                <w:noProof/>
                <w:webHidden/>
              </w:rPr>
              <w:fldChar w:fldCharType="begin"/>
            </w:r>
            <w:r w:rsidR="00F5477F">
              <w:rPr>
                <w:noProof/>
                <w:webHidden/>
              </w:rPr>
              <w:instrText xml:space="preserve"> PAGEREF _Toc194928357 \h </w:instrText>
            </w:r>
            <w:r w:rsidR="00F5477F">
              <w:rPr>
                <w:noProof/>
                <w:webHidden/>
              </w:rPr>
            </w:r>
            <w:r w:rsidR="00F5477F">
              <w:rPr>
                <w:noProof/>
                <w:webHidden/>
              </w:rPr>
              <w:fldChar w:fldCharType="separate"/>
            </w:r>
            <w:r w:rsidR="00C54AB1">
              <w:rPr>
                <w:noProof/>
                <w:webHidden/>
              </w:rPr>
              <w:t>8</w:t>
            </w:r>
            <w:r w:rsidR="00F5477F">
              <w:rPr>
                <w:noProof/>
                <w:webHidden/>
              </w:rPr>
              <w:fldChar w:fldCharType="end"/>
            </w:r>
          </w:hyperlink>
        </w:p>
        <w:p w14:paraId="58010204" w14:textId="36EDFA54" w:rsidR="00F5477F" w:rsidRDefault="00027E8D">
          <w:pPr>
            <w:pStyle w:val="TOC2"/>
            <w:rPr>
              <w:rFonts w:asciiTheme="minorHAnsi" w:eastAsiaTheme="minorEastAsia" w:hAnsiTheme="minorHAnsi" w:cstheme="minorBidi"/>
              <w:noProof/>
              <w:kern w:val="2"/>
              <w:sz w:val="24"/>
              <w:szCs w:val="24"/>
              <w:lang w:eastAsia="en-AU"/>
              <w14:ligatures w14:val="standardContextual"/>
            </w:rPr>
          </w:pPr>
          <w:hyperlink w:anchor="_Toc194928358" w:history="1">
            <w:r w:rsidR="00F5477F" w:rsidRPr="00664BFC">
              <w:rPr>
                <w:rStyle w:val="Hyperlink"/>
                <w:noProof/>
              </w:rPr>
              <w:t>7.3. Other relevant policy</w:t>
            </w:r>
            <w:r w:rsidR="00F5477F">
              <w:rPr>
                <w:noProof/>
                <w:webHidden/>
              </w:rPr>
              <w:tab/>
            </w:r>
            <w:r w:rsidR="00F5477F">
              <w:rPr>
                <w:noProof/>
                <w:webHidden/>
              </w:rPr>
              <w:fldChar w:fldCharType="begin"/>
            </w:r>
            <w:r w:rsidR="00F5477F">
              <w:rPr>
                <w:noProof/>
                <w:webHidden/>
              </w:rPr>
              <w:instrText xml:space="preserve"> PAGEREF _Toc194928358 \h </w:instrText>
            </w:r>
            <w:r w:rsidR="00F5477F">
              <w:rPr>
                <w:noProof/>
                <w:webHidden/>
              </w:rPr>
            </w:r>
            <w:r w:rsidR="00F5477F">
              <w:rPr>
                <w:noProof/>
                <w:webHidden/>
              </w:rPr>
              <w:fldChar w:fldCharType="separate"/>
            </w:r>
            <w:r w:rsidR="00C54AB1">
              <w:rPr>
                <w:noProof/>
                <w:webHidden/>
              </w:rPr>
              <w:t>9</w:t>
            </w:r>
            <w:r w:rsidR="00F5477F">
              <w:rPr>
                <w:noProof/>
                <w:webHidden/>
              </w:rPr>
              <w:fldChar w:fldCharType="end"/>
            </w:r>
          </w:hyperlink>
        </w:p>
        <w:p w14:paraId="39B72AE5" w14:textId="5C8F774B" w:rsidR="00F5477F" w:rsidRDefault="00027E8D">
          <w:pPr>
            <w:pStyle w:val="TOC2"/>
            <w:rPr>
              <w:rFonts w:asciiTheme="minorHAnsi" w:eastAsiaTheme="minorEastAsia" w:hAnsiTheme="minorHAnsi" w:cstheme="minorBidi"/>
              <w:noProof/>
              <w:kern w:val="2"/>
              <w:sz w:val="24"/>
              <w:szCs w:val="24"/>
              <w:lang w:eastAsia="en-AU"/>
              <w14:ligatures w14:val="standardContextual"/>
            </w:rPr>
          </w:pPr>
          <w:hyperlink w:anchor="_Toc194928359" w:history="1">
            <w:r w:rsidR="00F5477F" w:rsidRPr="00664BFC">
              <w:rPr>
                <w:rStyle w:val="Hyperlink"/>
                <w:noProof/>
              </w:rPr>
              <w:t>7.4. Information</w:t>
            </w:r>
            <w:r w:rsidR="00F5477F">
              <w:rPr>
                <w:noProof/>
                <w:webHidden/>
              </w:rPr>
              <w:tab/>
            </w:r>
            <w:r w:rsidR="00F5477F">
              <w:rPr>
                <w:noProof/>
                <w:webHidden/>
              </w:rPr>
              <w:fldChar w:fldCharType="begin"/>
            </w:r>
            <w:r w:rsidR="00F5477F">
              <w:rPr>
                <w:noProof/>
                <w:webHidden/>
              </w:rPr>
              <w:instrText xml:space="preserve"> PAGEREF _Toc194928359 \h </w:instrText>
            </w:r>
            <w:r w:rsidR="00F5477F">
              <w:rPr>
                <w:noProof/>
                <w:webHidden/>
              </w:rPr>
            </w:r>
            <w:r w:rsidR="00F5477F">
              <w:rPr>
                <w:noProof/>
                <w:webHidden/>
              </w:rPr>
              <w:fldChar w:fldCharType="separate"/>
            </w:r>
            <w:r w:rsidR="00C54AB1">
              <w:rPr>
                <w:noProof/>
                <w:webHidden/>
              </w:rPr>
              <w:t>9</w:t>
            </w:r>
            <w:r w:rsidR="00F5477F">
              <w:rPr>
                <w:noProof/>
                <w:webHidden/>
              </w:rPr>
              <w:fldChar w:fldCharType="end"/>
            </w:r>
          </w:hyperlink>
        </w:p>
        <w:p w14:paraId="6D60AAF9" w14:textId="42F56C0E" w:rsidR="00964B22" w:rsidRPr="004D6993" w:rsidRDefault="006747E0" w:rsidP="00964B22">
          <w:pPr>
            <w:rPr>
              <w:rFonts w:eastAsiaTheme="minorEastAsia" w:cs="Arial"/>
              <w:b/>
              <w:lang w:eastAsia="en-AU"/>
            </w:rPr>
            <w:sectPr w:rsidR="00964B22" w:rsidRPr="004D6993" w:rsidSect="00B00590">
              <w:headerReference w:type="first" r:id="rId12"/>
              <w:footerReference w:type="first" r:id="rId13"/>
              <w:pgSz w:w="11906" w:h="16838" w:code="9"/>
              <w:pgMar w:top="794" w:right="794" w:bottom="794" w:left="794" w:header="794" w:footer="794" w:gutter="0"/>
              <w:cols w:space="708"/>
              <w:docGrid w:linePitch="360"/>
            </w:sectPr>
          </w:pPr>
          <w:r>
            <w:rPr>
              <w:rFonts w:eastAsiaTheme="minorEastAsia" w:cs="Arial"/>
              <w:lang w:eastAsia="en-AU"/>
            </w:rPr>
            <w:fldChar w:fldCharType="end"/>
          </w:r>
        </w:p>
      </w:sdtContent>
    </w:sdt>
    <w:p w14:paraId="7572043C" w14:textId="77777777" w:rsidR="00803DD1" w:rsidRDefault="00803DD1" w:rsidP="00803DD1">
      <w:pPr>
        <w:pStyle w:val="Heading1"/>
        <w:rPr>
          <w:noProof/>
          <w:lang w:eastAsia="en-AU"/>
        </w:rPr>
      </w:pPr>
      <w:bookmarkStart w:id="0" w:name="_Toc194928344"/>
      <w:r>
        <w:rPr>
          <w:noProof/>
          <w:lang w:eastAsia="en-AU"/>
        </w:rPr>
        <w:lastRenderedPageBreak/>
        <w:t>Policy statement</w:t>
      </w:r>
      <w:bookmarkEnd w:id="0"/>
    </w:p>
    <w:p w14:paraId="32196E7B" w14:textId="19DC7255" w:rsidR="00803DD1" w:rsidRPr="00A64DC6" w:rsidRDefault="00803DD1" w:rsidP="00803DD1">
      <w:r>
        <w:rPr>
          <w:rFonts w:asciiTheme="minorHAnsi" w:hAnsiTheme="minorHAnsi"/>
          <w:lang w:eastAsia="en-AU"/>
        </w:rPr>
        <w:t xml:space="preserve">Quality early childhood education gives children the best start in life. Preschool helps provide children with important opportunities to learn and develop, make friends, develop independence and learn new routines. Research shows that children who regularly participate in a quality preschool program are more likely to arrive at school equipped with the social, cognitive and emotional skills they need to help them continue to learn. </w:t>
      </w:r>
      <w:r w:rsidRPr="003C4192">
        <w:rPr>
          <w:rFonts w:asciiTheme="minorHAnsi" w:hAnsiTheme="minorHAnsi"/>
          <w:lang w:eastAsia="en-AU"/>
        </w:rPr>
        <w:t xml:space="preserve">Although not compulsory under the </w:t>
      </w:r>
      <w:r>
        <w:t xml:space="preserve">Northern </w:t>
      </w:r>
      <w:r w:rsidRPr="002D62BE">
        <w:t>Territory</w:t>
      </w:r>
      <w:r>
        <w:t xml:space="preserve"> (NT)</w:t>
      </w:r>
      <w:r w:rsidRPr="002D62BE">
        <w:t xml:space="preserve"> </w:t>
      </w:r>
      <w:r w:rsidRPr="002D6CB3">
        <w:rPr>
          <w:rFonts w:asciiTheme="minorHAnsi" w:hAnsiTheme="minorHAnsi"/>
          <w:i/>
          <w:iCs/>
          <w:lang w:eastAsia="en-AU"/>
        </w:rPr>
        <w:t>Education Act 2015</w:t>
      </w:r>
      <w:r>
        <w:rPr>
          <w:rFonts w:asciiTheme="minorHAnsi" w:hAnsiTheme="minorHAnsi"/>
          <w:i/>
          <w:iCs/>
          <w:lang w:eastAsia="en-AU"/>
        </w:rPr>
        <w:t xml:space="preserve"> </w:t>
      </w:r>
      <w:r>
        <w:t xml:space="preserve">(the </w:t>
      </w:r>
      <w:r w:rsidRPr="00F614E9">
        <w:t>Act</w:t>
      </w:r>
      <w:r>
        <w:t>)</w:t>
      </w:r>
      <w:r w:rsidRPr="003C4192">
        <w:rPr>
          <w:rFonts w:asciiTheme="minorHAnsi" w:hAnsiTheme="minorHAnsi"/>
          <w:lang w:eastAsia="en-AU"/>
        </w:rPr>
        <w:t xml:space="preserve">, the NT Government is committed to achieving the objectives </w:t>
      </w:r>
      <w:r>
        <w:rPr>
          <w:rFonts w:asciiTheme="minorHAnsi" w:hAnsiTheme="minorHAnsi"/>
          <w:lang w:eastAsia="en-AU"/>
        </w:rPr>
        <w:t>of</w:t>
      </w:r>
      <w:r w:rsidRPr="003C4192">
        <w:rPr>
          <w:rFonts w:asciiTheme="minorHAnsi" w:hAnsiTheme="minorHAnsi"/>
          <w:lang w:eastAsia="en-AU"/>
        </w:rPr>
        <w:t xml:space="preserve"> the </w:t>
      </w:r>
      <w:r>
        <w:rPr>
          <w:rFonts w:asciiTheme="minorHAnsi" w:hAnsiTheme="minorHAnsi"/>
          <w:lang w:eastAsia="en-AU"/>
        </w:rPr>
        <w:t xml:space="preserve">national </w:t>
      </w:r>
      <w:r w:rsidRPr="003C4192">
        <w:rPr>
          <w:rFonts w:asciiTheme="minorHAnsi" w:hAnsiTheme="minorHAnsi"/>
          <w:lang w:eastAsia="en-AU"/>
        </w:rPr>
        <w:t xml:space="preserve">Preschool Reform Agreement which </w:t>
      </w:r>
      <w:r>
        <w:rPr>
          <w:rFonts w:asciiTheme="minorHAnsi" w:hAnsiTheme="minorHAnsi"/>
          <w:lang w:eastAsia="en-AU"/>
        </w:rPr>
        <w:t>aims to ensure every child has access to, is enrolled in, and regularly attends a quality preschool program in the year before full-time school.</w:t>
      </w:r>
      <w:r w:rsidRPr="00A64DC6">
        <w:rPr>
          <w:lang w:eastAsia="en-AU"/>
        </w:rPr>
        <w:t xml:space="preserve"> </w:t>
      </w:r>
      <w:r>
        <w:rPr>
          <w:lang w:eastAsia="en-AU"/>
        </w:rPr>
        <w:t>The NT Department of Education</w:t>
      </w:r>
      <w:r w:rsidR="003140A9">
        <w:rPr>
          <w:lang w:eastAsia="en-AU"/>
        </w:rPr>
        <w:t xml:space="preserve"> and Training</w:t>
      </w:r>
      <w:r>
        <w:rPr>
          <w:lang w:eastAsia="en-AU"/>
        </w:rPr>
        <w:t xml:space="preserve"> (department) encourages parents to engage their children in early learning programs delivered by schools including preschool, transition, and Families as First Teachers (FaFT). </w:t>
      </w:r>
      <w:r>
        <w:t>For enrolment in early learning, go to the department’s Early childhood education and care webpage.</w:t>
      </w:r>
    </w:p>
    <w:p w14:paraId="14B021C1" w14:textId="0440E88D" w:rsidR="00803DD1" w:rsidRPr="00326C2D" w:rsidRDefault="00803DD1" w:rsidP="00803DD1">
      <w:pPr>
        <w:widowControl w:val="0"/>
        <w:spacing w:before="120" w:line="280" w:lineRule="exact"/>
        <w:rPr>
          <w:rFonts w:eastAsia="Arial" w:cs="Arial"/>
          <w:spacing w:val="-2"/>
        </w:rPr>
      </w:pPr>
      <w:r>
        <w:t xml:space="preserve">Under the Act, all children and young people of compulsory school age must be enrolled in an NT Government school or a registered non-government school. Compulsory school age refers to </w:t>
      </w:r>
      <w:r w:rsidR="00CA7E03">
        <w:t xml:space="preserve">6 </w:t>
      </w:r>
      <w:r>
        <w:t xml:space="preserve">years of age on or before the 30 June of the school year. </w:t>
      </w:r>
      <w:r w:rsidRPr="00326C2D">
        <w:rPr>
          <w:rFonts w:eastAsia="Arial" w:cs="Arial"/>
          <w:spacing w:val="-2"/>
        </w:rPr>
        <w:t>A child ceases to be of compulsory school age when the first of the following occurs:</w:t>
      </w:r>
    </w:p>
    <w:p w14:paraId="440B9E03" w14:textId="77777777" w:rsidR="00803DD1" w:rsidRPr="00326C2D" w:rsidRDefault="00803DD1" w:rsidP="00803DD1">
      <w:pPr>
        <w:pStyle w:val="BodyText"/>
        <w:numPr>
          <w:ilvl w:val="0"/>
          <w:numId w:val="46"/>
        </w:numPr>
        <w:spacing w:before="120"/>
      </w:pPr>
      <w:r w:rsidRPr="00326C2D">
        <w:t xml:space="preserve">they </w:t>
      </w:r>
      <w:r>
        <w:t xml:space="preserve">have </w:t>
      </w:r>
      <w:r w:rsidRPr="00326C2D">
        <w:t>complete</w:t>
      </w:r>
      <w:r>
        <w:t>d</w:t>
      </w:r>
      <w:r w:rsidRPr="00326C2D">
        <w:t xml:space="preserve"> </w:t>
      </w:r>
      <w:r>
        <w:t>y</w:t>
      </w:r>
      <w:r w:rsidRPr="00326C2D">
        <w:t xml:space="preserve">ear 10 and </w:t>
      </w:r>
      <w:r>
        <w:t xml:space="preserve">are </w:t>
      </w:r>
      <w:r w:rsidRPr="00326C2D">
        <w:t>participat</w:t>
      </w:r>
      <w:r>
        <w:t>ing</w:t>
      </w:r>
      <w:r w:rsidRPr="00326C2D">
        <w:t xml:space="preserve"> in an eligible option</w:t>
      </w:r>
    </w:p>
    <w:p w14:paraId="0CB9BC13" w14:textId="77777777" w:rsidR="00803DD1" w:rsidRDefault="00803DD1" w:rsidP="00803DD1">
      <w:pPr>
        <w:pStyle w:val="BodyText"/>
        <w:numPr>
          <w:ilvl w:val="0"/>
          <w:numId w:val="46"/>
        </w:numPr>
        <w:spacing w:before="120"/>
      </w:pPr>
      <w:r w:rsidRPr="00326C2D">
        <w:t xml:space="preserve">they </w:t>
      </w:r>
      <w:r>
        <w:t xml:space="preserve">have </w:t>
      </w:r>
      <w:r w:rsidRPr="00326C2D">
        <w:t>complete</w:t>
      </w:r>
      <w:r>
        <w:t>d</w:t>
      </w:r>
      <w:r w:rsidRPr="00326C2D">
        <w:t xml:space="preserve"> </w:t>
      </w:r>
      <w:r>
        <w:t>y</w:t>
      </w:r>
      <w:r w:rsidRPr="00326C2D">
        <w:t xml:space="preserve">ear 10 and </w:t>
      </w:r>
      <w:r>
        <w:t>are</w:t>
      </w:r>
      <w:r w:rsidRPr="00326C2D">
        <w:t xml:space="preserve"> exempt from participating in an eligible option</w:t>
      </w:r>
    </w:p>
    <w:p w14:paraId="4C70D65B" w14:textId="77777777" w:rsidR="00803DD1" w:rsidRPr="00EB39BA" w:rsidRDefault="00803DD1" w:rsidP="00803DD1">
      <w:pPr>
        <w:pStyle w:val="BodyText"/>
        <w:numPr>
          <w:ilvl w:val="0"/>
          <w:numId w:val="46"/>
        </w:numPr>
        <w:spacing w:before="120" w:after="200"/>
      </w:pPr>
      <w:r w:rsidRPr="00326C2D">
        <w:t xml:space="preserve">they </w:t>
      </w:r>
      <w:r>
        <w:t xml:space="preserve">have </w:t>
      </w:r>
      <w:r w:rsidRPr="00326C2D">
        <w:t>reach</w:t>
      </w:r>
      <w:r>
        <w:t>ed</w:t>
      </w:r>
      <w:r w:rsidRPr="00326C2D">
        <w:t xml:space="preserve"> 17 years</w:t>
      </w:r>
      <w:r>
        <w:t xml:space="preserve"> of age</w:t>
      </w:r>
      <w:r w:rsidRPr="00326C2D">
        <w:t>.</w:t>
      </w:r>
    </w:p>
    <w:p w14:paraId="1FDC3667" w14:textId="77777777" w:rsidR="00803DD1" w:rsidRDefault="00803DD1" w:rsidP="00803DD1">
      <w:r>
        <w:t>It is a legal responsibility for a parent who has daily care and control of a child of compulsory school age and a child of compulsory school age who is living independently to ensure compulsory enrolment requirements are met.</w:t>
      </w:r>
    </w:p>
    <w:p w14:paraId="5E1FE2FC" w14:textId="77777777" w:rsidR="00803DD1" w:rsidRDefault="00803DD1" w:rsidP="00803DD1">
      <w:r>
        <w:t>This document outlines the procedures for enrolment in an NT Government school. These procedures also apply to prospective interstate, international, and mature age students.</w:t>
      </w:r>
    </w:p>
    <w:p w14:paraId="0853C806" w14:textId="77777777" w:rsidR="00803DD1" w:rsidRPr="008F10E9" w:rsidRDefault="00803DD1" w:rsidP="00803DD1">
      <w:pPr>
        <w:pStyle w:val="Heading1"/>
        <w:ind w:left="431" w:hanging="431"/>
        <w:rPr>
          <w:bCs w:val="0"/>
          <w:noProof/>
          <w:lang w:eastAsia="en-AU"/>
        </w:rPr>
      </w:pPr>
      <w:bookmarkStart w:id="1" w:name="_Toc194928345"/>
      <w:r w:rsidRPr="008F10E9">
        <w:rPr>
          <w:noProof/>
          <w:lang w:eastAsia="en-AU"/>
        </w:rPr>
        <w:t>Procedures</w:t>
      </w:r>
      <w:r>
        <w:rPr>
          <w:noProof/>
          <w:lang w:eastAsia="en-AU"/>
        </w:rPr>
        <w:t xml:space="preserve"> for enrolment</w:t>
      </w:r>
      <w:bookmarkEnd w:id="1"/>
    </w:p>
    <w:p w14:paraId="112D45EE" w14:textId="77777777" w:rsidR="00803DD1" w:rsidRDefault="00803DD1" w:rsidP="00E62C5E">
      <w:pPr>
        <w:pStyle w:val="Heading2"/>
      </w:pPr>
      <w:bookmarkStart w:id="2" w:name="_Toc194928346"/>
      <w:r>
        <w:t>Parents of children, children living independently, and mature age students</w:t>
      </w:r>
      <w:bookmarkEnd w:id="2"/>
    </w:p>
    <w:p w14:paraId="10E07456" w14:textId="77777777" w:rsidR="00803DD1" w:rsidRPr="00BF235F" w:rsidRDefault="00803DD1" w:rsidP="00803DD1">
      <w:pPr>
        <w:rPr>
          <w:lang w:eastAsia="en-AU"/>
        </w:rPr>
      </w:pPr>
      <w:r>
        <w:rPr>
          <w:lang w:eastAsia="en-AU"/>
        </w:rPr>
        <w:t>Parents of children, children living independently, and mature age students must:</w:t>
      </w:r>
    </w:p>
    <w:p w14:paraId="0DDBB58D" w14:textId="492627CA" w:rsidR="00803DD1" w:rsidRPr="0032796E" w:rsidRDefault="00803DD1" w:rsidP="00803DD1">
      <w:pPr>
        <w:pStyle w:val="ListParagraph"/>
        <w:numPr>
          <w:ilvl w:val="0"/>
          <w:numId w:val="42"/>
        </w:numPr>
        <w:ind w:left="714" w:hanging="357"/>
        <w:rPr>
          <w:lang w:eastAsia="en-AU"/>
        </w:rPr>
      </w:pPr>
      <w:r>
        <w:rPr>
          <w:lang w:eastAsia="en-AU"/>
        </w:rPr>
        <w:t xml:space="preserve">complete and submit a </w:t>
      </w:r>
      <w:r w:rsidR="001E2112">
        <w:rPr>
          <w:lang w:eastAsia="en-AU"/>
        </w:rPr>
        <w:t xml:space="preserve">student </w:t>
      </w:r>
      <w:r>
        <w:rPr>
          <w:lang w:eastAsia="en-AU"/>
        </w:rPr>
        <w:t>enrolment form for the first time they are enrolled in an NT Government school. Enrolment forms are available at the NT Government’s Enrol your child at school webpage</w:t>
      </w:r>
    </w:p>
    <w:p w14:paraId="40D09F70" w14:textId="77777777" w:rsidR="00803DD1" w:rsidRDefault="00803DD1" w:rsidP="00803DD1">
      <w:pPr>
        <w:pStyle w:val="ListParagraph"/>
        <w:numPr>
          <w:ilvl w:val="0"/>
          <w:numId w:val="42"/>
        </w:numPr>
        <w:ind w:left="714" w:hanging="357"/>
        <w:rPr>
          <w:lang w:eastAsia="en-AU"/>
        </w:rPr>
      </w:pPr>
      <w:r>
        <w:rPr>
          <w:lang w:eastAsia="en-AU"/>
        </w:rPr>
        <w:t>take copies of all required supporting documentation to the school in which they wish to enrol. This documentation cannot be lodged online. Supporting documentation includes:</w:t>
      </w:r>
    </w:p>
    <w:p w14:paraId="1E8174E4" w14:textId="77777777" w:rsidR="00803DD1" w:rsidRDefault="00803DD1" w:rsidP="00803DD1">
      <w:pPr>
        <w:pStyle w:val="ListParagraph"/>
        <w:numPr>
          <w:ilvl w:val="1"/>
          <w:numId w:val="42"/>
        </w:numPr>
        <w:ind w:left="1434" w:hanging="357"/>
        <w:rPr>
          <w:lang w:eastAsia="en-AU"/>
        </w:rPr>
      </w:pPr>
      <w:r>
        <w:rPr>
          <w:lang w:eastAsia="en-AU"/>
        </w:rPr>
        <w:t>proof of identity that identifies a child or young person’s</w:t>
      </w:r>
    </w:p>
    <w:p w14:paraId="676E0333" w14:textId="77777777" w:rsidR="00803DD1" w:rsidRDefault="00803DD1" w:rsidP="00803DD1">
      <w:pPr>
        <w:pStyle w:val="ListParagraph"/>
        <w:numPr>
          <w:ilvl w:val="4"/>
          <w:numId w:val="42"/>
        </w:numPr>
        <w:ind w:left="2058" w:hanging="357"/>
        <w:rPr>
          <w:lang w:eastAsia="en-AU"/>
        </w:rPr>
      </w:pPr>
      <w:r>
        <w:rPr>
          <w:lang w:eastAsia="en-AU"/>
        </w:rPr>
        <w:t>name</w:t>
      </w:r>
    </w:p>
    <w:p w14:paraId="027DBA76" w14:textId="77777777" w:rsidR="00803DD1" w:rsidRDefault="00803DD1" w:rsidP="00803DD1">
      <w:pPr>
        <w:pStyle w:val="ListParagraph"/>
        <w:numPr>
          <w:ilvl w:val="4"/>
          <w:numId w:val="42"/>
        </w:numPr>
        <w:ind w:left="2058" w:hanging="357"/>
        <w:rPr>
          <w:lang w:eastAsia="en-AU"/>
        </w:rPr>
      </w:pPr>
      <w:r>
        <w:rPr>
          <w:lang w:eastAsia="en-AU"/>
        </w:rPr>
        <w:t>date of birth</w:t>
      </w:r>
    </w:p>
    <w:p w14:paraId="2C66E8CE" w14:textId="77777777" w:rsidR="00803DD1" w:rsidRDefault="00803DD1" w:rsidP="00803DD1">
      <w:pPr>
        <w:pStyle w:val="ListParagraph"/>
        <w:numPr>
          <w:ilvl w:val="4"/>
          <w:numId w:val="42"/>
        </w:numPr>
        <w:ind w:left="2058" w:hanging="357"/>
        <w:rPr>
          <w:lang w:eastAsia="en-AU"/>
        </w:rPr>
      </w:pPr>
      <w:r>
        <w:rPr>
          <w:lang w:eastAsia="en-AU"/>
        </w:rPr>
        <w:t>citizenship, permanent residency, or visa status</w:t>
      </w:r>
    </w:p>
    <w:p w14:paraId="02FDF990" w14:textId="77777777" w:rsidR="00803DD1" w:rsidRDefault="00803DD1" w:rsidP="00803DD1">
      <w:pPr>
        <w:pStyle w:val="ListParagraph"/>
        <w:numPr>
          <w:ilvl w:val="1"/>
          <w:numId w:val="42"/>
        </w:numPr>
        <w:ind w:left="1434" w:hanging="357"/>
        <w:rPr>
          <w:lang w:eastAsia="en-AU"/>
        </w:rPr>
      </w:pPr>
      <w:r>
        <w:rPr>
          <w:lang w:eastAsia="en-AU"/>
        </w:rPr>
        <w:t>documents supporting a child or young person’s proof of identity may include:</w:t>
      </w:r>
    </w:p>
    <w:p w14:paraId="1A229E51" w14:textId="6F6C0FCF" w:rsidR="00A83C1F" w:rsidRDefault="00A83C1F" w:rsidP="00803DD1">
      <w:pPr>
        <w:pStyle w:val="ListParagraph"/>
        <w:numPr>
          <w:ilvl w:val="4"/>
          <w:numId w:val="42"/>
        </w:numPr>
        <w:ind w:left="2058" w:hanging="357"/>
        <w:rPr>
          <w:lang w:eastAsia="en-AU"/>
        </w:rPr>
      </w:pPr>
      <w:r>
        <w:rPr>
          <w:lang w:eastAsia="en-AU"/>
        </w:rPr>
        <w:lastRenderedPageBreak/>
        <w:t>birth certificate</w:t>
      </w:r>
    </w:p>
    <w:p w14:paraId="2F26FA65" w14:textId="0BA6D413" w:rsidR="00803DD1" w:rsidRDefault="00803DD1" w:rsidP="00803DD1">
      <w:pPr>
        <w:pStyle w:val="ListParagraph"/>
        <w:numPr>
          <w:ilvl w:val="4"/>
          <w:numId w:val="42"/>
        </w:numPr>
        <w:ind w:left="2058" w:hanging="357"/>
        <w:rPr>
          <w:lang w:eastAsia="en-AU"/>
        </w:rPr>
      </w:pPr>
      <w:r>
        <w:rPr>
          <w:lang w:eastAsia="en-AU"/>
        </w:rPr>
        <w:t>citizenship certificate</w:t>
      </w:r>
    </w:p>
    <w:p w14:paraId="0560B728" w14:textId="36A42E73" w:rsidR="00803DD1" w:rsidRDefault="00803DD1" w:rsidP="00803DD1">
      <w:pPr>
        <w:pStyle w:val="ListParagraph"/>
        <w:numPr>
          <w:ilvl w:val="4"/>
          <w:numId w:val="42"/>
        </w:numPr>
        <w:ind w:left="2058" w:hanging="357"/>
        <w:rPr>
          <w:lang w:eastAsia="en-AU"/>
        </w:rPr>
      </w:pPr>
      <w:r>
        <w:rPr>
          <w:lang w:eastAsia="en-AU"/>
        </w:rPr>
        <w:t xml:space="preserve">Medicare </w:t>
      </w:r>
      <w:r w:rsidR="00CA03C0">
        <w:rPr>
          <w:lang w:eastAsia="en-AU"/>
        </w:rPr>
        <w:t>i</w:t>
      </w:r>
      <w:r>
        <w:rPr>
          <w:lang w:eastAsia="en-AU"/>
        </w:rPr>
        <w:t xml:space="preserve">mmunisation </w:t>
      </w:r>
      <w:r w:rsidR="00CA03C0">
        <w:rPr>
          <w:lang w:eastAsia="en-AU"/>
        </w:rPr>
        <w:t>h</w:t>
      </w:r>
      <w:r>
        <w:rPr>
          <w:lang w:eastAsia="en-AU"/>
        </w:rPr>
        <w:t xml:space="preserve">istory </w:t>
      </w:r>
      <w:r w:rsidR="00CA03C0">
        <w:rPr>
          <w:lang w:eastAsia="en-AU"/>
        </w:rPr>
        <w:t>s</w:t>
      </w:r>
      <w:r>
        <w:rPr>
          <w:lang w:eastAsia="en-AU"/>
        </w:rPr>
        <w:t>tatement</w:t>
      </w:r>
    </w:p>
    <w:p w14:paraId="6A5F316D" w14:textId="77777777" w:rsidR="00803DD1" w:rsidRDefault="00803DD1" w:rsidP="00803DD1">
      <w:pPr>
        <w:pStyle w:val="ListParagraph"/>
        <w:numPr>
          <w:ilvl w:val="4"/>
          <w:numId w:val="42"/>
        </w:numPr>
        <w:ind w:left="2058" w:hanging="357"/>
        <w:rPr>
          <w:lang w:eastAsia="en-AU"/>
        </w:rPr>
      </w:pPr>
      <w:r>
        <w:rPr>
          <w:lang w:eastAsia="en-AU"/>
        </w:rPr>
        <w:t>Australian passport</w:t>
      </w:r>
    </w:p>
    <w:p w14:paraId="60F80FC4" w14:textId="77777777" w:rsidR="00803DD1" w:rsidRDefault="00803DD1" w:rsidP="00803DD1">
      <w:pPr>
        <w:pStyle w:val="ListParagraph"/>
        <w:numPr>
          <w:ilvl w:val="4"/>
          <w:numId w:val="42"/>
        </w:numPr>
        <w:ind w:left="2058" w:hanging="357"/>
        <w:rPr>
          <w:lang w:eastAsia="en-AU"/>
        </w:rPr>
      </w:pPr>
      <w:r>
        <w:rPr>
          <w:lang w:eastAsia="en-AU"/>
        </w:rPr>
        <w:t>non-Australian passport that has been granted with an official Australian Government visa</w:t>
      </w:r>
    </w:p>
    <w:p w14:paraId="2781C4FF" w14:textId="77777777" w:rsidR="00803DD1" w:rsidRDefault="00803DD1" w:rsidP="00803DD1">
      <w:pPr>
        <w:pStyle w:val="ListParagraph"/>
        <w:numPr>
          <w:ilvl w:val="4"/>
          <w:numId w:val="42"/>
        </w:numPr>
        <w:ind w:left="2058" w:hanging="357"/>
        <w:rPr>
          <w:lang w:eastAsia="en-AU"/>
        </w:rPr>
      </w:pPr>
      <w:r>
        <w:rPr>
          <w:lang w:eastAsia="en-AU"/>
        </w:rPr>
        <w:t>travel documentation specifying the visa subclass and date of expiry</w:t>
      </w:r>
    </w:p>
    <w:p w14:paraId="386F289A" w14:textId="77777777" w:rsidR="00803DD1" w:rsidRDefault="00803DD1" w:rsidP="00803DD1">
      <w:pPr>
        <w:pStyle w:val="ListParagraph"/>
        <w:numPr>
          <w:ilvl w:val="4"/>
          <w:numId w:val="42"/>
        </w:numPr>
        <w:ind w:left="2058" w:hanging="357"/>
        <w:rPr>
          <w:lang w:eastAsia="en-AU"/>
        </w:rPr>
      </w:pPr>
      <w:r>
        <w:rPr>
          <w:lang w:eastAsia="en-AU"/>
        </w:rPr>
        <w:t>any appropriate document issued by a government agency such as a Tax File Number, an approved Aboriginal Corporations identification, a Certificate of Aboriginality, or an identity document issued by an Aboriginal Land Council that includes a photograph</w:t>
      </w:r>
    </w:p>
    <w:p w14:paraId="1B757E1B" w14:textId="77777777" w:rsidR="00803DD1" w:rsidRDefault="00803DD1" w:rsidP="00803DD1">
      <w:pPr>
        <w:pStyle w:val="ListParagraph"/>
        <w:numPr>
          <w:ilvl w:val="1"/>
          <w:numId w:val="42"/>
        </w:numPr>
        <w:ind w:left="1434" w:hanging="357"/>
        <w:rPr>
          <w:lang w:eastAsia="en-AU"/>
        </w:rPr>
      </w:pPr>
      <w:r>
        <w:rPr>
          <w:lang w:eastAsia="en-AU"/>
        </w:rPr>
        <w:t>proof of an NT residential address, which may include:</w:t>
      </w:r>
    </w:p>
    <w:p w14:paraId="05738357" w14:textId="77777777" w:rsidR="00803DD1" w:rsidRDefault="00803DD1" w:rsidP="00803DD1">
      <w:pPr>
        <w:pStyle w:val="ListParagraph"/>
        <w:numPr>
          <w:ilvl w:val="4"/>
          <w:numId w:val="42"/>
        </w:numPr>
        <w:ind w:left="2058" w:hanging="357"/>
        <w:rPr>
          <w:lang w:eastAsia="en-AU"/>
        </w:rPr>
      </w:pPr>
      <w:r>
        <w:rPr>
          <w:lang w:eastAsia="en-AU"/>
        </w:rPr>
        <w:t>telephone bill</w:t>
      </w:r>
    </w:p>
    <w:p w14:paraId="3B82568E" w14:textId="77777777" w:rsidR="00803DD1" w:rsidRDefault="00803DD1" w:rsidP="00803DD1">
      <w:pPr>
        <w:pStyle w:val="ListParagraph"/>
        <w:numPr>
          <w:ilvl w:val="4"/>
          <w:numId w:val="42"/>
        </w:numPr>
        <w:ind w:left="2058" w:hanging="357"/>
        <w:rPr>
          <w:lang w:eastAsia="en-AU"/>
        </w:rPr>
      </w:pPr>
      <w:r>
        <w:rPr>
          <w:lang w:eastAsia="en-AU"/>
        </w:rPr>
        <w:t>electricity bill</w:t>
      </w:r>
    </w:p>
    <w:p w14:paraId="123F5709" w14:textId="77777777" w:rsidR="00803DD1" w:rsidRDefault="00803DD1" w:rsidP="00803DD1">
      <w:pPr>
        <w:pStyle w:val="ListParagraph"/>
        <w:numPr>
          <w:ilvl w:val="4"/>
          <w:numId w:val="42"/>
        </w:numPr>
        <w:ind w:left="2058" w:hanging="357"/>
        <w:rPr>
          <w:lang w:eastAsia="en-AU"/>
        </w:rPr>
      </w:pPr>
      <w:r>
        <w:rPr>
          <w:lang w:eastAsia="en-AU"/>
        </w:rPr>
        <w:t>rental agreement</w:t>
      </w:r>
    </w:p>
    <w:p w14:paraId="22FAB8C2" w14:textId="77777777" w:rsidR="00803DD1" w:rsidRDefault="00803DD1" w:rsidP="00803DD1">
      <w:pPr>
        <w:pStyle w:val="ListParagraph"/>
        <w:numPr>
          <w:ilvl w:val="4"/>
          <w:numId w:val="42"/>
        </w:numPr>
        <w:ind w:left="2058" w:hanging="357"/>
        <w:rPr>
          <w:lang w:eastAsia="en-AU"/>
        </w:rPr>
      </w:pPr>
      <w:r>
        <w:rPr>
          <w:lang w:eastAsia="en-AU"/>
        </w:rPr>
        <w:t>Health Care Card</w:t>
      </w:r>
    </w:p>
    <w:p w14:paraId="078E9EB5" w14:textId="77777777" w:rsidR="00803DD1" w:rsidRDefault="00803DD1" w:rsidP="00803DD1">
      <w:pPr>
        <w:pStyle w:val="ListParagraph"/>
        <w:numPr>
          <w:ilvl w:val="4"/>
          <w:numId w:val="42"/>
        </w:numPr>
        <w:ind w:left="2058" w:hanging="357"/>
        <w:rPr>
          <w:lang w:eastAsia="en-AU"/>
        </w:rPr>
      </w:pPr>
      <w:r>
        <w:rPr>
          <w:lang w:eastAsia="en-AU"/>
        </w:rPr>
        <w:t>driver licence</w:t>
      </w:r>
    </w:p>
    <w:p w14:paraId="056B2A06" w14:textId="77777777" w:rsidR="00803DD1" w:rsidRDefault="00803DD1" w:rsidP="00803DD1">
      <w:pPr>
        <w:pStyle w:val="ListParagraph"/>
        <w:numPr>
          <w:ilvl w:val="4"/>
          <w:numId w:val="42"/>
        </w:numPr>
        <w:ind w:left="2058" w:hanging="357"/>
        <w:rPr>
          <w:lang w:eastAsia="en-AU"/>
        </w:rPr>
      </w:pPr>
      <w:r>
        <w:rPr>
          <w:lang w:eastAsia="en-AU"/>
        </w:rPr>
        <w:t>NT motor vehicle registration certificate</w:t>
      </w:r>
    </w:p>
    <w:p w14:paraId="7B37D85B" w14:textId="77777777" w:rsidR="00803DD1" w:rsidRDefault="00803DD1" w:rsidP="00803DD1">
      <w:pPr>
        <w:pStyle w:val="ListParagraph"/>
        <w:numPr>
          <w:ilvl w:val="4"/>
          <w:numId w:val="42"/>
        </w:numPr>
        <w:ind w:left="2058" w:hanging="357"/>
        <w:rPr>
          <w:lang w:eastAsia="en-AU"/>
        </w:rPr>
      </w:pPr>
      <w:r>
        <w:rPr>
          <w:lang w:eastAsia="en-AU"/>
        </w:rPr>
        <w:t>Centrelink card with reference number</w:t>
      </w:r>
    </w:p>
    <w:p w14:paraId="28741365" w14:textId="77777777" w:rsidR="00803DD1" w:rsidRDefault="00803DD1" w:rsidP="00803DD1">
      <w:pPr>
        <w:pStyle w:val="ListParagraph"/>
        <w:numPr>
          <w:ilvl w:val="4"/>
          <w:numId w:val="42"/>
        </w:numPr>
        <w:ind w:left="2058" w:hanging="357"/>
        <w:rPr>
          <w:lang w:eastAsia="en-AU"/>
        </w:rPr>
      </w:pPr>
      <w:r>
        <w:rPr>
          <w:lang w:eastAsia="en-AU"/>
        </w:rPr>
        <w:t>reference letter from Aboriginal Corporation</w:t>
      </w:r>
    </w:p>
    <w:p w14:paraId="0818D8BF" w14:textId="77777777" w:rsidR="00803DD1" w:rsidRDefault="00803DD1" w:rsidP="00803DD1">
      <w:pPr>
        <w:pStyle w:val="ListParagraph"/>
        <w:numPr>
          <w:ilvl w:val="4"/>
          <w:numId w:val="42"/>
        </w:numPr>
        <w:ind w:left="2058" w:hanging="357"/>
        <w:rPr>
          <w:lang w:eastAsia="en-AU"/>
        </w:rPr>
      </w:pPr>
      <w:r>
        <w:rPr>
          <w:lang w:eastAsia="en-AU"/>
        </w:rPr>
        <w:t>council rates notice</w:t>
      </w:r>
    </w:p>
    <w:p w14:paraId="3C3FBCB4" w14:textId="77777777" w:rsidR="00803DD1" w:rsidRDefault="00803DD1" w:rsidP="00803DD1">
      <w:pPr>
        <w:pStyle w:val="ListParagraph"/>
        <w:numPr>
          <w:ilvl w:val="4"/>
          <w:numId w:val="42"/>
        </w:numPr>
        <w:ind w:left="2058" w:hanging="357"/>
        <w:rPr>
          <w:lang w:eastAsia="en-AU"/>
        </w:rPr>
      </w:pPr>
      <w:r>
        <w:rPr>
          <w:lang w:eastAsia="en-AU"/>
        </w:rPr>
        <w:t>tax assessment notice</w:t>
      </w:r>
    </w:p>
    <w:p w14:paraId="7E96D00E" w14:textId="17FFD0E4" w:rsidR="00803DD1" w:rsidRDefault="00803DD1" w:rsidP="00A83C1F">
      <w:pPr>
        <w:pStyle w:val="ListParagraph"/>
        <w:numPr>
          <w:ilvl w:val="4"/>
          <w:numId w:val="42"/>
        </w:numPr>
        <w:ind w:left="2058" w:hanging="357"/>
        <w:rPr>
          <w:lang w:eastAsia="en-AU"/>
        </w:rPr>
      </w:pPr>
      <w:r>
        <w:rPr>
          <w:lang w:eastAsia="en-AU"/>
        </w:rPr>
        <w:t>letter from a police station</w:t>
      </w:r>
    </w:p>
    <w:p w14:paraId="3EB4EA94" w14:textId="1F8DE8BE" w:rsidR="00A83C1F" w:rsidRDefault="00A83C1F" w:rsidP="00A83C1F">
      <w:pPr>
        <w:pStyle w:val="ListParagraph"/>
        <w:numPr>
          <w:ilvl w:val="4"/>
          <w:numId w:val="42"/>
        </w:numPr>
        <w:ind w:left="2058" w:hanging="357"/>
        <w:rPr>
          <w:lang w:eastAsia="en-AU"/>
        </w:rPr>
      </w:pPr>
      <w:r>
        <w:rPr>
          <w:lang w:eastAsia="en-AU"/>
        </w:rPr>
        <w:t>letter from Community Engagement, Defence Member and Family Support for families of defence officers</w:t>
      </w:r>
    </w:p>
    <w:p w14:paraId="7AB8A397" w14:textId="57D13D8F" w:rsidR="00803DD1" w:rsidRDefault="001E2112" w:rsidP="00803DD1">
      <w:pPr>
        <w:pStyle w:val="ListParagraph"/>
        <w:ind w:left="1435"/>
        <w:rPr>
          <w:lang w:eastAsia="en-AU"/>
        </w:rPr>
      </w:pPr>
      <w:r>
        <w:rPr>
          <w:lang w:eastAsia="en-AU"/>
        </w:rPr>
        <w:t xml:space="preserve">The list above is not exhaustive, schools may suggest other documents as evidence of residential address. </w:t>
      </w:r>
      <w:r w:rsidR="00803DD1">
        <w:rPr>
          <w:lang w:eastAsia="en-AU"/>
        </w:rPr>
        <w:t xml:space="preserve">These supporting documents must include </w:t>
      </w:r>
      <w:r w:rsidR="00D96FD7">
        <w:rPr>
          <w:lang w:eastAsia="en-AU"/>
        </w:rPr>
        <w:t xml:space="preserve">a </w:t>
      </w:r>
      <w:r w:rsidR="00803DD1">
        <w:rPr>
          <w:lang w:eastAsia="en-AU"/>
        </w:rPr>
        <w:t>residential address. Post office boxes are not acceptable.</w:t>
      </w:r>
    </w:p>
    <w:p w14:paraId="1868D776" w14:textId="77777777" w:rsidR="00803DD1" w:rsidRDefault="00803DD1" w:rsidP="00803DD1">
      <w:pPr>
        <w:pStyle w:val="ListParagraph"/>
        <w:ind w:left="1435"/>
        <w:rPr>
          <w:lang w:eastAsia="en-AU"/>
        </w:rPr>
      </w:pPr>
      <w:r w:rsidRPr="00CC78FF">
        <w:rPr>
          <w:lang w:eastAsia="en-AU"/>
        </w:rPr>
        <w:t>The school may ask a parent of a child, a child living independently, or a prospective mature age student to complete a statutory declaration. And any person who makes a false declaration is liable to penalties.</w:t>
      </w:r>
    </w:p>
    <w:p w14:paraId="091E8A3C" w14:textId="77777777" w:rsidR="00803DD1" w:rsidRDefault="00803DD1" w:rsidP="00803DD1">
      <w:pPr>
        <w:pStyle w:val="ListParagraph"/>
        <w:numPr>
          <w:ilvl w:val="1"/>
          <w:numId w:val="42"/>
        </w:numPr>
        <w:ind w:left="1434" w:hanging="357"/>
        <w:rPr>
          <w:lang w:eastAsia="en-AU"/>
        </w:rPr>
      </w:pPr>
      <w:r>
        <w:rPr>
          <w:lang w:eastAsia="en-AU"/>
        </w:rPr>
        <w:t>proof of immunisation status, which may include:</w:t>
      </w:r>
    </w:p>
    <w:p w14:paraId="73A9D465" w14:textId="44D481AC" w:rsidR="00803DD1" w:rsidRDefault="00803DD1" w:rsidP="00803DD1">
      <w:pPr>
        <w:pStyle w:val="ListParagraph"/>
        <w:numPr>
          <w:ilvl w:val="4"/>
          <w:numId w:val="42"/>
        </w:numPr>
        <w:ind w:left="2058" w:hanging="357"/>
        <w:rPr>
          <w:lang w:eastAsia="en-AU"/>
        </w:rPr>
      </w:pPr>
      <w:r>
        <w:rPr>
          <w:lang w:eastAsia="en-AU"/>
        </w:rPr>
        <w:t xml:space="preserve">Medicare </w:t>
      </w:r>
      <w:r w:rsidR="00CA03C0">
        <w:rPr>
          <w:lang w:eastAsia="en-AU"/>
        </w:rPr>
        <w:t>i</w:t>
      </w:r>
      <w:r>
        <w:rPr>
          <w:lang w:eastAsia="en-AU"/>
        </w:rPr>
        <w:t xml:space="preserve">mmunisation </w:t>
      </w:r>
      <w:r w:rsidR="00CA03C0">
        <w:rPr>
          <w:lang w:eastAsia="en-AU"/>
        </w:rPr>
        <w:t>h</w:t>
      </w:r>
      <w:r>
        <w:rPr>
          <w:lang w:eastAsia="en-AU"/>
        </w:rPr>
        <w:t xml:space="preserve">istory </w:t>
      </w:r>
      <w:r w:rsidR="00CA03C0">
        <w:rPr>
          <w:lang w:eastAsia="en-AU"/>
        </w:rPr>
        <w:t>s</w:t>
      </w:r>
      <w:r>
        <w:rPr>
          <w:lang w:eastAsia="en-AU"/>
        </w:rPr>
        <w:t>tatement</w:t>
      </w:r>
    </w:p>
    <w:p w14:paraId="55461429" w14:textId="77777777" w:rsidR="00803DD1" w:rsidRDefault="00803DD1" w:rsidP="00803DD1">
      <w:pPr>
        <w:pStyle w:val="ListParagraph"/>
        <w:numPr>
          <w:ilvl w:val="4"/>
          <w:numId w:val="42"/>
        </w:numPr>
        <w:ind w:left="2058" w:hanging="357"/>
        <w:rPr>
          <w:lang w:eastAsia="en-AU"/>
        </w:rPr>
      </w:pPr>
      <w:r>
        <w:rPr>
          <w:lang w:eastAsia="en-AU"/>
        </w:rPr>
        <w:t>the child or young person’s immunisation card</w:t>
      </w:r>
    </w:p>
    <w:p w14:paraId="7C805144" w14:textId="77777777" w:rsidR="00803DD1" w:rsidRPr="00CC78FF" w:rsidRDefault="00803DD1" w:rsidP="00803DD1">
      <w:pPr>
        <w:pStyle w:val="ListParagraph"/>
        <w:ind w:left="1435"/>
        <w:rPr>
          <w:lang w:eastAsia="en-AU"/>
        </w:rPr>
      </w:pPr>
      <w:r w:rsidRPr="00CC78FF">
        <w:rPr>
          <w:lang w:eastAsia="en-AU"/>
        </w:rPr>
        <w:t>Children who are not immunised are still able to be enrolled dependent on specific public health measures at the time of enrolment, for example, the NT Chief Health Officer directions</w:t>
      </w:r>
    </w:p>
    <w:p w14:paraId="61BA9EE1" w14:textId="77777777" w:rsidR="00803DD1" w:rsidRDefault="00803DD1" w:rsidP="00803DD1">
      <w:pPr>
        <w:pStyle w:val="ListParagraph"/>
        <w:numPr>
          <w:ilvl w:val="1"/>
          <w:numId w:val="42"/>
        </w:numPr>
        <w:ind w:left="1434" w:hanging="357"/>
        <w:rPr>
          <w:lang w:eastAsia="en-AU"/>
        </w:rPr>
      </w:pPr>
      <w:r>
        <w:rPr>
          <w:lang w:eastAsia="en-AU"/>
        </w:rPr>
        <w:t>documentation for special family circumstances, such as documentation for relevant court orders and associated arrangements for:</w:t>
      </w:r>
    </w:p>
    <w:p w14:paraId="4F6DFD45" w14:textId="77777777" w:rsidR="00803DD1" w:rsidRDefault="00803DD1" w:rsidP="00803DD1">
      <w:pPr>
        <w:pStyle w:val="ListParagraph"/>
        <w:numPr>
          <w:ilvl w:val="4"/>
          <w:numId w:val="42"/>
        </w:numPr>
        <w:ind w:left="2058" w:hanging="357"/>
        <w:rPr>
          <w:lang w:eastAsia="en-AU"/>
        </w:rPr>
      </w:pPr>
      <w:r>
        <w:rPr>
          <w:lang w:eastAsia="en-AU"/>
        </w:rPr>
        <w:lastRenderedPageBreak/>
        <w:t>parental responsibility, including the authority to make decisions regarding a child or young person’s welfare including education</w:t>
      </w:r>
    </w:p>
    <w:p w14:paraId="499A309C" w14:textId="77777777" w:rsidR="00803DD1" w:rsidRDefault="00803DD1" w:rsidP="00803DD1">
      <w:pPr>
        <w:pStyle w:val="ListParagraph"/>
        <w:numPr>
          <w:ilvl w:val="4"/>
          <w:numId w:val="42"/>
        </w:numPr>
        <w:ind w:left="2058" w:hanging="357"/>
        <w:rPr>
          <w:lang w:eastAsia="en-AU"/>
        </w:rPr>
      </w:pPr>
      <w:r>
        <w:rPr>
          <w:lang w:eastAsia="en-AU"/>
        </w:rPr>
        <w:t>sole or shared custody</w:t>
      </w:r>
    </w:p>
    <w:p w14:paraId="3B47A3C5" w14:textId="77777777" w:rsidR="00803DD1" w:rsidRDefault="00803DD1" w:rsidP="00803DD1">
      <w:pPr>
        <w:pStyle w:val="ListParagraph"/>
        <w:numPr>
          <w:ilvl w:val="4"/>
          <w:numId w:val="42"/>
        </w:numPr>
        <w:ind w:left="2058" w:hanging="357"/>
        <w:rPr>
          <w:lang w:eastAsia="en-AU"/>
        </w:rPr>
      </w:pPr>
      <w:r>
        <w:rPr>
          <w:lang w:eastAsia="en-AU"/>
        </w:rPr>
        <w:t>access restrictions</w:t>
      </w:r>
    </w:p>
    <w:p w14:paraId="466280E7" w14:textId="77777777" w:rsidR="00803DD1" w:rsidRDefault="00803DD1" w:rsidP="00803DD1">
      <w:pPr>
        <w:pStyle w:val="ListParagraph"/>
        <w:numPr>
          <w:ilvl w:val="4"/>
          <w:numId w:val="42"/>
        </w:numPr>
        <w:ind w:left="2058" w:hanging="357"/>
        <w:rPr>
          <w:lang w:eastAsia="en-AU"/>
        </w:rPr>
      </w:pPr>
      <w:r>
        <w:rPr>
          <w:lang w:eastAsia="en-AU"/>
        </w:rPr>
        <w:t>living in out of home care</w:t>
      </w:r>
    </w:p>
    <w:p w14:paraId="4BF7EA92" w14:textId="77777777" w:rsidR="00803DD1" w:rsidRDefault="00803DD1" w:rsidP="00803DD1">
      <w:pPr>
        <w:pStyle w:val="ListParagraph"/>
        <w:numPr>
          <w:ilvl w:val="4"/>
          <w:numId w:val="42"/>
        </w:numPr>
        <w:ind w:left="2058" w:hanging="357"/>
        <w:rPr>
          <w:lang w:eastAsia="en-AU"/>
        </w:rPr>
      </w:pPr>
      <w:r>
        <w:rPr>
          <w:lang w:eastAsia="en-AU"/>
        </w:rPr>
        <w:t>living apart from parental supervision</w:t>
      </w:r>
    </w:p>
    <w:p w14:paraId="00EEB5EA" w14:textId="277F887D" w:rsidR="00803DD1" w:rsidRPr="0032796E" w:rsidRDefault="00803DD1" w:rsidP="00803DD1">
      <w:pPr>
        <w:pStyle w:val="ListParagraph"/>
        <w:numPr>
          <w:ilvl w:val="1"/>
          <w:numId w:val="42"/>
        </w:numPr>
        <w:spacing w:after="200"/>
        <w:ind w:left="1434" w:hanging="357"/>
        <w:rPr>
          <w:lang w:eastAsia="en-AU"/>
        </w:rPr>
      </w:pPr>
      <w:r>
        <w:rPr>
          <w:lang w:eastAsia="en-AU"/>
        </w:rPr>
        <w:t>a signed Student consent for media and intellectual property form if they agree for the child or young person to feature in any media coverage of school activities, student works and department and NT Government promotional events for the duration of their enrolment. The signed form only needs to be provided the first time the child or young person is enrolled in an NT Government school</w:t>
      </w:r>
    </w:p>
    <w:p w14:paraId="60C58170" w14:textId="62A3F78E" w:rsidR="00803DD1" w:rsidRDefault="00803DD1" w:rsidP="00803DD1">
      <w:pPr>
        <w:pStyle w:val="ListParagraph"/>
        <w:numPr>
          <w:ilvl w:val="0"/>
          <w:numId w:val="42"/>
        </w:numPr>
        <w:spacing w:after="200"/>
        <w:ind w:left="714" w:hanging="357"/>
        <w:rPr>
          <w:lang w:eastAsia="en-AU"/>
        </w:rPr>
      </w:pPr>
      <w:r>
        <w:rPr>
          <w:lang w:eastAsia="en-AU"/>
        </w:rPr>
        <w:t>provide any other relevant information to the school in relation to the child or young person’s health and wellbeing. For example, the child or young person has been subject to bullying or may cause harm to self and or others</w:t>
      </w:r>
    </w:p>
    <w:p w14:paraId="14037EB5" w14:textId="77777777" w:rsidR="00803DD1" w:rsidRDefault="00803DD1" w:rsidP="00803DD1">
      <w:pPr>
        <w:pStyle w:val="ListParagraph"/>
        <w:numPr>
          <w:ilvl w:val="0"/>
          <w:numId w:val="42"/>
        </w:numPr>
        <w:spacing w:after="200"/>
        <w:ind w:left="714" w:hanging="357"/>
        <w:rPr>
          <w:lang w:eastAsia="en-AU"/>
        </w:rPr>
      </w:pPr>
      <w:r>
        <w:rPr>
          <w:lang w:eastAsia="en-AU"/>
        </w:rPr>
        <w:t>attend the school with the enrolment form if not lodged online. Copies of supporting documentation cannot be submitted online and must be provided at the enrolment meeting. The enrolment form must be signed in front of a school staff witness.</w:t>
      </w:r>
    </w:p>
    <w:p w14:paraId="65209C99" w14:textId="6280A8F2" w:rsidR="00803DD1" w:rsidRPr="0066578E" w:rsidRDefault="00803DD1" w:rsidP="00803DD1">
      <w:pPr>
        <w:rPr>
          <w:lang w:eastAsia="en-AU"/>
        </w:rPr>
      </w:pPr>
      <w:r w:rsidRPr="0066578E">
        <w:rPr>
          <w:lang w:eastAsia="en-AU"/>
        </w:rPr>
        <w:t>Additional documentation</w:t>
      </w:r>
      <w:r w:rsidR="003742AE">
        <w:rPr>
          <w:lang w:eastAsia="en-AU"/>
        </w:rPr>
        <w:t xml:space="preserve"> and procedures</w:t>
      </w:r>
      <w:r w:rsidRPr="0066578E">
        <w:rPr>
          <w:lang w:eastAsia="en-AU"/>
        </w:rPr>
        <w:t xml:space="preserve"> </w:t>
      </w:r>
      <w:r w:rsidR="003742AE">
        <w:rPr>
          <w:lang w:eastAsia="en-AU"/>
        </w:rPr>
        <w:t>are</w:t>
      </w:r>
      <w:r w:rsidR="003742AE" w:rsidRPr="0066578E">
        <w:rPr>
          <w:lang w:eastAsia="en-AU"/>
        </w:rPr>
        <w:t xml:space="preserve"> </w:t>
      </w:r>
      <w:r w:rsidRPr="0066578E">
        <w:rPr>
          <w:lang w:eastAsia="en-AU"/>
        </w:rPr>
        <w:t xml:space="preserve">required for </w:t>
      </w:r>
      <w:r w:rsidR="003742AE">
        <w:rPr>
          <w:lang w:eastAsia="en-AU"/>
        </w:rPr>
        <w:t xml:space="preserve">enrolment of </w:t>
      </w:r>
      <w:r w:rsidRPr="0066578E">
        <w:rPr>
          <w:lang w:eastAsia="en-AU"/>
        </w:rPr>
        <w:t>interstate, international</w:t>
      </w:r>
      <w:r w:rsidR="003742AE">
        <w:rPr>
          <w:lang w:eastAsia="en-AU"/>
        </w:rPr>
        <w:t>,</w:t>
      </w:r>
      <w:r w:rsidRPr="0066578E">
        <w:rPr>
          <w:lang w:eastAsia="en-AU"/>
        </w:rPr>
        <w:t xml:space="preserve"> mature</w:t>
      </w:r>
      <w:r>
        <w:rPr>
          <w:lang w:eastAsia="en-AU"/>
        </w:rPr>
        <w:t xml:space="preserve"> </w:t>
      </w:r>
      <w:r w:rsidRPr="0066578E">
        <w:rPr>
          <w:lang w:eastAsia="en-AU"/>
        </w:rPr>
        <w:t>age student</w:t>
      </w:r>
      <w:r w:rsidR="003742AE">
        <w:rPr>
          <w:lang w:eastAsia="en-AU"/>
        </w:rPr>
        <w:t>s,</w:t>
      </w:r>
      <w:r w:rsidRPr="0066578E">
        <w:rPr>
          <w:lang w:eastAsia="en-AU"/>
        </w:rPr>
        <w:t xml:space="preserve"> </w:t>
      </w:r>
      <w:r w:rsidR="003742AE">
        <w:rPr>
          <w:lang w:eastAsia="en-AU"/>
        </w:rPr>
        <w:t>and students with intellectual disability and additional complex needs</w:t>
      </w:r>
      <w:r w:rsidRPr="0066578E">
        <w:rPr>
          <w:lang w:eastAsia="en-AU"/>
        </w:rPr>
        <w:t xml:space="preserve">. Please ensure you </w:t>
      </w:r>
      <w:r w:rsidR="00DE4283">
        <w:rPr>
          <w:lang w:eastAsia="en-AU"/>
        </w:rPr>
        <w:t xml:space="preserve">follow the procedures and </w:t>
      </w:r>
      <w:r w:rsidRPr="0066578E">
        <w:rPr>
          <w:lang w:eastAsia="en-AU"/>
        </w:rPr>
        <w:t xml:space="preserve">provide </w:t>
      </w:r>
      <w:r w:rsidR="00DE4283" w:rsidRPr="0066578E">
        <w:rPr>
          <w:lang w:eastAsia="en-AU"/>
        </w:rPr>
        <w:t>th</w:t>
      </w:r>
      <w:r w:rsidR="00DE4283">
        <w:rPr>
          <w:lang w:eastAsia="en-AU"/>
        </w:rPr>
        <w:t>e</w:t>
      </w:r>
      <w:r w:rsidR="00DE4283" w:rsidRPr="0066578E">
        <w:rPr>
          <w:lang w:eastAsia="en-AU"/>
        </w:rPr>
        <w:t xml:space="preserve"> </w:t>
      </w:r>
      <w:r w:rsidRPr="0066578E">
        <w:rPr>
          <w:lang w:eastAsia="en-AU"/>
        </w:rPr>
        <w:t>documentation as identified in one of the below:</w:t>
      </w:r>
    </w:p>
    <w:p w14:paraId="2F24984A" w14:textId="77777777" w:rsidR="00803DD1" w:rsidRPr="0066578E" w:rsidRDefault="00803DD1" w:rsidP="00803DD1">
      <w:pPr>
        <w:pStyle w:val="ListParagraph"/>
        <w:numPr>
          <w:ilvl w:val="0"/>
          <w:numId w:val="44"/>
        </w:numPr>
        <w:rPr>
          <w:lang w:eastAsia="en-AU"/>
        </w:rPr>
      </w:pPr>
      <w:r w:rsidRPr="00F614E9">
        <w:t>Distance education enrolment procedures</w:t>
      </w:r>
    </w:p>
    <w:p w14:paraId="29F30848" w14:textId="7CDE3C74" w:rsidR="00803DD1" w:rsidRDefault="00803DD1" w:rsidP="00E62C5E">
      <w:pPr>
        <w:pStyle w:val="ListParagraph"/>
        <w:numPr>
          <w:ilvl w:val="0"/>
          <w:numId w:val="44"/>
        </w:numPr>
        <w:ind w:left="714" w:hanging="357"/>
        <w:rPr>
          <w:lang w:eastAsia="en-AU"/>
        </w:rPr>
      </w:pPr>
      <w:r w:rsidRPr="00F614E9">
        <w:t>Mature age student enrolment procedures</w:t>
      </w:r>
    </w:p>
    <w:p w14:paraId="1A55D6CC" w14:textId="004C8C5F" w:rsidR="003742AE" w:rsidRPr="0066578E" w:rsidRDefault="003742AE" w:rsidP="00803DD1">
      <w:pPr>
        <w:pStyle w:val="ListParagraph"/>
        <w:numPr>
          <w:ilvl w:val="0"/>
          <w:numId w:val="44"/>
        </w:numPr>
        <w:spacing w:after="200"/>
        <w:ind w:left="714" w:hanging="357"/>
        <w:rPr>
          <w:lang w:eastAsia="en-AU"/>
        </w:rPr>
      </w:pPr>
      <w:r>
        <w:rPr>
          <w:lang w:eastAsia="en-AU"/>
        </w:rPr>
        <w:t xml:space="preserve">Enrolment in </w:t>
      </w:r>
      <w:r w:rsidR="00E93235">
        <w:rPr>
          <w:lang w:eastAsia="en-AU"/>
        </w:rPr>
        <w:t>s</w:t>
      </w:r>
      <w:r>
        <w:rPr>
          <w:lang w:eastAsia="en-AU"/>
        </w:rPr>
        <w:t xml:space="preserve">pecial </w:t>
      </w:r>
      <w:r w:rsidR="00E93235">
        <w:rPr>
          <w:lang w:eastAsia="en-AU"/>
        </w:rPr>
        <w:t>s</w:t>
      </w:r>
      <w:r>
        <w:rPr>
          <w:lang w:eastAsia="en-AU"/>
        </w:rPr>
        <w:t xml:space="preserve">chools and </w:t>
      </w:r>
      <w:r w:rsidR="00E93235">
        <w:rPr>
          <w:lang w:eastAsia="en-AU"/>
        </w:rPr>
        <w:t>s</w:t>
      </w:r>
      <w:r>
        <w:rPr>
          <w:lang w:eastAsia="en-AU"/>
        </w:rPr>
        <w:t xml:space="preserve">pecial </w:t>
      </w:r>
      <w:r w:rsidR="00E93235">
        <w:rPr>
          <w:lang w:eastAsia="en-AU"/>
        </w:rPr>
        <w:t>c</w:t>
      </w:r>
      <w:r>
        <w:rPr>
          <w:lang w:eastAsia="en-AU"/>
        </w:rPr>
        <w:t xml:space="preserve">entres </w:t>
      </w:r>
      <w:r w:rsidR="00E93235">
        <w:rPr>
          <w:lang w:eastAsia="en-AU"/>
        </w:rPr>
        <w:t>g</w:t>
      </w:r>
      <w:r>
        <w:rPr>
          <w:lang w:eastAsia="en-AU"/>
        </w:rPr>
        <w:t>uidelines.</w:t>
      </w:r>
    </w:p>
    <w:p w14:paraId="6B916AE0" w14:textId="13B1B7E9" w:rsidR="00803DD1" w:rsidRDefault="00803DD1" w:rsidP="00E62C5E">
      <w:pPr>
        <w:pStyle w:val="Heading2"/>
      </w:pPr>
      <w:bookmarkStart w:id="3" w:name="_Toc194928347"/>
      <w:r>
        <w:t>Enrolling in an NT Government school for the first time</w:t>
      </w:r>
      <w:bookmarkEnd w:id="3"/>
    </w:p>
    <w:p w14:paraId="44BE0078" w14:textId="77777777" w:rsidR="00803DD1" w:rsidRPr="00A408D2" w:rsidRDefault="00803DD1" w:rsidP="00803DD1">
      <w:pPr>
        <w:rPr>
          <w:lang w:eastAsia="en-AU"/>
        </w:rPr>
      </w:pPr>
      <w:r>
        <w:rPr>
          <w:lang w:eastAsia="en-AU"/>
        </w:rPr>
        <w:t>Principals or nominated staff members must ensure:</w:t>
      </w:r>
    </w:p>
    <w:p w14:paraId="4824E76A" w14:textId="4DC7D4DA" w:rsidR="00803DD1" w:rsidRPr="00954597" w:rsidRDefault="00803DD1" w:rsidP="00803DD1">
      <w:pPr>
        <w:pStyle w:val="ListParagraph"/>
        <w:numPr>
          <w:ilvl w:val="0"/>
          <w:numId w:val="43"/>
        </w:numPr>
        <w:rPr>
          <w:lang w:eastAsia="en-AU"/>
        </w:rPr>
      </w:pPr>
      <w:r>
        <w:rPr>
          <w:lang w:eastAsia="en-AU"/>
        </w:rPr>
        <w:t>they accept</w:t>
      </w:r>
      <w:r w:rsidR="001A311C">
        <w:rPr>
          <w:lang w:eastAsia="en-AU"/>
        </w:rPr>
        <w:t xml:space="preserve"> eligible</w:t>
      </w:r>
      <w:r>
        <w:rPr>
          <w:lang w:eastAsia="en-AU"/>
        </w:rPr>
        <w:t xml:space="preserve"> enrolments regardless of a child or young person’s planned length of stay in the community</w:t>
      </w:r>
    </w:p>
    <w:p w14:paraId="4ACEB5F5" w14:textId="77777777" w:rsidR="00803DD1" w:rsidRPr="00DC4EBC" w:rsidRDefault="00803DD1" w:rsidP="00803DD1">
      <w:pPr>
        <w:pStyle w:val="ListParagraph"/>
        <w:numPr>
          <w:ilvl w:val="0"/>
          <w:numId w:val="43"/>
        </w:numPr>
        <w:rPr>
          <w:lang w:eastAsia="en-AU"/>
        </w:rPr>
      </w:pPr>
      <w:r>
        <w:rPr>
          <w:rFonts w:cs="Arial"/>
        </w:rPr>
        <w:t>the approved and correct type of enrolment form has been used, all mandatory fields are completed, and the form is signed by both parents of a child unless there is a legal reason, a child living independently, or a mature age student</w:t>
      </w:r>
    </w:p>
    <w:p w14:paraId="772759C8" w14:textId="77777777" w:rsidR="00803DD1" w:rsidRPr="00685F47" w:rsidRDefault="00803DD1" w:rsidP="00803DD1">
      <w:pPr>
        <w:pStyle w:val="ListParagraph"/>
        <w:numPr>
          <w:ilvl w:val="0"/>
          <w:numId w:val="43"/>
        </w:numPr>
        <w:rPr>
          <w:lang w:eastAsia="en-AU"/>
        </w:rPr>
      </w:pPr>
      <w:r>
        <w:rPr>
          <w:rFonts w:cs="Arial"/>
        </w:rPr>
        <w:t>w</w:t>
      </w:r>
      <w:r w:rsidRPr="00DC4EBC">
        <w:rPr>
          <w:rFonts w:cs="Arial"/>
        </w:rPr>
        <w:t xml:space="preserve">here </w:t>
      </w:r>
      <w:r>
        <w:rPr>
          <w:rFonts w:cs="Arial"/>
        </w:rPr>
        <w:t xml:space="preserve">a parent of a child, a child living independently, or a mature age student is unable to sign the enrolment form, they </w:t>
      </w:r>
      <w:r>
        <w:rPr>
          <w:lang w:eastAsia="en-AU"/>
        </w:rPr>
        <w:t>mark the form with an ‘x’ and that this is witnessed by a member of the school’s office or teaching staff</w:t>
      </w:r>
    </w:p>
    <w:p w14:paraId="3BAC4F6F" w14:textId="77777777" w:rsidR="00803DD1" w:rsidRDefault="00803DD1" w:rsidP="00803DD1">
      <w:pPr>
        <w:pStyle w:val="ListParagraph"/>
        <w:numPr>
          <w:ilvl w:val="0"/>
          <w:numId w:val="43"/>
        </w:numPr>
        <w:spacing w:after="200"/>
        <w:ind w:left="714" w:hanging="357"/>
        <w:rPr>
          <w:lang w:eastAsia="en-AU"/>
        </w:rPr>
      </w:pPr>
      <w:r>
        <w:rPr>
          <w:rFonts w:cs="Arial"/>
          <w:kern w:val="2"/>
        </w:rPr>
        <w:t xml:space="preserve">they do not </w:t>
      </w:r>
      <w:r w:rsidRPr="00264292">
        <w:rPr>
          <w:rFonts w:cs="Arial"/>
          <w:kern w:val="2"/>
        </w:rPr>
        <w:t>decline or delay a child</w:t>
      </w:r>
      <w:r>
        <w:rPr>
          <w:rFonts w:cs="Arial"/>
          <w:kern w:val="2"/>
        </w:rPr>
        <w:t xml:space="preserve"> or young person’s</w:t>
      </w:r>
      <w:r w:rsidRPr="00264292">
        <w:rPr>
          <w:rFonts w:cs="Arial"/>
          <w:kern w:val="2"/>
        </w:rPr>
        <w:t xml:space="preserve"> commencement at school on the grounds that they have not received all the required supporting documentation. </w:t>
      </w:r>
      <w:r>
        <w:rPr>
          <w:rFonts w:cs="Arial"/>
          <w:kern w:val="2"/>
        </w:rPr>
        <w:t xml:space="preserve">In these circumstances, schools must work with families to complete the paperwork </w:t>
      </w:r>
    </w:p>
    <w:p w14:paraId="5C701FE0" w14:textId="5776035B" w:rsidR="00803DD1" w:rsidRDefault="00BA1647" w:rsidP="00803DD1">
      <w:pPr>
        <w:pStyle w:val="ListParagraph"/>
        <w:numPr>
          <w:ilvl w:val="0"/>
          <w:numId w:val="43"/>
        </w:numPr>
        <w:rPr>
          <w:lang w:eastAsia="en-AU"/>
        </w:rPr>
      </w:pPr>
      <w:r>
        <w:rPr>
          <w:lang w:eastAsia="en-AU"/>
        </w:rPr>
        <w:t xml:space="preserve">when enrolling a child living independently, </w:t>
      </w:r>
      <w:r w:rsidR="00803DD1">
        <w:rPr>
          <w:lang w:eastAsia="en-AU"/>
        </w:rPr>
        <w:t xml:space="preserve">they conduct diligent inquiries to verify that </w:t>
      </w:r>
      <w:r>
        <w:rPr>
          <w:lang w:eastAsia="en-AU"/>
        </w:rPr>
        <w:t>the</w:t>
      </w:r>
      <w:r w:rsidR="00803DD1">
        <w:rPr>
          <w:lang w:eastAsia="en-AU"/>
        </w:rPr>
        <w:t xml:space="preserve"> child is genuinely living independently</w:t>
      </w:r>
    </w:p>
    <w:p w14:paraId="5483CA50" w14:textId="656B8DC0" w:rsidR="00803DD1" w:rsidRDefault="00803DD1" w:rsidP="00803DD1">
      <w:pPr>
        <w:pStyle w:val="ListParagraph"/>
        <w:numPr>
          <w:ilvl w:val="0"/>
          <w:numId w:val="43"/>
        </w:numPr>
        <w:rPr>
          <w:lang w:eastAsia="en-AU"/>
        </w:rPr>
      </w:pPr>
      <w:r>
        <w:rPr>
          <w:lang w:eastAsia="en-AU"/>
        </w:rPr>
        <w:lastRenderedPageBreak/>
        <w:t xml:space="preserve">originals of all required supporting documents are sighted, </w:t>
      </w:r>
      <w:r w:rsidR="0083677E">
        <w:rPr>
          <w:lang w:eastAsia="en-AU"/>
        </w:rPr>
        <w:t xml:space="preserve">and copies are </w:t>
      </w:r>
      <w:r>
        <w:rPr>
          <w:lang w:eastAsia="en-AU"/>
        </w:rPr>
        <w:t xml:space="preserve">made, signed and dated by a member of the school’s office or teaching staff </w:t>
      </w:r>
      <w:r w:rsidR="0083677E">
        <w:rPr>
          <w:lang w:eastAsia="en-AU"/>
        </w:rPr>
        <w:t>for record keeping</w:t>
      </w:r>
    </w:p>
    <w:p w14:paraId="5EF53527" w14:textId="77777777" w:rsidR="00803DD1" w:rsidRDefault="00803DD1" w:rsidP="00803DD1">
      <w:pPr>
        <w:pStyle w:val="ListParagraph"/>
        <w:numPr>
          <w:ilvl w:val="0"/>
          <w:numId w:val="43"/>
        </w:numPr>
        <w:rPr>
          <w:lang w:eastAsia="en-AU"/>
        </w:rPr>
      </w:pPr>
      <w:r>
        <w:rPr>
          <w:lang w:eastAsia="en-AU"/>
        </w:rPr>
        <w:t>no original documents are signed or dated by a member of the school’s office or teaching staff and that they are duly returned</w:t>
      </w:r>
    </w:p>
    <w:p w14:paraId="00050E0F" w14:textId="00D0C7ED" w:rsidR="00803DD1" w:rsidRDefault="00803DD1" w:rsidP="00803DD1">
      <w:pPr>
        <w:pStyle w:val="ListParagraph"/>
        <w:numPr>
          <w:ilvl w:val="0"/>
          <w:numId w:val="43"/>
        </w:numPr>
        <w:rPr>
          <w:lang w:eastAsia="en-AU"/>
        </w:rPr>
      </w:pPr>
      <w:r>
        <w:rPr>
          <w:lang w:eastAsia="en-AU"/>
        </w:rPr>
        <w:t xml:space="preserve">the enrolment form and copies of supporting documentation are kept in the </w:t>
      </w:r>
      <w:r w:rsidR="00E93235">
        <w:rPr>
          <w:lang w:eastAsia="en-AU"/>
        </w:rPr>
        <w:t>s</w:t>
      </w:r>
      <w:r>
        <w:rPr>
          <w:lang w:eastAsia="en-AU"/>
        </w:rPr>
        <w:t xml:space="preserve">tudent </w:t>
      </w:r>
      <w:r w:rsidR="00E93235">
        <w:rPr>
          <w:lang w:eastAsia="en-AU"/>
        </w:rPr>
        <w:t>r</w:t>
      </w:r>
      <w:r>
        <w:rPr>
          <w:lang w:eastAsia="en-AU"/>
        </w:rPr>
        <w:t xml:space="preserve">ecord </w:t>
      </w:r>
      <w:r w:rsidR="00E93235">
        <w:rPr>
          <w:lang w:eastAsia="en-AU"/>
        </w:rPr>
        <w:t>file</w:t>
      </w:r>
      <w:r>
        <w:rPr>
          <w:lang w:eastAsia="en-AU"/>
        </w:rPr>
        <w:t xml:space="preserve"> as per the </w:t>
      </w:r>
      <w:r w:rsidRPr="0032796E">
        <w:rPr>
          <w:lang w:eastAsia="en-AU"/>
        </w:rPr>
        <w:t>Education and Care Services National Regulations</w:t>
      </w:r>
    </w:p>
    <w:p w14:paraId="5CF916B6" w14:textId="77777777" w:rsidR="00803DD1" w:rsidRDefault="00803DD1" w:rsidP="00803DD1">
      <w:pPr>
        <w:pStyle w:val="ListParagraph"/>
        <w:numPr>
          <w:ilvl w:val="0"/>
          <w:numId w:val="43"/>
        </w:numPr>
        <w:rPr>
          <w:lang w:eastAsia="en-AU"/>
        </w:rPr>
      </w:pPr>
      <w:r>
        <w:rPr>
          <w:lang w:eastAsia="en-AU"/>
        </w:rPr>
        <w:t>students are enrolled in the department’s mandated student administration system or compliant third-party program preferably prior to or by the first day a child or young person attends school.</w:t>
      </w:r>
    </w:p>
    <w:p w14:paraId="6259F379" w14:textId="6CB852DF" w:rsidR="0083677E" w:rsidRDefault="0083677E" w:rsidP="00E62C5E">
      <w:pPr>
        <w:pStyle w:val="Heading2"/>
      </w:pPr>
      <w:bookmarkStart w:id="4" w:name="_Toc194928348"/>
      <w:r>
        <w:t xml:space="preserve">Transferring </w:t>
      </w:r>
      <w:r w:rsidR="00816598">
        <w:t>between</w:t>
      </w:r>
      <w:r>
        <w:t xml:space="preserve"> NT Government school</w:t>
      </w:r>
      <w:r w:rsidR="00816598">
        <w:t>s</w:t>
      </w:r>
      <w:bookmarkEnd w:id="4"/>
    </w:p>
    <w:p w14:paraId="2FDE524F" w14:textId="2C93E5D7" w:rsidR="0083677E" w:rsidRDefault="0083677E" w:rsidP="0083677E">
      <w:pPr>
        <w:rPr>
          <w:lang w:eastAsia="en-AU"/>
        </w:rPr>
      </w:pPr>
      <w:r>
        <w:rPr>
          <w:lang w:eastAsia="en-AU"/>
        </w:rPr>
        <w:t xml:space="preserve">In addition to the actions outlined for enrolment in an NT Government school for the first time, </w:t>
      </w:r>
      <w:r w:rsidR="00F130C9">
        <w:rPr>
          <w:lang w:eastAsia="en-AU"/>
        </w:rPr>
        <w:t>when an NTG school receives a new enrolment for a student who was last enrolled at an NTG school</w:t>
      </w:r>
      <w:r>
        <w:rPr>
          <w:lang w:eastAsia="en-AU"/>
        </w:rPr>
        <w:t>, principals or their nominated staff members must ensure:</w:t>
      </w:r>
    </w:p>
    <w:p w14:paraId="328CC38F" w14:textId="74931138" w:rsidR="0083677E" w:rsidRDefault="0083677E" w:rsidP="00E62C5E">
      <w:pPr>
        <w:pStyle w:val="ListParagraph"/>
        <w:numPr>
          <w:ilvl w:val="0"/>
          <w:numId w:val="50"/>
        </w:numPr>
        <w:rPr>
          <w:lang w:eastAsia="en-AU"/>
        </w:rPr>
      </w:pPr>
      <w:r>
        <w:rPr>
          <w:lang w:eastAsia="en-AU"/>
        </w:rPr>
        <w:t>the</w:t>
      </w:r>
      <w:r w:rsidR="005C7293">
        <w:rPr>
          <w:lang w:eastAsia="en-AU"/>
        </w:rPr>
        <w:t>y</w:t>
      </w:r>
      <w:r>
        <w:rPr>
          <w:lang w:eastAsia="en-AU"/>
        </w:rPr>
        <w:t xml:space="preserve"> </w:t>
      </w:r>
      <w:r w:rsidR="00DE7711">
        <w:rPr>
          <w:lang w:eastAsia="en-AU"/>
        </w:rPr>
        <w:t>request the student record file (SRF)</w:t>
      </w:r>
      <w:r w:rsidR="00F130C9">
        <w:rPr>
          <w:lang w:eastAsia="en-AU"/>
        </w:rPr>
        <w:t xml:space="preserve"> containing all information about a student’s enrolment and attendance</w:t>
      </w:r>
      <w:r w:rsidR="00DE7711">
        <w:rPr>
          <w:lang w:eastAsia="en-AU"/>
        </w:rPr>
        <w:t xml:space="preserve"> from the previous school. </w:t>
      </w:r>
      <w:r w:rsidR="00D7643D" w:rsidRPr="00D7643D">
        <w:rPr>
          <w:lang w:eastAsia="en-AU"/>
        </w:rPr>
        <w:t>Schools should only request an SRF once the student is no longer actively enrolled at the previous school.</w:t>
      </w:r>
    </w:p>
    <w:p w14:paraId="57AC3726" w14:textId="18ED66FC" w:rsidR="00803DD1" w:rsidRDefault="0083677E">
      <w:pPr>
        <w:pStyle w:val="ListParagraph"/>
        <w:numPr>
          <w:ilvl w:val="0"/>
          <w:numId w:val="50"/>
        </w:numPr>
        <w:rPr>
          <w:lang w:eastAsia="en-AU"/>
        </w:rPr>
      </w:pPr>
      <w:r>
        <w:rPr>
          <w:lang w:eastAsia="en-AU"/>
        </w:rPr>
        <w:t>the</w:t>
      </w:r>
      <w:r w:rsidR="005C7293">
        <w:rPr>
          <w:lang w:eastAsia="en-AU"/>
        </w:rPr>
        <w:t>y</w:t>
      </w:r>
      <w:r>
        <w:rPr>
          <w:lang w:eastAsia="en-AU"/>
        </w:rPr>
        <w:t xml:space="preserve"> meet with the parent to confirm and update information on the enrolment form to ensure the student data is current and accurate</w:t>
      </w:r>
    </w:p>
    <w:p w14:paraId="34B9071D" w14:textId="3BD68890" w:rsidR="00BA1647" w:rsidRPr="00F43B97" w:rsidRDefault="00284700" w:rsidP="00E62C5E">
      <w:pPr>
        <w:pStyle w:val="ListParagraph"/>
        <w:numPr>
          <w:ilvl w:val="0"/>
          <w:numId w:val="50"/>
        </w:numPr>
        <w:rPr>
          <w:lang w:eastAsia="en-AU"/>
        </w:rPr>
      </w:pPr>
      <w:r>
        <w:rPr>
          <w:lang w:eastAsia="en-AU"/>
        </w:rPr>
        <w:t>if</w:t>
      </w:r>
      <w:r w:rsidR="00BA1647">
        <w:rPr>
          <w:lang w:eastAsia="en-AU"/>
        </w:rPr>
        <w:t xml:space="preserve"> the school has the operational capacity, they accept enrolment if the child or young person is visiting community or urban centre and is outside the school’s priority enrolment area. The school should accept enrolment of the child who is outside the school’s priority enrolment area.</w:t>
      </w:r>
    </w:p>
    <w:p w14:paraId="04CC8F57" w14:textId="77777777" w:rsidR="00803DD1" w:rsidRPr="008F10E9" w:rsidRDefault="00803DD1" w:rsidP="00803DD1">
      <w:pPr>
        <w:pStyle w:val="Heading1"/>
        <w:ind w:left="431" w:hanging="431"/>
        <w:rPr>
          <w:bCs w:val="0"/>
          <w:noProof/>
          <w:lang w:eastAsia="en-AU"/>
        </w:rPr>
      </w:pPr>
      <w:bookmarkStart w:id="5" w:name="_Toc194928349"/>
      <w:r w:rsidRPr="008F10E9">
        <w:rPr>
          <w:noProof/>
          <w:lang w:eastAsia="en-AU"/>
        </w:rPr>
        <w:t>Procedures</w:t>
      </w:r>
      <w:r>
        <w:rPr>
          <w:noProof/>
          <w:lang w:eastAsia="en-AU"/>
        </w:rPr>
        <w:t xml:space="preserve"> for dual enrolment</w:t>
      </w:r>
      <w:bookmarkEnd w:id="5"/>
    </w:p>
    <w:p w14:paraId="36A3AA9D" w14:textId="49A8A7D9" w:rsidR="00803DD1" w:rsidRPr="000F7FC9" w:rsidRDefault="00803DD1" w:rsidP="00E62C5E">
      <w:r w:rsidRPr="000F7FC9">
        <w:t xml:space="preserve">Dual enrolment is where a child or young person is enrolled in </w:t>
      </w:r>
      <w:r w:rsidR="00CA7E03">
        <w:t>2</w:t>
      </w:r>
      <w:r w:rsidR="00CA7E03" w:rsidRPr="000F7FC9">
        <w:t xml:space="preserve"> </w:t>
      </w:r>
      <w:r w:rsidRPr="000F7FC9">
        <w:t xml:space="preserve">or more schools to accommodate the child or young person’s specific circumstances. This section applies to dual enrolment that does not involve a distance education centre. For dual enrolment that involves a distance education centre, go to the department’s </w:t>
      </w:r>
      <w:r w:rsidRPr="00F614E9">
        <w:t>Enrolment webpage.</w:t>
      </w:r>
    </w:p>
    <w:p w14:paraId="3FD510BE" w14:textId="77777777" w:rsidR="00803DD1" w:rsidRPr="000F7FC9" w:rsidRDefault="00803DD1" w:rsidP="00803DD1">
      <w:pPr>
        <w:rPr>
          <w:lang w:eastAsia="en-AU"/>
        </w:rPr>
      </w:pPr>
      <w:r w:rsidRPr="000F7FC9">
        <w:rPr>
          <w:lang w:eastAsia="en-AU"/>
        </w:rPr>
        <w:t>For attendance recording and reporting in relation to dual enrolment, go to the department’s Enrolment webpage.</w:t>
      </w:r>
    </w:p>
    <w:p w14:paraId="6BF01C57" w14:textId="77777777" w:rsidR="00803DD1" w:rsidRDefault="00803DD1" w:rsidP="00E62C5E">
      <w:pPr>
        <w:pStyle w:val="Heading2"/>
      </w:pPr>
      <w:bookmarkStart w:id="6" w:name="_Toc194928350"/>
      <w:r>
        <w:t>Dual enrolment on the grounds of significant support needs</w:t>
      </w:r>
      <w:bookmarkEnd w:id="6"/>
    </w:p>
    <w:p w14:paraId="757C3535" w14:textId="77777777" w:rsidR="00803DD1" w:rsidRDefault="00803DD1" w:rsidP="00803DD1">
      <w:r>
        <w:t>Principals must ensure:</w:t>
      </w:r>
    </w:p>
    <w:p w14:paraId="391218FB" w14:textId="77777777" w:rsidR="00803DD1" w:rsidRDefault="00803DD1" w:rsidP="00803DD1">
      <w:pPr>
        <w:pStyle w:val="ListParagraph"/>
        <w:numPr>
          <w:ilvl w:val="0"/>
          <w:numId w:val="45"/>
        </w:numPr>
      </w:pPr>
      <w:r>
        <w:t>resources, extensive adjustments, and interventions at school and regional levels have not been able to meet the child or young person’s additional needs</w:t>
      </w:r>
    </w:p>
    <w:p w14:paraId="0655303A" w14:textId="77777777" w:rsidR="00803DD1" w:rsidRDefault="00803DD1" w:rsidP="00803DD1">
      <w:pPr>
        <w:pStyle w:val="ListParagraph"/>
        <w:numPr>
          <w:ilvl w:val="0"/>
          <w:numId w:val="45"/>
        </w:numPr>
      </w:pPr>
      <w:r>
        <w:t>sufficient evidence demonstrates that the child or young person cannot attend mainstream schooling on a regular basis</w:t>
      </w:r>
    </w:p>
    <w:p w14:paraId="0D27C8C9" w14:textId="77777777" w:rsidR="00803DD1" w:rsidRDefault="00803DD1" w:rsidP="00803DD1">
      <w:pPr>
        <w:pStyle w:val="ListParagraph"/>
        <w:numPr>
          <w:ilvl w:val="0"/>
          <w:numId w:val="45"/>
        </w:numPr>
      </w:pPr>
      <w:r>
        <w:t>effective collaboration has been undertaken between the school and the parent regarding the child or young person’s needs</w:t>
      </w:r>
    </w:p>
    <w:p w14:paraId="4A4E84D6" w14:textId="77777777" w:rsidR="00803DD1" w:rsidRDefault="00803DD1" w:rsidP="00803DD1">
      <w:pPr>
        <w:pStyle w:val="ListParagraph"/>
        <w:numPr>
          <w:ilvl w:val="0"/>
          <w:numId w:val="45"/>
        </w:numPr>
      </w:pPr>
      <w:r>
        <w:t xml:space="preserve">parental consent has been received for the child or young person’s enrolment with another school for the purpose of accessing a specific program such as an autism spectrum disorder program, and </w:t>
      </w:r>
      <w:r>
        <w:lastRenderedPageBreak/>
        <w:t>appropriate facilities and resources as well as suitable supervision and support to complete the learning program will be provided</w:t>
      </w:r>
    </w:p>
    <w:p w14:paraId="414AD9F6" w14:textId="77777777" w:rsidR="00803DD1" w:rsidRDefault="00803DD1" w:rsidP="00803DD1">
      <w:pPr>
        <w:pStyle w:val="ListParagraph"/>
        <w:numPr>
          <w:ilvl w:val="0"/>
          <w:numId w:val="45"/>
        </w:numPr>
      </w:pPr>
      <w:r>
        <w:t xml:space="preserve">education, training and wellbeing related information is collated and shared between schools </w:t>
      </w:r>
    </w:p>
    <w:p w14:paraId="6F98927F" w14:textId="77777777" w:rsidR="00803DD1" w:rsidRDefault="00803DD1" w:rsidP="00803DD1">
      <w:pPr>
        <w:pStyle w:val="ListParagraph"/>
        <w:numPr>
          <w:ilvl w:val="0"/>
          <w:numId w:val="45"/>
        </w:numPr>
      </w:pPr>
      <w:r>
        <w:t>in terms of short-term dual enrolment, a personalised plan has been developed to support the child or young person’s re-entry into mainstream schooling that outlines the roles of both main and subsidiary schools in the transition process</w:t>
      </w:r>
    </w:p>
    <w:p w14:paraId="4B391410" w14:textId="4BADCC75" w:rsidR="00803DD1" w:rsidRDefault="00803DD1" w:rsidP="00803DD1">
      <w:pPr>
        <w:pStyle w:val="ListParagraph"/>
        <w:numPr>
          <w:ilvl w:val="0"/>
          <w:numId w:val="45"/>
        </w:numPr>
        <w:spacing w:after="200"/>
        <w:ind w:left="714" w:hanging="357"/>
      </w:pPr>
      <w:r>
        <w:t xml:space="preserve">in terms of ongoing dual enrolment, </w:t>
      </w:r>
      <w:r w:rsidR="0083677E">
        <w:t xml:space="preserve">principals review </w:t>
      </w:r>
      <w:r>
        <w:t>the enrolment</w:t>
      </w:r>
      <w:r w:rsidR="0083677E">
        <w:t xml:space="preserve"> every 12 months</w:t>
      </w:r>
      <w:r w:rsidR="00ED1DD3">
        <w:t>.</w:t>
      </w:r>
    </w:p>
    <w:p w14:paraId="67C38273" w14:textId="77777777" w:rsidR="00803DD1" w:rsidRDefault="00803DD1" w:rsidP="00E62C5E">
      <w:pPr>
        <w:pStyle w:val="Heading2"/>
      </w:pPr>
      <w:bookmarkStart w:id="7" w:name="_Toc194928351"/>
      <w:r>
        <w:t>Dual enrolment on the grounds of established mobility patterns</w:t>
      </w:r>
      <w:bookmarkEnd w:id="7"/>
    </w:p>
    <w:p w14:paraId="52707169" w14:textId="64927310" w:rsidR="00803DD1" w:rsidRDefault="00A80907" w:rsidP="00803DD1">
      <w:pPr>
        <w:rPr>
          <w:lang w:eastAsia="en-AU"/>
        </w:rPr>
      </w:pPr>
      <w:r>
        <w:t xml:space="preserve">There are various reasons for which children and young people may have established mobility patterns. For example, </w:t>
      </w:r>
      <w:r w:rsidR="00ED1DD3">
        <w:t xml:space="preserve">if </w:t>
      </w:r>
      <w:r>
        <w:t>they have</w:t>
      </w:r>
      <w:r w:rsidR="00803DD1">
        <w:rPr>
          <w:lang w:eastAsia="en-AU"/>
        </w:rPr>
        <w:t xml:space="preserve"> strong cultural connections to other </w:t>
      </w:r>
      <w:proofErr w:type="gramStart"/>
      <w:r w:rsidR="00803DD1">
        <w:rPr>
          <w:lang w:eastAsia="en-AU"/>
        </w:rPr>
        <w:t>communities</w:t>
      </w:r>
      <w:proofErr w:type="gramEnd"/>
      <w:r w:rsidR="00803DD1">
        <w:rPr>
          <w:lang w:eastAsia="en-AU"/>
        </w:rPr>
        <w:t xml:space="preserve"> </w:t>
      </w:r>
      <w:r w:rsidR="00ED1DD3">
        <w:rPr>
          <w:lang w:eastAsia="en-AU"/>
        </w:rPr>
        <w:t xml:space="preserve">they </w:t>
      </w:r>
      <w:r w:rsidR="00803DD1">
        <w:rPr>
          <w:lang w:eastAsia="en-AU"/>
        </w:rPr>
        <w:t>may require frequent temporary relocations</w:t>
      </w:r>
      <w:r>
        <w:rPr>
          <w:lang w:eastAsia="en-AU"/>
        </w:rPr>
        <w:t>, or may live in 2 different locations due to a shared custody arrangement, either formal or informal, in place.</w:t>
      </w:r>
      <w:r w:rsidR="00803DD1">
        <w:rPr>
          <w:lang w:eastAsia="en-AU"/>
        </w:rPr>
        <w:t xml:space="preserve"> Dual enrolments for children and young people with established mobility patterns require negotiation and agreement between </w:t>
      </w:r>
      <w:r w:rsidR="00CA7E03">
        <w:rPr>
          <w:lang w:eastAsia="en-AU"/>
        </w:rPr>
        <w:t xml:space="preserve">2 </w:t>
      </w:r>
      <w:r w:rsidR="00803DD1">
        <w:rPr>
          <w:lang w:eastAsia="en-AU"/>
        </w:rPr>
        <w:t xml:space="preserve">or more schools on a case-by-case basis. </w:t>
      </w:r>
      <w:r w:rsidR="0083677E">
        <w:rPr>
          <w:lang w:eastAsia="en-AU"/>
        </w:rPr>
        <w:t>All decisions on dual enrolment must be made in the best interest of the child or young person.</w:t>
      </w:r>
    </w:p>
    <w:p w14:paraId="3EBB97BF" w14:textId="77777777" w:rsidR="00803DD1" w:rsidRDefault="00803DD1" w:rsidP="00803DD1">
      <w:pPr>
        <w:pStyle w:val="Heading1"/>
        <w:rPr>
          <w:lang w:eastAsia="en-AU"/>
        </w:rPr>
      </w:pPr>
      <w:bookmarkStart w:id="8" w:name="_Toc194928352"/>
      <w:r>
        <w:rPr>
          <w:lang w:eastAsia="en-AU"/>
        </w:rPr>
        <w:t>Supplementary preschool enrolment form</w:t>
      </w:r>
      <w:bookmarkEnd w:id="8"/>
    </w:p>
    <w:p w14:paraId="3DB9429E" w14:textId="77777777" w:rsidR="00803DD1" w:rsidRDefault="00803DD1" w:rsidP="00803DD1">
      <w:pPr>
        <w:rPr>
          <w:lang w:eastAsia="en-AU"/>
        </w:rPr>
      </w:pPr>
      <w:r>
        <w:rPr>
          <w:lang w:eastAsia="en-AU"/>
        </w:rPr>
        <w:t>Many early childhood programs, including preschool, operate under the National Quality Framework (NQF). This places additional requirements on these programs including the collection of additional information during enrolment.</w:t>
      </w:r>
    </w:p>
    <w:p w14:paraId="073D8523" w14:textId="5546ADD2" w:rsidR="00803DD1" w:rsidRDefault="00803DD1" w:rsidP="00803DD1">
      <w:pPr>
        <w:rPr>
          <w:lang w:eastAsia="en-AU"/>
        </w:rPr>
      </w:pPr>
      <w:r>
        <w:rPr>
          <w:lang w:eastAsia="en-AU"/>
        </w:rPr>
        <w:t>The Supplementary preschool enrolment form must also be completed in addition to the student enrolment form for each</w:t>
      </w:r>
      <w:r w:rsidR="0083677E">
        <w:rPr>
          <w:lang w:eastAsia="en-AU"/>
        </w:rPr>
        <w:t xml:space="preserve"> </w:t>
      </w:r>
      <w:r>
        <w:rPr>
          <w:lang w:eastAsia="en-AU"/>
        </w:rPr>
        <w:t>preschool enrolment.</w:t>
      </w:r>
    </w:p>
    <w:p w14:paraId="5E294C1B" w14:textId="77777777" w:rsidR="00803DD1" w:rsidRDefault="00803DD1" w:rsidP="00803DD1">
      <w:pPr>
        <w:rPr>
          <w:lang w:eastAsia="en-AU"/>
        </w:rPr>
      </w:pPr>
      <w:r>
        <w:rPr>
          <w:lang w:eastAsia="en-AU"/>
        </w:rPr>
        <w:t>To access enrolment forms, go to the department’s</w:t>
      </w:r>
      <w:r>
        <w:rPr>
          <w:rFonts w:asciiTheme="minorHAnsi" w:hAnsiTheme="minorHAnsi"/>
          <w:lang w:bidi="en-US"/>
        </w:rPr>
        <w:t xml:space="preserve"> </w:t>
      </w:r>
      <w:r w:rsidRPr="00F614E9">
        <w:t xml:space="preserve">Enrol your child at school </w:t>
      </w:r>
      <w:r>
        <w:t>webpage</w:t>
      </w:r>
      <w:r w:rsidRPr="009159A2">
        <w:rPr>
          <w:rStyle w:val="Hyperlink"/>
          <w:color w:val="auto"/>
          <w:u w:val="none"/>
        </w:rPr>
        <w:t xml:space="preserve"> or visit your local school.</w:t>
      </w:r>
      <w:r>
        <w:rPr>
          <w:rStyle w:val="Hyperlink"/>
          <w:color w:val="auto"/>
          <w:u w:val="none"/>
        </w:rPr>
        <w:t xml:space="preserve"> </w:t>
      </w:r>
      <w:r>
        <w:rPr>
          <w:lang w:eastAsia="en-AU"/>
        </w:rPr>
        <w:t>Schools staff will assist families to complete these enrolment forms where required.</w:t>
      </w:r>
    </w:p>
    <w:p w14:paraId="71599115" w14:textId="138725F6" w:rsidR="00803DD1" w:rsidRPr="008F10E9" w:rsidRDefault="00B36016" w:rsidP="00803DD1">
      <w:pPr>
        <w:pStyle w:val="Heading1"/>
        <w:rPr>
          <w:bCs w:val="0"/>
          <w:noProof/>
          <w:lang w:eastAsia="en-AU"/>
        </w:rPr>
      </w:pPr>
      <w:r>
        <w:rPr>
          <w:noProof/>
          <w:lang w:eastAsia="en-AU"/>
        </w:rPr>
        <w:t xml:space="preserve"> </w:t>
      </w:r>
      <w:bookmarkStart w:id="9" w:name="_Toc194928353"/>
      <w:r>
        <w:rPr>
          <w:noProof/>
          <w:lang w:eastAsia="en-AU"/>
        </w:rPr>
        <w:t xml:space="preserve">Student record </w:t>
      </w:r>
      <w:r w:rsidR="006750E6">
        <w:rPr>
          <w:noProof/>
          <w:lang w:eastAsia="en-AU"/>
        </w:rPr>
        <w:t>management</w:t>
      </w:r>
      <w:bookmarkEnd w:id="9"/>
    </w:p>
    <w:p w14:paraId="6D9CA2A9" w14:textId="22E088BE" w:rsidR="006750E6" w:rsidRDefault="006750E6" w:rsidP="00E62C5E">
      <w:pPr>
        <w:rPr>
          <w:lang w:eastAsia="en-AU"/>
        </w:rPr>
      </w:pPr>
      <w:r>
        <w:rPr>
          <w:lang w:eastAsia="en-AU"/>
        </w:rPr>
        <w:t xml:space="preserve">School, regional and corporate staff are responsible and accountable for the security and integrity of records created by the department, which includes student reports. The management of records must be in accordance with the </w:t>
      </w:r>
      <w:r w:rsidR="00B36016" w:rsidRPr="00E62C5E">
        <w:t>Records Management Standards for Public Sector Organisations in the Northern Territory</w:t>
      </w:r>
      <w:r>
        <w:rPr>
          <w:lang w:eastAsia="en-AU"/>
        </w:rPr>
        <w:t xml:space="preserve">. Records including student reports and information cannot be destroyed or disposed of unless in compliance with the </w:t>
      </w:r>
      <w:r w:rsidR="00000380">
        <w:rPr>
          <w:lang w:eastAsia="en-AU"/>
        </w:rPr>
        <w:t>School management r</w:t>
      </w:r>
      <w:r w:rsidR="00B36016" w:rsidRPr="00E62C5E">
        <w:t>ecords disposal schedule</w:t>
      </w:r>
      <w:r>
        <w:rPr>
          <w:lang w:eastAsia="en-AU"/>
        </w:rPr>
        <w:t xml:space="preserve"> and subject to any records disposal freezes in place from time-to-time. School, regional and corporate staff have an obligation to know and understand their responsibilities under the Records Management Standards</w:t>
      </w:r>
    </w:p>
    <w:p w14:paraId="0E08F919" w14:textId="77777777" w:rsidR="0083677E" w:rsidRDefault="0083677E" w:rsidP="0083677E">
      <w:pPr>
        <w:pStyle w:val="Heading1"/>
        <w:rPr>
          <w:lang w:eastAsia="en-AU"/>
        </w:rPr>
      </w:pPr>
      <w:bookmarkStart w:id="10" w:name="_Toc194928354"/>
      <w:r>
        <w:rPr>
          <w:lang w:eastAsia="en-AU"/>
        </w:rPr>
        <w:t>Information sharing</w:t>
      </w:r>
      <w:bookmarkEnd w:id="10"/>
    </w:p>
    <w:p w14:paraId="0948E490" w14:textId="77777777" w:rsidR="0083677E" w:rsidRPr="00D7643D" w:rsidRDefault="0083677E" w:rsidP="00D7643D">
      <w:pPr>
        <w:rPr>
          <w:lang w:eastAsia="en-AU"/>
        </w:rPr>
      </w:pPr>
      <w:r w:rsidRPr="00D7643D">
        <w:rPr>
          <w:lang w:eastAsia="en-AU"/>
        </w:rPr>
        <w:t xml:space="preserve">Under section 170A of the </w:t>
      </w:r>
      <w:r w:rsidRPr="00E62C5E">
        <w:rPr>
          <w:i/>
          <w:iCs/>
          <w:lang w:eastAsia="en-AU"/>
        </w:rPr>
        <w:t>Education Act 2015</w:t>
      </w:r>
      <w:r w:rsidRPr="00D7643D">
        <w:rPr>
          <w:lang w:eastAsia="en-AU"/>
        </w:rPr>
        <w:t>, a school principal may share information with another principal or school where a student has transferred or is transferring to. This will assist the new school to best support the student in their new learning environment to keep them engaged in education and achieve academic success.</w:t>
      </w:r>
    </w:p>
    <w:p w14:paraId="4C752FCB" w14:textId="77777777" w:rsidR="0083677E" w:rsidRPr="00D7643D" w:rsidRDefault="0083677E" w:rsidP="00D7643D">
      <w:pPr>
        <w:rPr>
          <w:lang w:eastAsia="en-AU"/>
        </w:rPr>
      </w:pPr>
      <w:r w:rsidRPr="00D7643D">
        <w:rPr>
          <w:lang w:eastAsia="en-AU"/>
        </w:rPr>
        <w:t>This applies across government and non-government schools.</w:t>
      </w:r>
    </w:p>
    <w:p w14:paraId="46B76386" w14:textId="77777777" w:rsidR="0083677E" w:rsidRPr="00D7643D" w:rsidRDefault="0083677E" w:rsidP="00D7643D">
      <w:pPr>
        <w:keepNext/>
        <w:rPr>
          <w:lang w:eastAsia="en-AU"/>
        </w:rPr>
      </w:pPr>
      <w:r w:rsidRPr="00D7643D">
        <w:rPr>
          <w:lang w:eastAsia="en-AU"/>
        </w:rPr>
        <w:lastRenderedPageBreak/>
        <w:t>This information must be related to:</w:t>
      </w:r>
    </w:p>
    <w:p w14:paraId="4B2057E0" w14:textId="77777777" w:rsidR="0083677E" w:rsidRPr="00D7643D" w:rsidRDefault="0083677E" w:rsidP="00D7643D">
      <w:pPr>
        <w:pStyle w:val="ListParagraph"/>
        <w:keepNext/>
        <w:numPr>
          <w:ilvl w:val="0"/>
          <w:numId w:val="51"/>
        </w:numPr>
        <w:ind w:left="709" w:hanging="426"/>
        <w:rPr>
          <w:lang w:eastAsia="en-AU"/>
        </w:rPr>
      </w:pPr>
      <w:r w:rsidRPr="00D7643D">
        <w:rPr>
          <w:lang w:eastAsia="en-AU"/>
        </w:rPr>
        <w:t xml:space="preserve">the student </w:t>
      </w:r>
      <w:proofErr w:type="gramStart"/>
      <w:r w:rsidRPr="00D7643D">
        <w:rPr>
          <w:lang w:eastAsia="en-AU"/>
        </w:rPr>
        <w:t>transfer</w:t>
      </w:r>
      <w:proofErr w:type="gramEnd"/>
    </w:p>
    <w:p w14:paraId="6C1A6D28" w14:textId="3B76B80A" w:rsidR="00D7643D" w:rsidRPr="00D7643D" w:rsidRDefault="0083677E" w:rsidP="00D7643D">
      <w:pPr>
        <w:pStyle w:val="ListParagraph"/>
        <w:keepNext/>
        <w:numPr>
          <w:ilvl w:val="0"/>
          <w:numId w:val="51"/>
        </w:numPr>
        <w:ind w:left="709" w:hanging="426"/>
        <w:rPr>
          <w:lang w:eastAsia="en-AU"/>
        </w:rPr>
      </w:pPr>
      <w:r w:rsidRPr="00D7643D">
        <w:rPr>
          <w:lang w:eastAsia="en-AU"/>
        </w:rPr>
        <w:t>the safety and wellbeing of the student or other students attending the other school.</w:t>
      </w:r>
    </w:p>
    <w:p w14:paraId="5108CF0C" w14:textId="77777777" w:rsidR="00D7643D" w:rsidRPr="00D7643D" w:rsidRDefault="00D7643D" w:rsidP="00D7643D">
      <w:pPr>
        <w:rPr>
          <w:lang w:eastAsia="en-AU"/>
        </w:rPr>
      </w:pPr>
      <w:r w:rsidRPr="00D7643D">
        <w:rPr>
          <w:lang w:eastAsia="en-AU"/>
        </w:rPr>
        <w:t>Related information may include:</w:t>
      </w:r>
    </w:p>
    <w:p w14:paraId="59FBDC0B" w14:textId="77777777" w:rsidR="00D7643D" w:rsidRPr="00D7643D" w:rsidRDefault="00D7643D" w:rsidP="00D7643D">
      <w:pPr>
        <w:pStyle w:val="ListParagraph"/>
        <w:numPr>
          <w:ilvl w:val="0"/>
          <w:numId w:val="53"/>
        </w:numPr>
        <w:rPr>
          <w:lang w:eastAsia="en-AU"/>
        </w:rPr>
      </w:pPr>
      <w:r w:rsidRPr="00D7643D">
        <w:rPr>
          <w:lang w:eastAsia="en-AU"/>
        </w:rPr>
        <w:t xml:space="preserve">advice of academic history </w:t>
      </w:r>
    </w:p>
    <w:p w14:paraId="2E358649" w14:textId="77777777" w:rsidR="00D7643D" w:rsidRPr="00D7643D" w:rsidRDefault="00D7643D" w:rsidP="00D7643D">
      <w:pPr>
        <w:pStyle w:val="ListParagraph"/>
        <w:numPr>
          <w:ilvl w:val="0"/>
          <w:numId w:val="53"/>
        </w:numPr>
        <w:rPr>
          <w:lang w:eastAsia="en-AU"/>
        </w:rPr>
      </w:pPr>
      <w:r w:rsidRPr="00D7643D">
        <w:rPr>
          <w:lang w:eastAsia="en-AU"/>
        </w:rPr>
        <w:t>advice of any aids used by the student</w:t>
      </w:r>
    </w:p>
    <w:p w14:paraId="566D74C3" w14:textId="77777777" w:rsidR="00D7643D" w:rsidRPr="00D7643D" w:rsidRDefault="00D7643D" w:rsidP="00D7643D">
      <w:pPr>
        <w:pStyle w:val="ListParagraph"/>
        <w:numPr>
          <w:ilvl w:val="0"/>
          <w:numId w:val="53"/>
        </w:numPr>
        <w:rPr>
          <w:lang w:eastAsia="en-AU"/>
        </w:rPr>
      </w:pPr>
      <w:r w:rsidRPr="00D7643D">
        <w:rPr>
          <w:lang w:eastAsia="en-AU"/>
        </w:rPr>
        <w:t>positive behaviour support plans</w:t>
      </w:r>
    </w:p>
    <w:p w14:paraId="4025394D" w14:textId="77777777" w:rsidR="00D7643D" w:rsidRPr="00D7643D" w:rsidRDefault="00D7643D" w:rsidP="00D7643D">
      <w:pPr>
        <w:pStyle w:val="ListParagraph"/>
        <w:numPr>
          <w:ilvl w:val="0"/>
          <w:numId w:val="53"/>
        </w:numPr>
        <w:rPr>
          <w:lang w:eastAsia="en-AU"/>
        </w:rPr>
      </w:pPr>
      <w:r w:rsidRPr="00D7643D">
        <w:rPr>
          <w:lang w:eastAsia="en-AU"/>
        </w:rPr>
        <w:t>strategies applied to:</w:t>
      </w:r>
    </w:p>
    <w:p w14:paraId="6F141E5B" w14:textId="77777777" w:rsidR="00D7643D" w:rsidRPr="00D7643D" w:rsidRDefault="00D7643D" w:rsidP="00D7643D">
      <w:pPr>
        <w:pStyle w:val="ListParagraph"/>
        <w:numPr>
          <w:ilvl w:val="1"/>
          <w:numId w:val="54"/>
        </w:numPr>
        <w:rPr>
          <w:lang w:eastAsia="en-AU"/>
        </w:rPr>
      </w:pPr>
      <w:r w:rsidRPr="00D7643D">
        <w:rPr>
          <w:lang w:eastAsia="en-AU"/>
        </w:rPr>
        <w:t xml:space="preserve">assist with the student’s learning </w:t>
      </w:r>
    </w:p>
    <w:p w14:paraId="2BB4AF69" w14:textId="060B976F" w:rsidR="00D7643D" w:rsidRPr="00E62C5E" w:rsidRDefault="00D7643D" w:rsidP="00E62C5E">
      <w:pPr>
        <w:pStyle w:val="ListParagraph"/>
        <w:numPr>
          <w:ilvl w:val="1"/>
          <w:numId w:val="54"/>
        </w:numPr>
        <w:rPr>
          <w:lang w:eastAsia="en-AU"/>
        </w:rPr>
      </w:pPr>
      <w:r w:rsidRPr="00D7643D">
        <w:rPr>
          <w:lang w:eastAsia="en-AU"/>
        </w:rPr>
        <w:t>manage the student’s behaviour</w:t>
      </w:r>
      <w:r w:rsidR="00AB0BA8">
        <w:rPr>
          <w:lang w:eastAsia="en-AU"/>
        </w:rPr>
        <w:t>.</w:t>
      </w:r>
    </w:p>
    <w:p w14:paraId="0430482E" w14:textId="77777777" w:rsidR="00803DD1" w:rsidRDefault="00803DD1" w:rsidP="00803DD1">
      <w:pPr>
        <w:pStyle w:val="Heading1"/>
        <w:rPr>
          <w:lang w:eastAsia="en-AU"/>
        </w:rPr>
      </w:pPr>
      <w:bookmarkStart w:id="11" w:name="_Toc194928355"/>
      <w:r>
        <w:rPr>
          <w:lang w:eastAsia="en-AU"/>
        </w:rPr>
        <w:t>Related legislation, procedures and information</w:t>
      </w:r>
      <w:bookmarkEnd w:id="11"/>
    </w:p>
    <w:p w14:paraId="4B4DBCAA" w14:textId="77777777" w:rsidR="00803DD1" w:rsidRPr="00526520" w:rsidRDefault="00803DD1" w:rsidP="00E62C5E">
      <w:pPr>
        <w:pStyle w:val="Heading2"/>
      </w:pPr>
      <w:bookmarkStart w:id="12" w:name="_Toc194928356"/>
      <w:r w:rsidRPr="00526520">
        <w:t>Legislation</w:t>
      </w:r>
      <w:bookmarkEnd w:id="12"/>
    </w:p>
    <w:p w14:paraId="004BA931" w14:textId="77777777" w:rsidR="00803DD1" w:rsidRPr="00565CC2" w:rsidRDefault="00803DD1" w:rsidP="00803DD1">
      <w:pPr>
        <w:pStyle w:val="ListParagraph"/>
        <w:numPr>
          <w:ilvl w:val="0"/>
          <w:numId w:val="47"/>
        </w:numPr>
        <w:rPr>
          <w:rStyle w:val="Hyperlink"/>
          <w:rFonts w:cs="Arial"/>
          <w:color w:val="auto"/>
          <w:u w:val="none"/>
        </w:rPr>
      </w:pPr>
      <w:r w:rsidRPr="00C733B7">
        <w:rPr>
          <w:i/>
        </w:rPr>
        <w:t>Education</w:t>
      </w:r>
      <w:hyperlink r:id="rId14">
        <w:r w:rsidRPr="00C733B7">
          <w:rPr>
            <w:i/>
          </w:rPr>
          <w:t xml:space="preserve"> </w:t>
        </w:r>
      </w:hyperlink>
      <w:hyperlink r:id="rId15">
        <w:r w:rsidRPr="00C733B7">
          <w:rPr>
            <w:i/>
          </w:rPr>
          <w:t>Act</w:t>
        </w:r>
      </w:hyperlink>
      <w:r w:rsidRPr="00C733B7">
        <w:rPr>
          <w:i/>
        </w:rPr>
        <w:t xml:space="preserve"> 2015</w:t>
      </w:r>
      <w:hyperlink r:id="rId16">
        <w:r w:rsidRPr="002D62BE">
          <w:t xml:space="preserve"> </w:t>
        </w:r>
      </w:hyperlink>
      <w:r w:rsidRPr="00C733B7">
        <w:rPr>
          <w:rFonts w:cs="Arial"/>
          <w:i/>
        </w:rPr>
        <w:t xml:space="preserve">– </w:t>
      </w:r>
      <w:hyperlink r:id="rId17" w:history="1">
        <w:r w:rsidRPr="00C733B7">
          <w:rPr>
            <w:rStyle w:val="Hyperlink"/>
            <w:rFonts w:cs="Arial"/>
          </w:rPr>
          <w:t>https://legislation.nt.gov.au/Legislation/EDUCATION-ACT-2015</w:t>
        </w:r>
      </w:hyperlink>
    </w:p>
    <w:p w14:paraId="71A671B3" w14:textId="77777777" w:rsidR="00803DD1" w:rsidRPr="00DE45FC" w:rsidRDefault="00803DD1" w:rsidP="00803DD1">
      <w:pPr>
        <w:pStyle w:val="ListParagraph"/>
        <w:numPr>
          <w:ilvl w:val="0"/>
          <w:numId w:val="47"/>
        </w:numPr>
        <w:ind w:left="714" w:hanging="357"/>
        <w:rPr>
          <w:lang w:val="en-US"/>
        </w:rPr>
      </w:pPr>
      <w:r w:rsidRPr="001E7D0B">
        <w:rPr>
          <w:i/>
        </w:rPr>
        <w:t>Education and Care Services (National Uniform Legislation) Act 2011</w:t>
      </w:r>
      <w:r w:rsidRPr="00DE45FC">
        <w:rPr>
          <w:lang w:val="en-US"/>
        </w:rPr>
        <w:t xml:space="preserve">, which adopts the </w:t>
      </w:r>
      <w:r w:rsidRPr="00DE45FC">
        <w:rPr>
          <w:i/>
          <w:lang w:val="en-US"/>
        </w:rPr>
        <w:t>Education and Care Services National Law Act 2011</w:t>
      </w:r>
      <w:r w:rsidRPr="00DE45FC">
        <w:rPr>
          <w:lang w:val="en-US"/>
        </w:rPr>
        <w:t xml:space="preserve"> in the NT</w:t>
      </w:r>
      <w:r>
        <w:rPr>
          <w:lang w:val="en-US"/>
        </w:rPr>
        <w:t xml:space="preserve"> </w:t>
      </w:r>
      <w:r w:rsidRPr="00F614E9">
        <w:rPr>
          <w:rFonts w:asciiTheme="minorHAnsi" w:hAnsiTheme="minorHAnsi"/>
          <w:lang w:eastAsia="en-AU"/>
        </w:rPr>
        <w:t>–</w:t>
      </w:r>
      <w:r>
        <w:rPr>
          <w:lang w:val="en-US"/>
        </w:rPr>
        <w:t xml:space="preserve"> </w:t>
      </w:r>
      <w:hyperlink r:id="rId18" w:history="1">
        <w:r w:rsidRPr="00DE45FC">
          <w:rPr>
            <w:rStyle w:val="Hyperlink"/>
            <w:lang w:val="en-US"/>
          </w:rPr>
          <w:t>https://legislation.nt.gov.au/en/Legislation/EDUCATION-AND-CARE-SERVICES-NATIONAL-UNIFORM-LEGISLATION-ACT-2011</w:t>
        </w:r>
      </w:hyperlink>
    </w:p>
    <w:p w14:paraId="1964C303" w14:textId="61550DD8" w:rsidR="00803DD1" w:rsidRPr="00B90FA2" w:rsidRDefault="00803DD1" w:rsidP="00803DD1">
      <w:pPr>
        <w:pStyle w:val="ListParagraph"/>
        <w:numPr>
          <w:ilvl w:val="0"/>
          <w:numId w:val="47"/>
        </w:numPr>
        <w:spacing w:after="200"/>
        <w:rPr>
          <w:rFonts w:cs="Arial"/>
        </w:rPr>
      </w:pPr>
      <w:r w:rsidRPr="001E7D0B">
        <w:t>Education and Care Services National Regulations</w:t>
      </w:r>
      <w:r>
        <w:t xml:space="preserve"> </w:t>
      </w:r>
      <w:r w:rsidRPr="00F614E9">
        <w:rPr>
          <w:rFonts w:asciiTheme="minorHAnsi" w:hAnsiTheme="minorHAnsi"/>
          <w:lang w:eastAsia="en-AU"/>
        </w:rPr>
        <w:t>–</w:t>
      </w:r>
      <w:r w:rsidR="00CF6E92" w:rsidRPr="00CF6E92">
        <w:t xml:space="preserve"> </w:t>
      </w:r>
      <w:hyperlink r:id="rId19" w:history="1">
        <w:r w:rsidR="002005FC" w:rsidRPr="009E2437">
          <w:rPr>
            <w:rStyle w:val="Hyperlink"/>
            <w:rFonts w:asciiTheme="minorHAnsi" w:hAnsiTheme="minorHAnsi"/>
            <w:lang w:eastAsia="en-AU"/>
          </w:rPr>
          <w:t>https://legislation.nsw.gov.au/view/html/inforce/current/sl-2011-0653</w:t>
        </w:r>
      </w:hyperlink>
      <w:r w:rsidR="002005FC">
        <w:rPr>
          <w:rFonts w:asciiTheme="minorHAnsi" w:hAnsiTheme="minorHAnsi"/>
          <w:lang w:eastAsia="en-AU"/>
        </w:rPr>
        <w:t xml:space="preserve"> </w:t>
      </w:r>
      <w:r w:rsidR="00CF6E92" w:rsidRPr="00CF6E92">
        <w:rPr>
          <w:rFonts w:asciiTheme="minorHAnsi" w:hAnsiTheme="minorHAnsi"/>
          <w:lang w:eastAsia="en-AU"/>
        </w:rPr>
        <w:t xml:space="preserve"> </w:t>
      </w:r>
      <w:hyperlink w:history="1"/>
    </w:p>
    <w:p w14:paraId="499A0A01" w14:textId="77777777" w:rsidR="00803DD1" w:rsidRPr="006A56C3" w:rsidRDefault="00803DD1" w:rsidP="00E62C5E">
      <w:pPr>
        <w:pStyle w:val="Heading2"/>
      </w:pPr>
      <w:bookmarkStart w:id="13" w:name="_Toc194928357"/>
      <w:r>
        <w:t>Guidelines and Procedures</w:t>
      </w:r>
      <w:bookmarkEnd w:id="13"/>
    </w:p>
    <w:p w14:paraId="357E9FE1" w14:textId="77777777" w:rsidR="00803DD1" w:rsidRDefault="00803DD1" w:rsidP="00803DD1">
      <w:pPr>
        <w:pStyle w:val="ListParagraph"/>
        <w:numPr>
          <w:ilvl w:val="0"/>
          <w:numId w:val="47"/>
        </w:numPr>
        <w:ind w:left="714" w:hanging="357"/>
        <w:rPr>
          <w:rFonts w:asciiTheme="minorHAnsi" w:hAnsiTheme="minorHAnsi"/>
          <w:lang w:eastAsia="en-AU"/>
        </w:rPr>
      </w:pPr>
      <w:r>
        <w:rPr>
          <w:rFonts w:asciiTheme="minorHAnsi" w:hAnsiTheme="minorHAnsi"/>
          <w:lang w:eastAsia="en-AU"/>
        </w:rPr>
        <w:t xml:space="preserve">Enrolment management priority enrolment guidelines </w:t>
      </w:r>
      <w:r w:rsidRPr="00F614E9">
        <w:rPr>
          <w:rFonts w:asciiTheme="minorHAnsi" w:hAnsiTheme="minorHAnsi"/>
          <w:lang w:eastAsia="en-AU"/>
        </w:rPr>
        <w:t>–</w:t>
      </w:r>
      <w:hyperlink r:id="rId20" w:history="1">
        <w:r w:rsidRPr="00F01867">
          <w:rPr>
            <w:rStyle w:val="Hyperlink"/>
            <w:rFonts w:asciiTheme="minorHAnsi" w:hAnsiTheme="minorHAnsi"/>
            <w:lang w:eastAsia="en-AU"/>
          </w:rPr>
          <w:t>https://education.nt.gov.au/policies/student-enrolment/enrolment/priority-enrolment-area</w:t>
        </w:r>
      </w:hyperlink>
      <w:r>
        <w:rPr>
          <w:rFonts w:asciiTheme="minorHAnsi" w:hAnsiTheme="minorHAnsi"/>
          <w:lang w:eastAsia="en-AU"/>
        </w:rPr>
        <w:t xml:space="preserve"> </w:t>
      </w:r>
    </w:p>
    <w:p w14:paraId="55C85A92" w14:textId="77777777" w:rsidR="00803DD1" w:rsidRPr="00F614E9" w:rsidRDefault="00803DD1" w:rsidP="00803DD1">
      <w:pPr>
        <w:pStyle w:val="ListParagraph"/>
        <w:numPr>
          <w:ilvl w:val="0"/>
          <w:numId w:val="47"/>
        </w:numPr>
        <w:ind w:left="714" w:hanging="357"/>
        <w:rPr>
          <w:rFonts w:asciiTheme="minorHAnsi" w:hAnsiTheme="minorHAnsi"/>
          <w:lang w:eastAsia="en-AU"/>
        </w:rPr>
      </w:pPr>
      <w:r w:rsidRPr="00F614E9">
        <w:rPr>
          <w:rFonts w:asciiTheme="minorHAnsi" w:hAnsiTheme="minorHAnsi"/>
          <w:lang w:eastAsia="en-AU"/>
        </w:rPr>
        <w:t xml:space="preserve">Attendance recording and reporting procedures – </w:t>
      </w:r>
      <w:hyperlink r:id="rId21" w:history="1">
        <w:r w:rsidRPr="00C733B7">
          <w:rPr>
            <w:rStyle w:val="Hyperlink"/>
            <w:rFonts w:asciiTheme="minorHAnsi" w:hAnsiTheme="minorHAnsi"/>
            <w:lang w:eastAsia="en-AU"/>
          </w:rPr>
          <w:t>https://education.nt.gov.au/policies/student-enrolment</w:t>
        </w:r>
      </w:hyperlink>
    </w:p>
    <w:p w14:paraId="02477918" w14:textId="77777777" w:rsidR="00803DD1" w:rsidRPr="00F614E9" w:rsidRDefault="00803DD1" w:rsidP="00803DD1">
      <w:pPr>
        <w:pStyle w:val="ListParagraph"/>
        <w:numPr>
          <w:ilvl w:val="0"/>
          <w:numId w:val="47"/>
        </w:numPr>
        <w:ind w:left="714" w:hanging="357"/>
        <w:rPr>
          <w:rFonts w:asciiTheme="minorHAnsi" w:hAnsiTheme="minorHAnsi"/>
          <w:lang w:eastAsia="en-AU"/>
        </w:rPr>
      </w:pPr>
      <w:r w:rsidRPr="00F614E9">
        <w:rPr>
          <w:rFonts w:asciiTheme="minorHAnsi" w:hAnsiTheme="minorHAnsi"/>
          <w:lang w:eastAsia="en-AU"/>
        </w:rPr>
        <w:t xml:space="preserve">Distance education enrolment procedures – </w:t>
      </w:r>
      <w:hyperlink r:id="rId22" w:history="1">
        <w:r w:rsidRPr="00C733B7">
          <w:rPr>
            <w:rStyle w:val="Hyperlink"/>
            <w:rFonts w:asciiTheme="minorHAnsi" w:hAnsiTheme="minorHAnsi"/>
            <w:lang w:eastAsia="en-AU"/>
          </w:rPr>
          <w:t>https://education.nt.gov.au/policies/student-enrolment/enrolment</w:t>
        </w:r>
      </w:hyperlink>
    </w:p>
    <w:p w14:paraId="0AFD5055" w14:textId="77777777" w:rsidR="00803DD1" w:rsidRPr="00E62C5E" w:rsidRDefault="00803DD1" w:rsidP="00803DD1">
      <w:pPr>
        <w:pStyle w:val="ListParagraph"/>
        <w:numPr>
          <w:ilvl w:val="0"/>
          <w:numId w:val="47"/>
        </w:numPr>
        <w:ind w:left="714" w:hanging="357"/>
        <w:rPr>
          <w:rStyle w:val="Hyperlink"/>
          <w:rFonts w:asciiTheme="minorHAnsi" w:hAnsiTheme="minorHAnsi"/>
          <w:color w:val="auto"/>
          <w:u w:val="none"/>
          <w:lang w:eastAsia="en-AU"/>
        </w:rPr>
      </w:pPr>
      <w:r w:rsidRPr="00F614E9">
        <w:rPr>
          <w:rFonts w:asciiTheme="minorHAnsi" w:hAnsiTheme="minorHAnsi"/>
          <w:lang w:eastAsia="en-AU"/>
        </w:rPr>
        <w:t xml:space="preserve">Mature age student enrolment procedures – </w:t>
      </w:r>
      <w:hyperlink r:id="rId23" w:history="1">
        <w:r w:rsidRPr="00C733B7">
          <w:rPr>
            <w:rStyle w:val="Hyperlink"/>
            <w:rFonts w:asciiTheme="minorHAnsi" w:hAnsiTheme="minorHAnsi"/>
            <w:lang w:eastAsia="en-AU"/>
          </w:rPr>
          <w:t>https://education.nt.gov.au/policies/student-enrolment/enrolment</w:t>
        </w:r>
      </w:hyperlink>
    </w:p>
    <w:p w14:paraId="234209D5" w14:textId="68729E66" w:rsidR="00881FB7" w:rsidRPr="00565CC2" w:rsidRDefault="00881FB7" w:rsidP="00803DD1">
      <w:pPr>
        <w:pStyle w:val="ListParagraph"/>
        <w:numPr>
          <w:ilvl w:val="0"/>
          <w:numId w:val="47"/>
        </w:numPr>
        <w:ind w:left="714" w:hanging="357"/>
        <w:rPr>
          <w:rStyle w:val="Hyperlink"/>
          <w:rFonts w:asciiTheme="minorHAnsi" w:hAnsiTheme="minorHAnsi"/>
          <w:color w:val="auto"/>
          <w:u w:val="none"/>
          <w:lang w:eastAsia="en-AU"/>
        </w:rPr>
      </w:pPr>
      <w:r>
        <w:rPr>
          <w:rStyle w:val="Hyperlink"/>
          <w:rFonts w:asciiTheme="minorHAnsi" w:hAnsiTheme="minorHAnsi"/>
          <w:color w:val="auto"/>
          <w:u w:val="none"/>
          <w:lang w:eastAsia="en-AU"/>
        </w:rPr>
        <w:t xml:space="preserve">Enrolment in special schools and special centres guidelines - </w:t>
      </w:r>
      <w:hyperlink r:id="rId24" w:history="1">
        <w:r w:rsidR="002005FC" w:rsidRPr="009E2437">
          <w:rPr>
            <w:rStyle w:val="Hyperlink"/>
            <w:rFonts w:asciiTheme="minorHAnsi" w:hAnsiTheme="minorHAnsi"/>
            <w:lang w:eastAsia="en-AU"/>
          </w:rPr>
          <w:t>https://education.nt.gov.au/policies/student-enrolment/enrolment</w:t>
        </w:r>
      </w:hyperlink>
      <w:r w:rsidR="002005FC">
        <w:rPr>
          <w:rStyle w:val="Hyperlink"/>
          <w:rFonts w:asciiTheme="minorHAnsi" w:hAnsiTheme="minorHAnsi"/>
          <w:color w:val="auto"/>
          <w:u w:val="none"/>
          <w:lang w:eastAsia="en-AU"/>
        </w:rPr>
        <w:t xml:space="preserve"> </w:t>
      </w:r>
    </w:p>
    <w:p w14:paraId="32FF92B7" w14:textId="77777777" w:rsidR="00803DD1" w:rsidRPr="001E7D0B" w:rsidRDefault="00803DD1" w:rsidP="00803DD1">
      <w:pPr>
        <w:pStyle w:val="ListParagraph"/>
        <w:numPr>
          <w:ilvl w:val="0"/>
          <w:numId w:val="47"/>
        </w:numPr>
        <w:ind w:left="714" w:hanging="357"/>
        <w:rPr>
          <w:rFonts w:asciiTheme="minorHAnsi" w:hAnsiTheme="minorHAnsi"/>
          <w:lang w:eastAsia="en-AU"/>
        </w:rPr>
      </w:pPr>
      <w:r>
        <w:rPr>
          <w:rFonts w:asciiTheme="minorHAnsi" w:hAnsiTheme="minorHAnsi"/>
          <w:lang w:eastAsia="en-AU"/>
        </w:rPr>
        <w:t xml:space="preserve">Enrolment and orientation of new children and their families in preschool guidelines </w:t>
      </w:r>
      <w:r w:rsidRPr="00F614E9">
        <w:rPr>
          <w:rFonts w:asciiTheme="minorHAnsi" w:hAnsiTheme="minorHAnsi"/>
          <w:lang w:eastAsia="en-AU"/>
        </w:rPr>
        <w:t>–</w:t>
      </w:r>
      <w:r>
        <w:rPr>
          <w:rFonts w:asciiTheme="minorHAnsi" w:hAnsiTheme="minorHAnsi"/>
          <w:lang w:eastAsia="en-AU"/>
        </w:rPr>
        <w:t xml:space="preserve"> </w:t>
      </w:r>
      <w:hyperlink r:id="rId25" w:history="1">
        <w:r w:rsidRPr="002E4D8D">
          <w:rPr>
            <w:rStyle w:val="Hyperlink"/>
            <w:rFonts w:asciiTheme="minorHAnsi" w:hAnsiTheme="minorHAnsi"/>
            <w:lang w:eastAsia="en-AU"/>
          </w:rPr>
          <w:t>https://education.nt.gov.au/policies/early-childhood-education-and-care/preschool-specific-policy</w:t>
        </w:r>
      </w:hyperlink>
      <w:r>
        <w:rPr>
          <w:rFonts w:asciiTheme="minorHAnsi" w:hAnsiTheme="minorHAnsi"/>
          <w:lang w:eastAsia="en-AU"/>
        </w:rPr>
        <w:t xml:space="preserve"> </w:t>
      </w:r>
    </w:p>
    <w:p w14:paraId="11AC4C0B" w14:textId="17010564" w:rsidR="00803DD1" w:rsidRPr="00E62C5E" w:rsidRDefault="00803DD1" w:rsidP="00803DD1">
      <w:pPr>
        <w:pStyle w:val="ListParagraph"/>
        <w:numPr>
          <w:ilvl w:val="0"/>
          <w:numId w:val="47"/>
        </w:numPr>
        <w:ind w:left="714" w:hanging="357"/>
        <w:rPr>
          <w:rStyle w:val="Hyperlink"/>
          <w:rFonts w:asciiTheme="minorHAnsi" w:hAnsiTheme="minorHAnsi"/>
          <w:color w:val="auto"/>
          <w:u w:val="none"/>
          <w:lang w:eastAsia="en-AU"/>
        </w:rPr>
      </w:pPr>
      <w:r>
        <w:t xml:space="preserve">Families as First Teachers policy, procedures and guidelines </w:t>
      </w:r>
      <w:r w:rsidRPr="00F614E9">
        <w:rPr>
          <w:rFonts w:asciiTheme="minorHAnsi" w:hAnsiTheme="minorHAnsi"/>
          <w:lang w:eastAsia="en-AU"/>
        </w:rPr>
        <w:t>–</w:t>
      </w:r>
      <w:r>
        <w:t xml:space="preserve"> </w:t>
      </w:r>
      <w:hyperlink r:id="rId26" w:history="1">
        <w:r w:rsidRPr="002E4D8D">
          <w:rPr>
            <w:rStyle w:val="Hyperlink"/>
          </w:rPr>
          <w:t>https://education.nt.gov.au/policies/early-childhood-education-and-care</w:t>
        </w:r>
      </w:hyperlink>
    </w:p>
    <w:p w14:paraId="77EAFCEA" w14:textId="2894C5B7" w:rsidR="00B36016" w:rsidRDefault="00B36016" w:rsidP="00803DD1">
      <w:pPr>
        <w:pStyle w:val="ListParagraph"/>
        <w:numPr>
          <w:ilvl w:val="0"/>
          <w:numId w:val="47"/>
        </w:numPr>
        <w:ind w:left="714" w:hanging="357"/>
        <w:rPr>
          <w:rFonts w:asciiTheme="minorHAnsi" w:hAnsiTheme="minorHAnsi"/>
          <w:lang w:eastAsia="en-AU"/>
        </w:rPr>
      </w:pPr>
      <w:r>
        <w:rPr>
          <w:rFonts w:asciiTheme="minorHAnsi" w:hAnsiTheme="minorHAnsi"/>
          <w:lang w:eastAsia="en-AU"/>
        </w:rPr>
        <w:t xml:space="preserve">Record and information management standards - </w:t>
      </w:r>
      <w:hyperlink r:id="rId27" w:history="1">
        <w:r w:rsidRPr="00CE19A3">
          <w:rPr>
            <w:rStyle w:val="Hyperlink"/>
            <w:rFonts w:asciiTheme="minorHAnsi" w:hAnsiTheme="minorHAnsi"/>
            <w:lang w:eastAsia="en-AU"/>
          </w:rPr>
          <w:t>https://dcdd.nt.gov.au/government-records/records-information-management-standards</w:t>
        </w:r>
      </w:hyperlink>
    </w:p>
    <w:p w14:paraId="1919AAE7" w14:textId="50B6D160" w:rsidR="00B36016" w:rsidRPr="00565CC2" w:rsidRDefault="00C0183D" w:rsidP="00803DD1">
      <w:pPr>
        <w:pStyle w:val="ListParagraph"/>
        <w:numPr>
          <w:ilvl w:val="0"/>
          <w:numId w:val="47"/>
        </w:numPr>
        <w:ind w:left="714" w:hanging="357"/>
        <w:rPr>
          <w:rFonts w:asciiTheme="minorHAnsi" w:hAnsiTheme="minorHAnsi"/>
          <w:lang w:eastAsia="en-AU"/>
        </w:rPr>
      </w:pPr>
      <w:r>
        <w:rPr>
          <w:rFonts w:asciiTheme="minorHAnsi" w:hAnsiTheme="minorHAnsi"/>
          <w:lang w:eastAsia="en-AU"/>
        </w:rPr>
        <w:lastRenderedPageBreak/>
        <w:t>School management</w:t>
      </w:r>
      <w:r w:rsidR="00B36016">
        <w:rPr>
          <w:rFonts w:asciiTheme="minorHAnsi" w:hAnsiTheme="minorHAnsi"/>
          <w:lang w:eastAsia="en-AU"/>
        </w:rPr>
        <w:t xml:space="preserve"> records disposal schedule - </w:t>
      </w:r>
      <w:hyperlink r:id="rId28" w:history="1">
        <w:r w:rsidRPr="00C0183D">
          <w:rPr>
            <w:rStyle w:val="Hyperlink"/>
          </w:rPr>
          <w:t>https://dpsc.nt.gov.au/__data/assets/pdf_file/0010/593749/Disposal-Schedule-2018-10-School-Management.pdf</w:t>
        </w:r>
      </w:hyperlink>
    </w:p>
    <w:p w14:paraId="19EDF6DC" w14:textId="77777777" w:rsidR="00803DD1" w:rsidRDefault="00803DD1" w:rsidP="00E62C5E">
      <w:pPr>
        <w:pStyle w:val="Heading2"/>
      </w:pPr>
      <w:bookmarkStart w:id="14" w:name="_Toc194928358"/>
      <w:r>
        <w:t>Other relevant policy</w:t>
      </w:r>
      <w:bookmarkEnd w:id="14"/>
      <w:r>
        <w:t xml:space="preserve"> </w:t>
      </w:r>
    </w:p>
    <w:p w14:paraId="5924223C" w14:textId="1D3892B7" w:rsidR="00803DD1" w:rsidRPr="006A54D9" w:rsidRDefault="00803DD1" w:rsidP="00803DD1">
      <w:pPr>
        <w:pStyle w:val="ListParagraph"/>
        <w:numPr>
          <w:ilvl w:val="0"/>
          <w:numId w:val="49"/>
        </w:numPr>
        <w:rPr>
          <w:rStyle w:val="Hyperlink"/>
          <w:rFonts w:asciiTheme="minorHAnsi" w:hAnsiTheme="minorHAnsi"/>
          <w:color w:val="auto"/>
          <w:u w:val="none"/>
          <w:lang w:eastAsia="en-AU"/>
        </w:rPr>
      </w:pPr>
      <w:r>
        <w:rPr>
          <w:lang w:eastAsia="en-AU"/>
        </w:rPr>
        <w:t xml:space="preserve">Preschool Reform Agreement </w:t>
      </w:r>
      <w:r w:rsidRPr="00F614E9">
        <w:rPr>
          <w:rFonts w:asciiTheme="minorHAnsi" w:hAnsiTheme="minorHAnsi"/>
          <w:lang w:eastAsia="en-AU"/>
        </w:rPr>
        <w:t>–</w:t>
      </w:r>
      <w:r>
        <w:rPr>
          <w:lang w:eastAsia="en-AU"/>
        </w:rPr>
        <w:t xml:space="preserve"> </w:t>
      </w:r>
      <w:hyperlink r:id="rId29" w:history="1">
        <w:r w:rsidR="00B36016" w:rsidRPr="00B36016">
          <w:rPr>
            <w:rStyle w:val="Hyperlink"/>
          </w:rPr>
          <w:t>https://federalfinancialrelations.gov.au/agreements/preschool-reform-agreement</w:t>
        </w:r>
      </w:hyperlink>
    </w:p>
    <w:p w14:paraId="5A4244DB" w14:textId="77777777" w:rsidR="00803DD1" w:rsidRPr="006A54D9" w:rsidRDefault="00803DD1" w:rsidP="00E62C5E">
      <w:pPr>
        <w:pStyle w:val="Heading2"/>
      </w:pPr>
      <w:bookmarkStart w:id="15" w:name="_Toc194928359"/>
      <w:r>
        <w:t>Information</w:t>
      </w:r>
      <w:bookmarkEnd w:id="15"/>
    </w:p>
    <w:p w14:paraId="5A03E158" w14:textId="1E61319A" w:rsidR="002005FC" w:rsidRPr="00C54AB1" w:rsidRDefault="00803DD1" w:rsidP="002005FC">
      <w:pPr>
        <w:pStyle w:val="ListParagraph"/>
        <w:numPr>
          <w:ilvl w:val="0"/>
          <w:numId w:val="48"/>
        </w:numPr>
        <w:rPr>
          <w:lang w:eastAsia="en-AU"/>
        </w:rPr>
      </w:pPr>
      <w:proofErr w:type="spellStart"/>
      <w:r w:rsidRPr="00C733B7">
        <w:rPr>
          <w:lang w:val="en-US"/>
        </w:rPr>
        <w:t>Enrol</w:t>
      </w:r>
      <w:proofErr w:type="spellEnd"/>
      <w:r w:rsidRPr="00C733B7">
        <w:rPr>
          <w:lang w:val="en-US"/>
        </w:rPr>
        <w:t xml:space="preserve"> your child at school</w:t>
      </w:r>
      <w:r>
        <w:rPr>
          <w:lang w:val="en-US"/>
        </w:rPr>
        <w:t xml:space="preserve"> </w:t>
      </w:r>
      <w:r w:rsidRPr="00C733B7">
        <w:rPr>
          <w:lang w:val="en-US"/>
        </w:rPr>
        <w:t xml:space="preserve">– </w:t>
      </w:r>
      <w:hyperlink r:id="rId30" w:history="1">
        <w:r w:rsidRPr="00C733B7">
          <w:rPr>
            <w:rStyle w:val="Hyperlink"/>
            <w:lang w:val="en-US"/>
          </w:rPr>
          <w:t>https://nt.gov.au/learning/primary-and-secondary-students/enrol-your-child-at-school</w:t>
        </w:r>
      </w:hyperlink>
    </w:p>
    <w:p w14:paraId="456EA964" w14:textId="11B8A07D" w:rsidR="002005FC" w:rsidRPr="00C54AB1" w:rsidRDefault="00803DD1" w:rsidP="00C54AB1">
      <w:pPr>
        <w:pStyle w:val="ListParagraph"/>
        <w:numPr>
          <w:ilvl w:val="0"/>
          <w:numId w:val="48"/>
        </w:numPr>
        <w:rPr>
          <w:lang w:eastAsia="en-AU"/>
        </w:rPr>
      </w:pPr>
      <w:r w:rsidRPr="002005FC">
        <w:rPr>
          <w:lang w:val="en-US"/>
        </w:rPr>
        <w:t xml:space="preserve">Information-sharing requirements for schools </w:t>
      </w:r>
      <w:r w:rsidR="002005FC" w:rsidRPr="002005FC">
        <w:rPr>
          <w:lang w:val="en-US"/>
        </w:rPr>
        <w:t>–</w:t>
      </w:r>
      <w:r w:rsidR="002005FC">
        <w:rPr>
          <w:lang w:val="en-US"/>
        </w:rPr>
        <w:t xml:space="preserve"> </w:t>
      </w:r>
      <w:hyperlink r:id="rId31" w:history="1">
        <w:r w:rsidR="002005FC" w:rsidRPr="009E2437">
          <w:rPr>
            <w:rStyle w:val="Hyperlink"/>
            <w:lang w:val="en-US"/>
          </w:rPr>
          <w:t>https://education.nt.gov.au/publications/legislation/changes-to-the-education-act-2015/information-sharing-requirements-for-government-and-non-government-schools</w:t>
        </w:r>
      </w:hyperlink>
      <w:r w:rsidR="002005FC">
        <w:rPr>
          <w:lang w:val="en-US"/>
        </w:rPr>
        <w:t xml:space="preserve"> </w:t>
      </w:r>
    </w:p>
    <w:p w14:paraId="690FCCC3" w14:textId="77777777" w:rsidR="00C54AB1" w:rsidRPr="00C54AB1" w:rsidRDefault="00C54AB1" w:rsidP="00C54AB1">
      <w:pPr>
        <w:pStyle w:val="ListParagraph"/>
        <w:ind w:left="720"/>
        <w:rPr>
          <w:lang w:eastAsia="en-AU"/>
        </w:rPr>
      </w:pPr>
    </w:p>
    <w:tbl>
      <w:tblPr>
        <w:tblStyle w:val="NTGtable1"/>
        <w:tblW w:w="10343" w:type="dxa"/>
        <w:tblLayout w:type="fixed"/>
        <w:tblLook w:val="0120" w:firstRow="1" w:lastRow="0" w:firstColumn="0" w:lastColumn="1" w:noHBand="0" w:noVBand="0"/>
      </w:tblPr>
      <w:tblGrid>
        <w:gridCol w:w="1980"/>
        <w:gridCol w:w="8363"/>
      </w:tblGrid>
      <w:tr w:rsidR="00FE5B5A" w:rsidRPr="00E87DE1" w14:paraId="4C9A7EAE" w14:textId="77777777" w:rsidTr="00C40342">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028900D8" w14:textId="048194B6" w:rsidR="00FE5B5A" w:rsidRPr="00E87DE1" w:rsidRDefault="00803DD1" w:rsidP="00C40342">
            <w:r w:rsidRPr="002005FC">
              <w:rPr>
                <w:lang w:val="en-US"/>
              </w:rPr>
              <w:t xml:space="preserve"> </w:t>
            </w:r>
            <w:r w:rsidR="00FE5B5A" w:rsidRPr="00E87DE1">
              <w:rPr>
                <w:w w:val="105"/>
              </w:rPr>
              <w:t>Acronyms</w:t>
            </w:r>
          </w:p>
        </w:tc>
        <w:tc>
          <w:tcPr>
            <w:tcW w:w="8363" w:type="dxa"/>
          </w:tcPr>
          <w:p w14:paraId="5CF20AF0" w14:textId="77777777" w:rsidR="00FE5B5A" w:rsidRPr="00E87DE1" w:rsidRDefault="00FE5B5A" w:rsidP="00C40342">
            <w:r w:rsidRPr="00E87DE1">
              <w:rPr>
                <w:w w:val="105"/>
              </w:rPr>
              <w:t>Full</w:t>
            </w:r>
            <w:r w:rsidRPr="00E87DE1">
              <w:rPr>
                <w:spacing w:val="-17"/>
                <w:w w:val="105"/>
              </w:rPr>
              <w:t xml:space="preserve"> </w:t>
            </w:r>
            <w:r w:rsidRPr="00E87DE1">
              <w:rPr>
                <w:w w:val="105"/>
              </w:rPr>
              <w:t>form</w:t>
            </w:r>
          </w:p>
        </w:tc>
      </w:tr>
      <w:tr w:rsidR="00803DD1" w:rsidRPr="00E87DE1" w14:paraId="69FC71C1" w14:textId="77777777" w:rsidTr="00C40342">
        <w:trPr>
          <w:trHeight w:val="431"/>
        </w:trPr>
        <w:tc>
          <w:tcPr>
            <w:tcW w:w="1980" w:type="dxa"/>
          </w:tcPr>
          <w:p w14:paraId="5DFAB812" w14:textId="6C77B388" w:rsidR="00803DD1" w:rsidRPr="006145BB" w:rsidRDefault="00803DD1" w:rsidP="00803DD1">
            <w:r>
              <w:t>FaFT</w:t>
            </w:r>
          </w:p>
        </w:tc>
        <w:tc>
          <w:tcPr>
            <w:tcW w:w="8363" w:type="dxa"/>
          </w:tcPr>
          <w:p w14:paraId="767462BA" w14:textId="7E2698F0" w:rsidR="00803DD1" w:rsidRPr="006145BB" w:rsidRDefault="00803DD1" w:rsidP="00803DD1">
            <w:r>
              <w:t>Families as First Teachers</w:t>
            </w:r>
          </w:p>
        </w:tc>
      </w:tr>
      <w:tr w:rsidR="00803DD1" w:rsidRPr="00E87DE1" w14:paraId="6C8AC6C5" w14:textId="77777777" w:rsidTr="00C40342">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14A4E071" w14:textId="543EC768" w:rsidR="00803DD1" w:rsidRPr="006145BB" w:rsidRDefault="00803DD1" w:rsidP="00803DD1">
            <w:r>
              <w:t>NT</w:t>
            </w:r>
          </w:p>
        </w:tc>
        <w:tc>
          <w:tcPr>
            <w:tcW w:w="8363" w:type="dxa"/>
            <w:tcBorders>
              <w:bottom w:val="nil"/>
            </w:tcBorders>
          </w:tcPr>
          <w:p w14:paraId="14431509" w14:textId="0774B1B5" w:rsidR="00803DD1" w:rsidRPr="006145BB" w:rsidRDefault="00803DD1" w:rsidP="00803DD1">
            <w:r>
              <w:t>Northern Territory</w:t>
            </w:r>
          </w:p>
        </w:tc>
      </w:tr>
      <w:tr w:rsidR="00803DD1" w:rsidRPr="00E87DE1" w14:paraId="7FD6E37C" w14:textId="77777777" w:rsidTr="00C40342">
        <w:trPr>
          <w:trHeight w:val="431"/>
        </w:trPr>
        <w:tc>
          <w:tcPr>
            <w:tcW w:w="1980" w:type="dxa"/>
          </w:tcPr>
          <w:p w14:paraId="2EACFDE1" w14:textId="68677A2E" w:rsidR="00803DD1" w:rsidRPr="006145BB" w:rsidRDefault="002005FC" w:rsidP="00803DD1">
            <w:r>
              <w:rPr>
                <w:lang w:eastAsia="en-AU"/>
              </w:rPr>
              <w:t>NQF</w:t>
            </w:r>
          </w:p>
        </w:tc>
        <w:tc>
          <w:tcPr>
            <w:tcW w:w="8363" w:type="dxa"/>
          </w:tcPr>
          <w:p w14:paraId="3D945D95" w14:textId="0C8A4686" w:rsidR="00803DD1" w:rsidRPr="006145BB" w:rsidRDefault="002005FC" w:rsidP="00803DD1">
            <w:r>
              <w:rPr>
                <w:lang w:eastAsia="en-AU"/>
              </w:rPr>
              <w:t>National Quality Framework</w:t>
            </w:r>
          </w:p>
        </w:tc>
      </w:tr>
      <w:tr w:rsidR="002005FC" w:rsidRPr="00E87DE1" w14:paraId="1EBAEDFB" w14:textId="77777777" w:rsidTr="00C40342">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118A64EA" w14:textId="15222A01" w:rsidR="002005FC" w:rsidRDefault="002005FC" w:rsidP="002005FC">
            <w:pPr>
              <w:rPr>
                <w:lang w:eastAsia="en-AU"/>
              </w:rPr>
            </w:pPr>
            <w:r>
              <w:rPr>
                <w:lang w:eastAsia="en-AU"/>
              </w:rPr>
              <w:t>SRF</w:t>
            </w:r>
          </w:p>
        </w:tc>
        <w:tc>
          <w:tcPr>
            <w:tcW w:w="8363" w:type="dxa"/>
          </w:tcPr>
          <w:p w14:paraId="054E0FA5" w14:textId="5AB236F6" w:rsidR="002005FC" w:rsidRDefault="002005FC" w:rsidP="002005FC">
            <w:pPr>
              <w:rPr>
                <w:lang w:eastAsia="en-AU"/>
              </w:rPr>
            </w:pPr>
            <w:r>
              <w:rPr>
                <w:lang w:eastAsia="en-AU"/>
              </w:rPr>
              <w:t>Student record file</w:t>
            </w:r>
          </w:p>
        </w:tc>
      </w:tr>
    </w:tbl>
    <w:p w14:paraId="0C821C29" w14:textId="77777777" w:rsidR="00FE5B5A" w:rsidRDefault="00FE5B5A" w:rsidP="00FE5B5A">
      <w:pPr>
        <w:rPr>
          <w:lang w:eastAsia="en-AU"/>
        </w:rPr>
      </w:pPr>
    </w:p>
    <w:tbl>
      <w:tblPr>
        <w:tblStyle w:val="NTGtable1"/>
        <w:tblW w:w="10348" w:type="dxa"/>
        <w:tblLook w:val="0480" w:firstRow="0" w:lastRow="0" w:firstColumn="1" w:lastColumn="0" w:noHBand="0" w:noVBand="1"/>
      </w:tblPr>
      <w:tblGrid>
        <w:gridCol w:w="2410"/>
        <w:gridCol w:w="7938"/>
      </w:tblGrid>
      <w:tr w:rsidR="00FE5B5A" w14:paraId="3047DE95" w14:textId="77777777" w:rsidTr="00C40342">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67EF801" w14:textId="77777777" w:rsidR="00FE5B5A" w:rsidRPr="0054507C" w:rsidRDefault="00FE5B5A" w:rsidP="00C40342">
            <w:pPr>
              <w:rPr>
                <w:b/>
              </w:rPr>
            </w:pPr>
            <w:r w:rsidRPr="0054507C">
              <w:rPr>
                <w:b/>
              </w:rPr>
              <w:t>Document title</w:t>
            </w:r>
          </w:p>
        </w:tc>
        <w:tc>
          <w:tcPr>
            <w:tcW w:w="7938" w:type="dxa"/>
          </w:tcPr>
          <w:p w14:paraId="7FFD3785" w14:textId="1EEF2B83" w:rsidR="00FE5B5A" w:rsidRPr="006145BB" w:rsidRDefault="00027E8D" w:rsidP="00C40342">
            <w:pPr>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A33566601201497BB755133785B7095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03DD1">
                  <w:t>Enrolment procedures</w:t>
                </w:r>
              </w:sdtContent>
            </w:sdt>
          </w:p>
        </w:tc>
      </w:tr>
      <w:tr w:rsidR="00FE5B5A" w14:paraId="37645F7C" w14:textId="77777777" w:rsidTr="00C4034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032B7F2" w14:textId="77777777" w:rsidR="00FE5B5A" w:rsidRPr="0054507C" w:rsidRDefault="00FE5B5A" w:rsidP="00C40342">
            <w:pPr>
              <w:rPr>
                <w:b/>
              </w:rPr>
            </w:pPr>
            <w:r w:rsidRPr="0054507C">
              <w:rPr>
                <w:b/>
              </w:rPr>
              <w:t>Contact details</w:t>
            </w:r>
          </w:p>
        </w:tc>
        <w:tc>
          <w:tcPr>
            <w:tcW w:w="7938" w:type="dxa"/>
          </w:tcPr>
          <w:p w14:paraId="44C79322" w14:textId="7A3B5F57" w:rsidR="00FE5B5A" w:rsidRPr="006145BB" w:rsidRDefault="00A83C1F" w:rsidP="00C40342">
            <w:pPr>
              <w:cnfStyle w:val="000000010000" w:firstRow="0" w:lastRow="0" w:firstColumn="0" w:lastColumn="0" w:oddVBand="0" w:evenVBand="0" w:oddHBand="0" w:evenHBand="1" w:firstRowFirstColumn="0" w:firstRowLastColumn="0" w:lastRowFirstColumn="0" w:lastRowLastColumn="0"/>
            </w:pPr>
            <w:r>
              <w:t xml:space="preserve">Inclusion and Engagement Services, Student Attendance and Engagement Programs and Services, </w:t>
            </w:r>
            <w:hyperlink r:id="rId32" w:history="1">
              <w:r>
                <w:rPr>
                  <w:rStyle w:val="Hyperlink"/>
                </w:rPr>
                <w:t>enrolattend.policy@education.nt.gov.au</w:t>
              </w:r>
            </w:hyperlink>
          </w:p>
        </w:tc>
      </w:tr>
      <w:tr w:rsidR="00803DD1" w14:paraId="353E9297" w14:textId="77777777" w:rsidTr="00C40342">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0AFF39D" w14:textId="77777777" w:rsidR="00803DD1" w:rsidRPr="0054507C" w:rsidRDefault="00803DD1" w:rsidP="00803DD1">
            <w:pPr>
              <w:rPr>
                <w:b/>
              </w:rPr>
            </w:pPr>
            <w:r w:rsidRPr="0054507C">
              <w:rPr>
                <w:b/>
              </w:rPr>
              <w:t>Approved by</w:t>
            </w:r>
          </w:p>
        </w:tc>
        <w:tc>
          <w:tcPr>
            <w:tcW w:w="7938" w:type="dxa"/>
          </w:tcPr>
          <w:p w14:paraId="1921802A" w14:textId="11BEF33F" w:rsidR="00803DD1" w:rsidRPr="006145BB" w:rsidRDefault="00A83C1F" w:rsidP="00803DD1">
            <w:pPr>
              <w:cnfStyle w:val="000000000000" w:firstRow="0" w:lastRow="0" w:firstColumn="0" w:lastColumn="0" w:oddVBand="0" w:evenVBand="0" w:oddHBand="0" w:evenHBand="0" w:firstRowFirstColumn="0" w:firstRowLastColumn="0" w:lastRowFirstColumn="0" w:lastRowLastColumn="0"/>
            </w:pPr>
            <w:r>
              <w:t>Executive Director Inclusion and Engagement Services</w:t>
            </w:r>
          </w:p>
        </w:tc>
      </w:tr>
      <w:tr w:rsidR="00803DD1" w14:paraId="625B9B01" w14:textId="77777777" w:rsidTr="00C4034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C8A81B3" w14:textId="77777777" w:rsidR="00803DD1" w:rsidRPr="0054507C" w:rsidRDefault="00803DD1" w:rsidP="00803DD1">
            <w:pPr>
              <w:rPr>
                <w:b/>
              </w:rPr>
            </w:pPr>
            <w:r w:rsidRPr="0054507C">
              <w:rPr>
                <w:b/>
              </w:rPr>
              <w:t>Date approved</w:t>
            </w:r>
          </w:p>
        </w:tc>
        <w:tc>
          <w:tcPr>
            <w:tcW w:w="7938" w:type="dxa"/>
          </w:tcPr>
          <w:p w14:paraId="289E7783" w14:textId="1AAA48FE" w:rsidR="00803DD1" w:rsidRPr="006145BB" w:rsidRDefault="00803DD1" w:rsidP="00803DD1">
            <w:pPr>
              <w:cnfStyle w:val="000000010000" w:firstRow="0" w:lastRow="0" w:firstColumn="0" w:lastColumn="0" w:oddVBand="0" w:evenVBand="0" w:oddHBand="0" w:evenHBand="1" w:firstRowFirstColumn="0" w:firstRowLastColumn="0" w:lastRowFirstColumn="0" w:lastRowLastColumn="0"/>
            </w:pPr>
          </w:p>
        </w:tc>
      </w:tr>
      <w:tr w:rsidR="00803DD1" w14:paraId="45C8D0A9" w14:textId="77777777" w:rsidTr="00C40342">
        <w:trPr>
          <w:trHeight w:val="554"/>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E697752" w14:textId="77777777" w:rsidR="00803DD1" w:rsidRPr="0054507C" w:rsidRDefault="00803DD1" w:rsidP="00803DD1">
            <w:pPr>
              <w:rPr>
                <w:b/>
              </w:rPr>
            </w:pPr>
            <w:r w:rsidRPr="0054507C">
              <w:rPr>
                <w:b/>
              </w:rPr>
              <w:t>TRM number</w:t>
            </w:r>
          </w:p>
        </w:tc>
        <w:tc>
          <w:tcPr>
            <w:tcW w:w="7938" w:type="dxa"/>
          </w:tcPr>
          <w:p w14:paraId="1F1362FA" w14:textId="70252AA0" w:rsidR="00803DD1" w:rsidRPr="006145BB" w:rsidRDefault="00A83C1F" w:rsidP="00803DD1">
            <w:pPr>
              <w:cnfStyle w:val="000000000000" w:firstRow="0" w:lastRow="0" w:firstColumn="0" w:lastColumn="0" w:oddVBand="0" w:evenVBand="0" w:oddHBand="0" w:evenHBand="0" w:firstRowFirstColumn="0" w:firstRowLastColumn="0" w:lastRowFirstColumn="0" w:lastRowLastColumn="0"/>
            </w:pPr>
            <w:r w:rsidRPr="00A83C1F">
              <w:t>50-D25-21349</w:t>
            </w:r>
          </w:p>
        </w:tc>
      </w:tr>
    </w:tbl>
    <w:p w14:paraId="43F9B3F1" w14:textId="77777777" w:rsidR="00FE5B5A" w:rsidRDefault="00FE5B5A" w:rsidP="00FE5B5A">
      <w:pPr>
        <w:rPr>
          <w:lang w:eastAsia="en-AU"/>
        </w:rPr>
      </w:pPr>
    </w:p>
    <w:tbl>
      <w:tblPr>
        <w:tblStyle w:val="NTGtable1"/>
        <w:tblW w:w="10343" w:type="dxa"/>
        <w:tblLayout w:type="fixed"/>
        <w:tblLook w:val="0120" w:firstRow="1" w:lastRow="0" w:firstColumn="0" w:lastColumn="1" w:noHBand="0" w:noVBand="0"/>
      </w:tblPr>
      <w:tblGrid>
        <w:gridCol w:w="1129"/>
        <w:gridCol w:w="2268"/>
        <w:gridCol w:w="2552"/>
        <w:gridCol w:w="4394"/>
      </w:tblGrid>
      <w:tr w:rsidR="00FE5B5A" w:rsidRPr="00E87DE1" w14:paraId="7BC7CD39" w14:textId="77777777" w:rsidTr="00C40342">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5D790881" w14:textId="77777777" w:rsidR="00FE5B5A" w:rsidRPr="00E87DE1" w:rsidRDefault="00FE5B5A" w:rsidP="00C40342">
            <w:r w:rsidRPr="00E87DE1">
              <w:rPr>
                <w:w w:val="105"/>
              </w:rPr>
              <w:t>Version</w:t>
            </w:r>
          </w:p>
        </w:tc>
        <w:tc>
          <w:tcPr>
            <w:tcW w:w="2268" w:type="dxa"/>
          </w:tcPr>
          <w:p w14:paraId="0748228B" w14:textId="77777777" w:rsidR="00FE5B5A" w:rsidRPr="00E87DE1" w:rsidRDefault="00FE5B5A" w:rsidP="00C40342">
            <w:r w:rsidRPr="00E87DE1">
              <w:rPr>
                <w:w w:val="105"/>
              </w:rPr>
              <w:t>Date</w:t>
            </w:r>
          </w:p>
        </w:tc>
        <w:tc>
          <w:tcPr>
            <w:tcW w:w="2552" w:type="dxa"/>
          </w:tcPr>
          <w:p w14:paraId="7561F4A0" w14:textId="77777777" w:rsidR="00FE5B5A" w:rsidRPr="00E87DE1" w:rsidRDefault="00FE5B5A" w:rsidP="00C40342">
            <w:r w:rsidRPr="00E87DE1">
              <w:rPr>
                <w:w w:val="105"/>
              </w:rPr>
              <w:t>Author</w:t>
            </w:r>
          </w:p>
        </w:tc>
        <w:tc>
          <w:tcPr>
            <w:tcW w:w="4394" w:type="dxa"/>
          </w:tcPr>
          <w:p w14:paraId="49F29EED" w14:textId="77777777" w:rsidR="00FE5B5A" w:rsidRPr="00E87DE1" w:rsidRDefault="00FE5B5A" w:rsidP="00C40342">
            <w:r w:rsidRPr="00E87DE1">
              <w:t>Changes made</w:t>
            </w:r>
          </w:p>
        </w:tc>
      </w:tr>
      <w:tr w:rsidR="00A83C1F" w:rsidRPr="00E87DE1" w14:paraId="5E71A2FF" w14:textId="77777777" w:rsidTr="00C40342">
        <w:trPr>
          <w:trHeight w:val="431"/>
        </w:trPr>
        <w:tc>
          <w:tcPr>
            <w:tcW w:w="1129" w:type="dxa"/>
          </w:tcPr>
          <w:p w14:paraId="3B190FD3" w14:textId="55D19B76" w:rsidR="00A83C1F" w:rsidRPr="006145BB" w:rsidRDefault="00A83C1F" w:rsidP="00A83C1F">
            <w:r>
              <w:t>1</w:t>
            </w:r>
          </w:p>
        </w:tc>
        <w:tc>
          <w:tcPr>
            <w:tcW w:w="2268" w:type="dxa"/>
          </w:tcPr>
          <w:p w14:paraId="4B80DEE7" w14:textId="4628AD21" w:rsidR="00A83C1F" w:rsidRPr="006145BB" w:rsidRDefault="00A83C1F" w:rsidP="00A83C1F">
            <w:r>
              <w:t>January 2022</w:t>
            </w:r>
          </w:p>
        </w:tc>
        <w:tc>
          <w:tcPr>
            <w:tcW w:w="2552" w:type="dxa"/>
          </w:tcPr>
          <w:p w14:paraId="29F4282C" w14:textId="4562AB34" w:rsidR="00A83C1F" w:rsidRPr="006145BB" w:rsidRDefault="00A83C1F" w:rsidP="00A83C1F">
            <w:r>
              <w:t xml:space="preserve">Student Engagement Programs and Services </w:t>
            </w:r>
          </w:p>
        </w:tc>
        <w:tc>
          <w:tcPr>
            <w:tcW w:w="4394" w:type="dxa"/>
          </w:tcPr>
          <w:p w14:paraId="16B5FB2D" w14:textId="6C1ED2ED" w:rsidR="00A83C1F" w:rsidRPr="006145BB" w:rsidRDefault="00A83C1F" w:rsidP="00A83C1F">
            <w:r>
              <w:t>First version</w:t>
            </w:r>
          </w:p>
        </w:tc>
      </w:tr>
      <w:tr w:rsidR="00A83C1F" w:rsidRPr="00E87DE1" w14:paraId="54AB4080" w14:textId="77777777" w:rsidTr="00C40342">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4886EC93" w14:textId="758ECE4C" w:rsidR="00A83C1F" w:rsidRPr="006145BB" w:rsidRDefault="00A83C1F" w:rsidP="00A83C1F">
            <w:r>
              <w:t>2</w:t>
            </w:r>
          </w:p>
        </w:tc>
        <w:tc>
          <w:tcPr>
            <w:tcW w:w="2268" w:type="dxa"/>
            <w:tcBorders>
              <w:bottom w:val="nil"/>
            </w:tcBorders>
          </w:tcPr>
          <w:p w14:paraId="7B2E985E" w14:textId="028D31B9" w:rsidR="00A83C1F" w:rsidRPr="006145BB" w:rsidRDefault="00A83C1F" w:rsidP="00A83C1F">
            <w:r>
              <w:t>May 2023</w:t>
            </w:r>
          </w:p>
        </w:tc>
        <w:tc>
          <w:tcPr>
            <w:tcW w:w="2552" w:type="dxa"/>
            <w:tcBorders>
              <w:bottom w:val="nil"/>
            </w:tcBorders>
          </w:tcPr>
          <w:p w14:paraId="45984D9A" w14:textId="7DB94046" w:rsidR="00A83C1F" w:rsidRPr="006145BB" w:rsidRDefault="00A83C1F" w:rsidP="00A83C1F">
            <w:r>
              <w:t xml:space="preserve">Student Engagement Programs and Services </w:t>
            </w:r>
          </w:p>
        </w:tc>
        <w:tc>
          <w:tcPr>
            <w:tcW w:w="4394" w:type="dxa"/>
            <w:tcBorders>
              <w:bottom w:val="nil"/>
            </w:tcBorders>
          </w:tcPr>
          <w:p w14:paraId="7EE5E5BB" w14:textId="46E3B4DE" w:rsidR="00A83C1F" w:rsidRPr="006145BB" w:rsidRDefault="00A83C1F" w:rsidP="00A83C1F">
            <w:r>
              <w:t>Template and information updated</w:t>
            </w:r>
          </w:p>
        </w:tc>
      </w:tr>
      <w:tr w:rsidR="00FE5B5A" w:rsidRPr="00E87DE1" w14:paraId="33145FB7" w14:textId="77777777" w:rsidTr="00C40342">
        <w:trPr>
          <w:trHeight w:val="431"/>
        </w:trPr>
        <w:tc>
          <w:tcPr>
            <w:tcW w:w="1129" w:type="dxa"/>
            <w:tcBorders>
              <w:bottom w:val="single" w:sz="4" w:space="0" w:color="1F1F5F" w:themeColor="text1"/>
            </w:tcBorders>
          </w:tcPr>
          <w:p w14:paraId="48D65B39" w14:textId="289E87BC" w:rsidR="00FE5B5A" w:rsidRPr="006145BB" w:rsidRDefault="00A83C1F" w:rsidP="00C40342">
            <w:r>
              <w:t>3</w:t>
            </w:r>
          </w:p>
        </w:tc>
        <w:tc>
          <w:tcPr>
            <w:tcW w:w="2268" w:type="dxa"/>
            <w:tcBorders>
              <w:bottom w:val="single" w:sz="4" w:space="0" w:color="1F1F5F" w:themeColor="text1"/>
            </w:tcBorders>
          </w:tcPr>
          <w:p w14:paraId="627662AF" w14:textId="575BD0F4" w:rsidR="00FE5B5A" w:rsidRPr="006145BB" w:rsidRDefault="003A481B" w:rsidP="00C40342">
            <w:r>
              <w:t xml:space="preserve">February </w:t>
            </w:r>
            <w:r w:rsidR="00A83C1F">
              <w:t>2025</w:t>
            </w:r>
          </w:p>
        </w:tc>
        <w:tc>
          <w:tcPr>
            <w:tcW w:w="2552" w:type="dxa"/>
            <w:tcBorders>
              <w:bottom w:val="single" w:sz="4" w:space="0" w:color="1F1F5F" w:themeColor="text1"/>
            </w:tcBorders>
          </w:tcPr>
          <w:p w14:paraId="72B4D0A0" w14:textId="709E2D2A" w:rsidR="00FE5B5A" w:rsidRPr="006145BB" w:rsidRDefault="00A83C1F" w:rsidP="00C40342">
            <w:r>
              <w:t>Student Attendance Engagement Programs and Services</w:t>
            </w:r>
          </w:p>
        </w:tc>
        <w:tc>
          <w:tcPr>
            <w:tcW w:w="4394" w:type="dxa"/>
            <w:tcBorders>
              <w:bottom w:val="single" w:sz="4" w:space="0" w:color="1F1F5F" w:themeColor="text1"/>
            </w:tcBorders>
          </w:tcPr>
          <w:p w14:paraId="1DB49066" w14:textId="24CD0341" w:rsidR="00FE5B5A" w:rsidRPr="006145BB" w:rsidRDefault="00A83C1F" w:rsidP="00C40342">
            <w:r>
              <w:t>Information updated</w:t>
            </w:r>
          </w:p>
        </w:tc>
      </w:tr>
    </w:tbl>
    <w:p w14:paraId="2FA8ADF9" w14:textId="77777777" w:rsidR="00FE5B5A" w:rsidRDefault="00FE5B5A" w:rsidP="00FE5B5A">
      <w:pPr>
        <w:rPr>
          <w:lang w:eastAsia="en-AU"/>
        </w:rPr>
      </w:pPr>
    </w:p>
    <w:sectPr w:rsidR="00FE5B5A" w:rsidSect="008B7C3D">
      <w:footerReference w:type="default" r:id="rId33"/>
      <w:headerReference w:type="first" r:id="rId34"/>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E5CE" w14:textId="77777777" w:rsidR="007A4C17" w:rsidRDefault="007A4C17">
      <w:r>
        <w:separator/>
      </w:r>
    </w:p>
  </w:endnote>
  <w:endnote w:type="continuationSeparator" w:id="0">
    <w:p w14:paraId="3D646597" w14:textId="77777777" w:rsidR="007A4C17" w:rsidRDefault="007A4C17">
      <w:r>
        <w:continuationSeparator/>
      </w:r>
    </w:p>
  </w:endnote>
  <w:endnote w:type="continuationNotice" w:id="1">
    <w:p w14:paraId="66DBF0BC" w14:textId="77777777" w:rsidR="007A4C17" w:rsidRDefault="007A4C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ACA9" w14:textId="77777777" w:rsidR="00964B22" w:rsidRPr="00F538BD" w:rsidRDefault="000A385C"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2135669792" name="Picture 213566979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33CE" w14:textId="04800282" w:rsidR="004D6993" w:rsidRPr="00945325" w:rsidRDefault="004D6993" w:rsidP="004D6993">
    <w:pPr>
      <w:spacing w:after="0"/>
      <w:rPr>
        <w:rStyle w:val="PageNumber"/>
        <w:b/>
      </w:rPr>
    </w:pPr>
    <w:r>
      <w:rPr>
        <w:rStyle w:val="PageNumber"/>
      </w:rPr>
      <w:t xml:space="preserve">Department of </w:t>
    </w:r>
    <w:sdt>
      <w:sdtPr>
        <w:rPr>
          <w:sz w:val="19"/>
        </w:rPr>
        <w:alias w:val="Company"/>
        <w:tag w:val=""/>
        <w:id w:val="-764692680"/>
        <w:placeholder>
          <w:docPart w:val="011C66ACCB104CB3847EFA7D3E2F1BAE"/>
        </w:placeholder>
        <w:dataBinding w:prefixMappings="xmlns:ns0='http://schemas.openxmlformats.org/officeDocument/2006/extended-properties' " w:xpath="/ns0:Properties[1]/ns0:Company[1]" w:storeItemID="{6668398D-A668-4E3E-A5EB-62B293D839F1}"/>
        <w:text w:multiLine="1"/>
      </w:sdtPr>
      <w:sdtEndPr/>
      <w:sdtContent>
        <w:r w:rsidR="00B00590">
          <w:rPr>
            <w:sz w:val="19"/>
          </w:rPr>
          <w:t>Education and Training</w:t>
        </w:r>
      </w:sdtContent>
    </w:sdt>
    <w:r>
      <w:rPr>
        <w:rStyle w:val="PageNumber"/>
      </w:rPr>
      <w:t xml:space="preserve"> </w:t>
    </w:r>
    <w:sdt>
      <w:sdtPr>
        <w:rPr>
          <w:rStyle w:val="PageNumber"/>
        </w:rPr>
        <w:alias w:val="Date"/>
        <w:tag w:val=""/>
        <w:id w:val="1119651769"/>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Pr>
            <w:rStyle w:val="PageNumber"/>
          </w:rPr>
          <w:t>&lt;Date Month Year&gt;</w:t>
        </w:r>
      </w:sdtContent>
    </w:sdt>
  </w:p>
  <w:p w14:paraId="146635F1" w14:textId="0C8F1186" w:rsidR="0004577F" w:rsidRPr="00F538BD" w:rsidRDefault="004D6993" w:rsidP="004D6993">
    <w:pPr>
      <w:pStyle w:val="Hidden"/>
      <w:ind w:firstLine="0"/>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rPr>
      <w:t>4</w:t>
    </w:r>
    <w:r w:rsidRPr="00AC448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5FF0"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686C837F" w14:textId="77777777" w:rsidTr="00007EB5">
      <w:trPr>
        <w:cantSplit/>
        <w:trHeight w:hRule="exact" w:val="850"/>
        <w:tblHeader/>
      </w:trPr>
      <w:tc>
        <w:tcPr>
          <w:tcW w:w="10318" w:type="dxa"/>
          <w:vAlign w:val="bottom"/>
        </w:tcPr>
        <w:p w14:paraId="5FC5FB51" w14:textId="77777777" w:rsidR="00B00590" w:rsidRDefault="004D6993" w:rsidP="004D6993">
          <w:pPr>
            <w:spacing w:after="0"/>
            <w:rPr>
              <w:sz w:val="19"/>
            </w:rPr>
          </w:pPr>
          <w:r>
            <w:rPr>
              <w:rStyle w:val="PageNumber"/>
            </w:rPr>
            <w:t xml:space="preserve">Department of </w:t>
          </w:r>
          <w:sdt>
            <w:sdtPr>
              <w:rPr>
                <w:b/>
                <w:bCs/>
                <w:sz w:val="19"/>
              </w:rPr>
              <w:alias w:val="Company"/>
              <w:tag w:val=""/>
              <w:id w:val="-1550452142"/>
              <w:placeholder>
                <w:docPart w:val="0998B3B25E574A3AAEE6E2E2450636EE"/>
              </w:placeholder>
              <w:dataBinding w:prefixMappings="xmlns:ns0='http://schemas.openxmlformats.org/officeDocument/2006/extended-properties' " w:xpath="/ns0:Properties[1]/ns0:Company[1]" w:storeItemID="{6668398D-A668-4E3E-A5EB-62B293D839F1}"/>
              <w:text w:multiLine="1"/>
            </w:sdtPr>
            <w:sdtEndPr/>
            <w:sdtContent>
              <w:r w:rsidRPr="00B00590">
                <w:rPr>
                  <w:b/>
                  <w:bCs/>
                  <w:sz w:val="19"/>
                </w:rPr>
                <w:t>Education and Training</w:t>
              </w:r>
            </w:sdtContent>
          </w:sdt>
        </w:p>
        <w:p w14:paraId="02802D79" w14:textId="059161A5" w:rsidR="00B00590" w:rsidRDefault="00B00590" w:rsidP="004D6993">
          <w:pPr>
            <w:spacing w:after="0"/>
            <w:rPr>
              <w:rStyle w:val="PageNumber"/>
            </w:rPr>
          </w:pPr>
          <w:r>
            <w:rPr>
              <w:rStyle w:val="PageNumber"/>
            </w:rPr>
            <w:t xml:space="preserve">Published </w:t>
          </w:r>
          <w:r w:rsidR="00CA03C0">
            <w:rPr>
              <w:rStyle w:val="PageNumber"/>
            </w:rPr>
            <w:t>April 2025 | 50-D25-21349</w:t>
          </w:r>
        </w:p>
        <w:p w14:paraId="6369AF07" w14:textId="49C415AB" w:rsidR="00CB6A67" w:rsidRPr="00AC4488" w:rsidRDefault="004D6993" w:rsidP="004D6993">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rPr>
            <w:t>2</w:t>
          </w:r>
          <w:r w:rsidRPr="00AC4488">
            <w:rPr>
              <w:rStyle w:val="PageNumber"/>
            </w:rPr>
            <w:fldChar w:fldCharType="end"/>
          </w:r>
        </w:p>
      </w:tc>
    </w:tr>
  </w:tbl>
  <w:p w14:paraId="25FD84D1" w14:textId="77777777" w:rsidR="001852AF" w:rsidRDefault="001852AF" w:rsidP="001852AF">
    <w:pPr>
      <w:pStyle w:val="Hidden"/>
      <w:ind w:firstLine="0"/>
    </w:pPr>
  </w:p>
  <w:p w14:paraId="09DD0C10"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FCF5" w14:textId="77777777" w:rsidR="007A4C17" w:rsidRDefault="007A4C17">
      <w:r>
        <w:separator/>
      </w:r>
    </w:p>
  </w:footnote>
  <w:footnote w:type="continuationSeparator" w:id="0">
    <w:p w14:paraId="64BC0F77" w14:textId="77777777" w:rsidR="007A4C17" w:rsidRDefault="007A4C17">
      <w:r>
        <w:continuationSeparator/>
      </w:r>
    </w:p>
  </w:footnote>
  <w:footnote w:type="continuationNotice" w:id="1">
    <w:p w14:paraId="25903FB1" w14:textId="77777777" w:rsidR="007A4C17" w:rsidRDefault="007A4C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E870" w14:textId="74944022" w:rsidR="00964B22" w:rsidRPr="008E0345" w:rsidRDefault="00027E8D"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803DD1">
          <w:t>Enrolment procedures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204E"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D7167E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ACB5" w14:textId="77777777" w:rsidR="00964B22" w:rsidRPr="00274F1C" w:rsidRDefault="00964B2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0E1E89EE" w:rsidR="00983000" w:rsidRPr="00964B22" w:rsidRDefault="00803DD1" w:rsidP="008E0345">
        <w:pPr>
          <w:pStyle w:val="Header"/>
          <w:rPr>
            <w:b/>
          </w:rPr>
        </w:pPr>
        <w:r>
          <w:t>Enrolment procedures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B15"/>
    <w:multiLevelType w:val="hybridMultilevel"/>
    <w:tmpl w:val="4B6E5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BE38FA"/>
    <w:multiLevelType w:val="hybridMultilevel"/>
    <w:tmpl w:val="1668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F674B1"/>
    <w:multiLevelType w:val="hybridMultilevel"/>
    <w:tmpl w:val="FB881ED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EF85699"/>
    <w:multiLevelType w:val="hybridMultilevel"/>
    <w:tmpl w:val="DB48E6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67456BD"/>
    <w:multiLevelType w:val="hybridMultilevel"/>
    <w:tmpl w:val="AD32037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2E3F76"/>
    <w:multiLevelType w:val="multilevel"/>
    <w:tmpl w:val="3E5E177A"/>
    <w:name w:val="NTG Table Bullet List3322"/>
    <w:numStyleLink w:val="Tablenumberlist"/>
  </w:abstractNum>
  <w:abstractNum w:abstractNumId="26" w15:restartNumberingAfterBreak="0">
    <w:nsid w:val="27CE4608"/>
    <w:multiLevelType w:val="multilevel"/>
    <w:tmpl w:val="3E5E177A"/>
    <w:name w:val="NTG Table Bullet List33222"/>
    <w:numStyleLink w:val="Tablenumberlist"/>
  </w:abstractNum>
  <w:abstractNum w:abstractNumId="27" w15:restartNumberingAfterBreak="0">
    <w:nsid w:val="27D83E4D"/>
    <w:multiLevelType w:val="multilevel"/>
    <w:tmpl w:val="3928FD02"/>
    <w:numStyleLink w:val="Bulletlist"/>
  </w:abstractNum>
  <w:abstractNum w:abstractNumId="28" w15:restartNumberingAfterBreak="0">
    <w:nsid w:val="2A1520E7"/>
    <w:multiLevelType w:val="multilevel"/>
    <w:tmpl w:val="4E6AC8F6"/>
    <w:numStyleLink w:val="Numberlist"/>
  </w:abstractNum>
  <w:abstractNum w:abstractNumId="29" w15:restartNumberingAfterBreak="0">
    <w:nsid w:val="2B495AA8"/>
    <w:multiLevelType w:val="hybridMultilevel"/>
    <w:tmpl w:val="F4A27CB6"/>
    <w:lvl w:ilvl="0" w:tplc="0C09000F">
      <w:start w:val="1"/>
      <w:numFmt w:val="decimal"/>
      <w:lvlText w:val="%1."/>
      <w:lvlJc w:val="left"/>
      <w:pPr>
        <w:ind w:left="720" w:hanging="360"/>
      </w:pPr>
      <w:rPr>
        <w:rFonts w:hint="default"/>
        <w:color w:val="auto"/>
      </w:r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660863"/>
    <w:multiLevelType w:val="hybridMultilevel"/>
    <w:tmpl w:val="99EA48A6"/>
    <w:lvl w:ilvl="0" w:tplc="FFFFFFFF">
      <w:start w:val="1"/>
      <w:numFmt w:val="bullet"/>
      <w:lvlText w:val=""/>
      <w:lvlJc w:val="left"/>
      <w:pPr>
        <w:ind w:left="720" w:hanging="360"/>
      </w:pPr>
      <w:rPr>
        <w:rFonts w:ascii="Symbol" w:hAnsi="Symbol" w:hint="default"/>
      </w:rPr>
    </w:lvl>
    <w:lvl w:ilvl="1" w:tplc="4856993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2"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E693641"/>
    <w:multiLevelType w:val="multilevel"/>
    <w:tmpl w:val="3E5E177A"/>
    <w:name w:val="NTG Table Bullet List33"/>
    <w:numStyleLink w:val="Tablenumberlist"/>
  </w:abstractNum>
  <w:abstractNum w:abstractNumId="34" w15:restartNumberingAfterBreak="0">
    <w:nsid w:val="2EF077BC"/>
    <w:multiLevelType w:val="multilevel"/>
    <w:tmpl w:val="0C78A7AC"/>
    <w:name w:val="NTG Table Bullet List33222222222222222222"/>
    <w:numStyleLink w:val="Tablebulletlist"/>
  </w:abstractNum>
  <w:abstractNum w:abstractNumId="35" w15:restartNumberingAfterBreak="0">
    <w:nsid w:val="3107174D"/>
    <w:multiLevelType w:val="hybridMultilevel"/>
    <w:tmpl w:val="0B4264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2DF44DA"/>
    <w:multiLevelType w:val="multilevel"/>
    <w:tmpl w:val="3E5E177A"/>
    <w:name w:val="NTG Table Bullet List3222323"/>
    <w:numStyleLink w:val="Tablenumberlist"/>
  </w:abstractNum>
  <w:abstractNum w:abstractNumId="3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1"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3BE61945"/>
    <w:multiLevelType w:val="multilevel"/>
    <w:tmpl w:val="3928FD02"/>
    <w:name w:val="NTG Table Bullet List332222222222222222"/>
    <w:numStyleLink w:val="Bulletlist"/>
  </w:abstractNum>
  <w:abstractNum w:abstractNumId="43" w15:restartNumberingAfterBreak="0">
    <w:nsid w:val="400676E3"/>
    <w:multiLevelType w:val="multilevel"/>
    <w:tmpl w:val="FD1CD746"/>
    <w:numStyleLink w:val="Numberedlist"/>
  </w:abstractNum>
  <w:abstractNum w:abstractNumId="44"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49FD3A20"/>
    <w:multiLevelType w:val="multilevel"/>
    <w:tmpl w:val="3E5E177A"/>
    <w:name w:val="NTG Table Bullet List3322222222222"/>
    <w:numStyleLink w:val="Tablenumberlist"/>
  </w:abstractNum>
  <w:abstractNum w:abstractNumId="48" w15:restartNumberingAfterBreak="0">
    <w:nsid w:val="4B9C5B88"/>
    <w:multiLevelType w:val="multilevel"/>
    <w:tmpl w:val="5A5A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2CB786D"/>
    <w:multiLevelType w:val="multilevel"/>
    <w:tmpl w:val="FD1CD746"/>
    <w:numStyleLink w:val="Numberedlist"/>
  </w:abstractNum>
  <w:abstractNum w:abstractNumId="54" w15:restartNumberingAfterBreak="0">
    <w:nsid w:val="53842BC6"/>
    <w:multiLevelType w:val="multilevel"/>
    <w:tmpl w:val="0C78A7AC"/>
    <w:numStyleLink w:val="Tablebulletlist"/>
  </w:abstractNum>
  <w:abstractNum w:abstractNumId="5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6"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56BD5013"/>
    <w:multiLevelType w:val="hybridMultilevel"/>
    <w:tmpl w:val="8410E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6DA2CAE"/>
    <w:multiLevelType w:val="multilevel"/>
    <w:tmpl w:val="3E5E177A"/>
    <w:name w:val="NTG Table Bullet List332222222222222"/>
    <w:numStyleLink w:val="Tablenumberlist"/>
  </w:abstractNum>
  <w:abstractNum w:abstractNumId="59" w15:restartNumberingAfterBreak="0">
    <w:nsid w:val="583359D9"/>
    <w:multiLevelType w:val="multilevel"/>
    <w:tmpl w:val="3E5E177A"/>
    <w:name w:val="NTG Table Bullet List332222222"/>
    <w:numStyleLink w:val="Tablenumberlist"/>
  </w:abstractNum>
  <w:abstractNum w:abstractNumId="6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8E21323"/>
    <w:multiLevelType w:val="multilevel"/>
    <w:tmpl w:val="4E6AC8F6"/>
    <w:numStyleLink w:val="Numberlist"/>
  </w:abstractNum>
  <w:abstractNum w:abstractNumId="63"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B9A5FFE"/>
    <w:multiLevelType w:val="multilevel"/>
    <w:tmpl w:val="0C78A7AC"/>
    <w:name w:val="NTG Table Bullet List33222222222222"/>
    <w:numStyleLink w:val="Tablebulletlist"/>
  </w:abstractNum>
  <w:abstractNum w:abstractNumId="65" w15:restartNumberingAfterBreak="0">
    <w:nsid w:val="5D444259"/>
    <w:multiLevelType w:val="multilevel"/>
    <w:tmpl w:val="0C78A7AC"/>
    <w:name w:val="NTG Table Bullet List332222"/>
    <w:numStyleLink w:val="Tablebulletlist"/>
  </w:abstractNum>
  <w:abstractNum w:abstractNumId="66" w15:restartNumberingAfterBreak="0">
    <w:nsid w:val="5D902305"/>
    <w:multiLevelType w:val="hybridMultilevel"/>
    <w:tmpl w:val="C9F426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30A3D14"/>
    <w:multiLevelType w:val="hybridMultilevel"/>
    <w:tmpl w:val="BB90203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0"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72" w15:restartNumberingAfterBreak="0">
    <w:nsid w:val="69262556"/>
    <w:multiLevelType w:val="multilevel"/>
    <w:tmpl w:val="3E5E177A"/>
    <w:name w:val="NTG Table Bullet List3322222222222222"/>
    <w:numStyleLink w:val="Tablenumberlist"/>
  </w:abstractNum>
  <w:abstractNum w:abstractNumId="73" w15:restartNumberingAfterBreak="0">
    <w:nsid w:val="6D3F501A"/>
    <w:multiLevelType w:val="hybridMultilevel"/>
    <w:tmpl w:val="1FBE2006"/>
    <w:lvl w:ilvl="0" w:tplc="FFFFFFFF">
      <w:start w:val="1"/>
      <w:numFmt w:val="decimal"/>
      <w:lvlText w:val="%1."/>
      <w:lvlJc w:val="left"/>
      <w:pPr>
        <w:ind w:left="720" w:hanging="360"/>
      </w:pPr>
    </w:lvl>
    <w:lvl w:ilvl="1" w:tplc="FDFC57B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453664D"/>
    <w:multiLevelType w:val="multilevel"/>
    <w:tmpl w:val="0C78A7AC"/>
    <w:name w:val="NTG Table Bullet List3322222222222222222"/>
    <w:numStyleLink w:val="Tablebulletlist"/>
  </w:abstractNum>
  <w:abstractNum w:abstractNumId="75" w15:restartNumberingAfterBreak="0">
    <w:nsid w:val="76141D1E"/>
    <w:multiLevelType w:val="multilevel"/>
    <w:tmpl w:val="0C78A7AC"/>
    <w:name w:val="NTG Table Bullet List332222222222"/>
    <w:numStyleLink w:val="Tablebulletlist"/>
  </w:abstractNum>
  <w:abstractNum w:abstractNumId="76" w15:restartNumberingAfterBreak="0">
    <w:nsid w:val="765A32D4"/>
    <w:multiLevelType w:val="multilevel"/>
    <w:tmpl w:val="4E6AC8F6"/>
    <w:numStyleLink w:val="Numberlist"/>
  </w:abstractNum>
  <w:abstractNum w:abstractNumId="77"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80" w15:restartNumberingAfterBreak="0">
    <w:nsid w:val="7D881032"/>
    <w:multiLevelType w:val="hybridMultilevel"/>
    <w:tmpl w:val="56660B0C"/>
    <w:lvl w:ilvl="0" w:tplc="EE7806E4">
      <w:start w:val="1"/>
      <w:numFmt w:val="decimal"/>
      <w:lvlText w:val="%1."/>
      <w:lvlJc w:val="left"/>
      <w:pPr>
        <w:ind w:left="720" w:hanging="360"/>
      </w:pPr>
      <w:rPr>
        <w:rFonts w:hint="default"/>
        <w:color w:val="auto"/>
      </w:rPr>
    </w:lvl>
    <w:lvl w:ilvl="1" w:tplc="0C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8569938">
      <w:start w:val="1"/>
      <w:numFmt w:val="bullet"/>
      <w:lvlText w:val="­"/>
      <w:lvlJc w:val="left"/>
      <w:pPr>
        <w:ind w:left="3600" w:hanging="360"/>
      </w:pPr>
      <w:rPr>
        <w:rFonts w:ascii="Courier New" w:hAnsi="Courier New"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895464942">
    <w:abstractNumId w:val="38"/>
  </w:num>
  <w:num w:numId="2" w16cid:durableId="375352741">
    <w:abstractNumId w:val="23"/>
  </w:num>
  <w:num w:numId="3" w16cid:durableId="1412581613">
    <w:abstractNumId w:val="79"/>
  </w:num>
  <w:num w:numId="4" w16cid:durableId="73824270">
    <w:abstractNumId w:val="49"/>
  </w:num>
  <w:num w:numId="5" w16cid:durableId="953825695">
    <w:abstractNumId w:val="31"/>
  </w:num>
  <w:num w:numId="6" w16cid:durableId="1506551455">
    <w:abstractNumId w:val="16"/>
  </w:num>
  <w:num w:numId="7" w16cid:durableId="1183400887">
    <w:abstractNumId w:val="54"/>
  </w:num>
  <w:num w:numId="8" w16cid:durableId="1434400369">
    <w:abstractNumId w:val="27"/>
  </w:num>
  <w:num w:numId="9" w16cid:durableId="544568070">
    <w:abstractNumId w:val="62"/>
  </w:num>
  <w:num w:numId="10" w16cid:durableId="170529970">
    <w:abstractNumId w:val="21"/>
  </w:num>
  <w:num w:numId="11" w16cid:durableId="28142320">
    <w:abstractNumId w:val="70"/>
  </w:num>
  <w:num w:numId="12" w16cid:durableId="169763829">
    <w:abstractNumId w:val="18"/>
  </w:num>
  <w:num w:numId="13" w16cid:durableId="472142034">
    <w:abstractNumId w:val="2"/>
  </w:num>
  <w:num w:numId="14" w16cid:durableId="609246414">
    <w:abstractNumId w:val="67"/>
  </w:num>
  <w:num w:numId="15" w16cid:durableId="1395424972">
    <w:abstractNumId w:val="28"/>
  </w:num>
  <w:num w:numId="16" w16cid:durableId="2060129632">
    <w:abstractNumId w:val="69"/>
  </w:num>
  <w:num w:numId="17" w16cid:durableId="1470703019">
    <w:abstractNumId w:val="76"/>
  </w:num>
  <w:num w:numId="18" w16cid:durableId="1882935079">
    <w:abstractNumId w:val="61"/>
  </w:num>
  <w:num w:numId="19" w16cid:durableId="1602179861">
    <w:abstractNumId w:val="52"/>
  </w:num>
  <w:num w:numId="20" w16cid:durableId="373773344">
    <w:abstractNumId w:val="56"/>
  </w:num>
  <w:num w:numId="21" w16cid:durableId="133566379">
    <w:abstractNumId w:val="44"/>
  </w:num>
  <w:num w:numId="22" w16cid:durableId="556475662">
    <w:abstractNumId w:val="60"/>
  </w:num>
  <w:num w:numId="23" w16cid:durableId="306663764">
    <w:abstractNumId w:val="51"/>
  </w:num>
  <w:num w:numId="24" w16cid:durableId="866480108">
    <w:abstractNumId w:val="46"/>
  </w:num>
  <w:num w:numId="25" w16cid:durableId="504055267">
    <w:abstractNumId w:val="41"/>
  </w:num>
  <w:num w:numId="26" w16cid:durableId="749929681">
    <w:abstractNumId w:val="13"/>
  </w:num>
  <w:num w:numId="27" w16cid:durableId="1327636276">
    <w:abstractNumId w:val="77"/>
  </w:num>
  <w:num w:numId="28" w16cid:durableId="602150434">
    <w:abstractNumId w:val="40"/>
  </w:num>
  <w:num w:numId="29" w16cid:durableId="693380394">
    <w:abstractNumId w:val="32"/>
  </w:num>
  <w:num w:numId="30" w16cid:durableId="1161584430">
    <w:abstractNumId w:val="1"/>
  </w:num>
  <w:num w:numId="31" w16cid:durableId="814025213">
    <w:abstractNumId w:val="45"/>
  </w:num>
  <w:num w:numId="32" w16cid:durableId="1013341214">
    <w:abstractNumId w:val="12"/>
  </w:num>
  <w:num w:numId="33" w16cid:durableId="621883706">
    <w:abstractNumId w:val="71"/>
  </w:num>
  <w:num w:numId="34" w16cid:durableId="143009577">
    <w:abstractNumId w:val="36"/>
  </w:num>
  <w:num w:numId="35" w16cid:durableId="1500582686">
    <w:abstractNumId w:val="78"/>
  </w:num>
  <w:num w:numId="36" w16cid:durableId="393435740">
    <w:abstractNumId w:val="63"/>
  </w:num>
  <w:num w:numId="37" w16cid:durableId="522867189">
    <w:abstractNumId w:val="6"/>
  </w:num>
  <w:num w:numId="38" w16cid:durableId="1347370505">
    <w:abstractNumId w:val="39"/>
  </w:num>
  <w:num w:numId="39" w16cid:durableId="144275602">
    <w:abstractNumId w:val="53"/>
  </w:num>
  <w:num w:numId="40" w16cid:durableId="186136434">
    <w:abstractNumId w:val="43"/>
  </w:num>
  <w:num w:numId="41" w16cid:durableId="1184437563">
    <w:abstractNumId w:val="3"/>
  </w:num>
  <w:num w:numId="42" w16cid:durableId="868223532">
    <w:abstractNumId w:val="80"/>
  </w:num>
  <w:num w:numId="43" w16cid:durableId="1962568767">
    <w:abstractNumId w:val="29"/>
  </w:num>
  <w:num w:numId="44" w16cid:durableId="328675129">
    <w:abstractNumId w:val="4"/>
  </w:num>
  <w:num w:numId="45" w16cid:durableId="54860164">
    <w:abstractNumId w:val="0"/>
  </w:num>
  <w:num w:numId="46" w16cid:durableId="1844397571">
    <w:abstractNumId w:val="68"/>
  </w:num>
  <w:num w:numId="47" w16cid:durableId="195001030">
    <w:abstractNumId w:val="24"/>
  </w:num>
  <w:num w:numId="48" w16cid:durableId="737284227">
    <w:abstractNumId w:val="7"/>
  </w:num>
  <w:num w:numId="49" w16cid:durableId="1915507409">
    <w:abstractNumId w:val="57"/>
  </w:num>
  <w:num w:numId="50" w16cid:durableId="679236367">
    <w:abstractNumId w:val="35"/>
  </w:num>
  <w:num w:numId="51" w16cid:durableId="1238323837">
    <w:abstractNumId w:val="66"/>
  </w:num>
  <w:num w:numId="52" w16cid:durableId="1044715267">
    <w:abstractNumId w:val="73"/>
  </w:num>
  <w:num w:numId="53" w16cid:durableId="784160113">
    <w:abstractNumId w:val="22"/>
  </w:num>
  <w:num w:numId="54" w16cid:durableId="1812092271">
    <w:abstractNumId w:val="30"/>
  </w:num>
  <w:num w:numId="55" w16cid:durableId="1631278994">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0380"/>
    <w:rsid w:val="00001DDF"/>
    <w:rsid w:val="0000322D"/>
    <w:rsid w:val="00007670"/>
    <w:rsid w:val="00010036"/>
    <w:rsid w:val="00010665"/>
    <w:rsid w:val="0002393A"/>
    <w:rsid w:val="00027DB8"/>
    <w:rsid w:val="00027E8D"/>
    <w:rsid w:val="000307A7"/>
    <w:rsid w:val="00031A96"/>
    <w:rsid w:val="00040BF3"/>
    <w:rsid w:val="0004577F"/>
    <w:rsid w:val="00046C59"/>
    <w:rsid w:val="00051362"/>
    <w:rsid w:val="00051F45"/>
    <w:rsid w:val="00052953"/>
    <w:rsid w:val="0005341A"/>
    <w:rsid w:val="00056DEF"/>
    <w:rsid w:val="00066C99"/>
    <w:rsid w:val="000674B4"/>
    <w:rsid w:val="000720BE"/>
    <w:rsid w:val="0007259C"/>
    <w:rsid w:val="00074573"/>
    <w:rsid w:val="00080202"/>
    <w:rsid w:val="00080DCD"/>
    <w:rsid w:val="00080E22"/>
    <w:rsid w:val="00082573"/>
    <w:rsid w:val="000840A3"/>
    <w:rsid w:val="00085062"/>
    <w:rsid w:val="00086A5F"/>
    <w:rsid w:val="000911EF"/>
    <w:rsid w:val="000962C5"/>
    <w:rsid w:val="000A04AF"/>
    <w:rsid w:val="000A385C"/>
    <w:rsid w:val="000A4317"/>
    <w:rsid w:val="000A559C"/>
    <w:rsid w:val="000B0EE8"/>
    <w:rsid w:val="000B2CA1"/>
    <w:rsid w:val="000C01B5"/>
    <w:rsid w:val="000D1F29"/>
    <w:rsid w:val="000D633D"/>
    <w:rsid w:val="000E0962"/>
    <w:rsid w:val="000E342B"/>
    <w:rsid w:val="000E38FB"/>
    <w:rsid w:val="000E5DD2"/>
    <w:rsid w:val="000F2958"/>
    <w:rsid w:val="000F4805"/>
    <w:rsid w:val="001023DB"/>
    <w:rsid w:val="00104E7F"/>
    <w:rsid w:val="001117D8"/>
    <w:rsid w:val="001137EC"/>
    <w:rsid w:val="001152F5"/>
    <w:rsid w:val="00117743"/>
    <w:rsid w:val="00117F5B"/>
    <w:rsid w:val="00132658"/>
    <w:rsid w:val="00147DED"/>
    <w:rsid w:val="00150DC0"/>
    <w:rsid w:val="00156CD4"/>
    <w:rsid w:val="00157C56"/>
    <w:rsid w:val="00161A76"/>
    <w:rsid w:val="00161CC6"/>
    <w:rsid w:val="00164A3E"/>
    <w:rsid w:val="00166FF6"/>
    <w:rsid w:val="00172C77"/>
    <w:rsid w:val="00176123"/>
    <w:rsid w:val="00181620"/>
    <w:rsid w:val="001852AF"/>
    <w:rsid w:val="001957AD"/>
    <w:rsid w:val="001A21F0"/>
    <w:rsid w:val="001A2B7F"/>
    <w:rsid w:val="001A311C"/>
    <w:rsid w:val="001A3AFD"/>
    <w:rsid w:val="001A496C"/>
    <w:rsid w:val="001A6304"/>
    <w:rsid w:val="001B2B6C"/>
    <w:rsid w:val="001B49AD"/>
    <w:rsid w:val="001D01C4"/>
    <w:rsid w:val="001D52B0"/>
    <w:rsid w:val="001D5A18"/>
    <w:rsid w:val="001D7CA4"/>
    <w:rsid w:val="001E057F"/>
    <w:rsid w:val="001E14EB"/>
    <w:rsid w:val="001E1982"/>
    <w:rsid w:val="001E2112"/>
    <w:rsid w:val="001F2879"/>
    <w:rsid w:val="001F59E6"/>
    <w:rsid w:val="001F5C6E"/>
    <w:rsid w:val="002005FC"/>
    <w:rsid w:val="00202014"/>
    <w:rsid w:val="00206936"/>
    <w:rsid w:val="00206C6F"/>
    <w:rsid w:val="00206FBD"/>
    <w:rsid w:val="00207746"/>
    <w:rsid w:val="002139C5"/>
    <w:rsid w:val="00221220"/>
    <w:rsid w:val="00226E46"/>
    <w:rsid w:val="00230031"/>
    <w:rsid w:val="00235C01"/>
    <w:rsid w:val="00236878"/>
    <w:rsid w:val="00246C03"/>
    <w:rsid w:val="00247343"/>
    <w:rsid w:val="00253F67"/>
    <w:rsid w:val="00265C56"/>
    <w:rsid w:val="002716CD"/>
    <w:rsid w:val="00274D4B"/>
    <w:rsid w:val="002806F5"/>
    <w:rsid w:val="00281577"/>
    <w:rsid w:val="00284700"/>
    <w:rsid w:val="002926BC"/>
    <w:rsid w:val="00293A72"/>
    <w:rsid w:val="002A0160"/>
    <w:rsid w:val="002A30C3"/>
    <w:rsid w:val="002A6F6A"/>
    <w:rsid w:val="002A7712"/>
    <w:rsid w:val="002B38F7"/>
    <w:rsid w:val="002B5591"/>
    <w:rsid w:val="002B6AA4"/>
    <w:rsid w:val="002C1FE9"/>
    <w:rsid w:val="002D3A57"/>
    <w:rsid w:val="002D7D05"/>
    <w:rsid w:val="002E0F6E"/>
    <w:rsid w:val="002E20C8"/>
    <w:rsid w:val="002E4290"/>
    <w:rsid w:val="002E5B94"/>
    <w:rsid w:val="002E66A6"/>
    <w:rsid w:val="002F0DB1"/>
    <w:rsid w:val="002F2885"/>
    <w:rsid w:val="002F32D0"/>
    <w:rsid w:val="002F3CF1"/>
    <w:rsid w:val="002F45A1"/>
    <w:rsid w:val="003037F9"/>
    <w:rsid w:val="0030583E"/>
    <w:rsid w:val="00307FE1"/>
    <w:rsid w:val="003140A9"/>
    <w:rsid w:val="003164BA"/>
    <w:rsid w:val="003165F7"/>
    <w:rsid w:val="003223FE"/>
    <w:rsid w:val="003258E6"/>
    <w:rsid w:val="00342283"/>
    <w:rsid w:val="00343A87"/>
    <w:rsid w:val="00344A36"/>
    <w:rsid w:val="003456F4"/>
    <w:rsid w:val="003477B6"/>
    <w:rsid w:val="00347FB6"/>
    <w:rsid w:val="003504FD"/>
    <w:rsid w:val="00350881"/>
    <w:rsid w:val="00357D55"/>
    <w:rsid w:val="00360BF8"/>
    <w:rsid w:val="00363513"/>
    <w:rsid w:val="003657E5"/>
    <w:rsid w:val="0036589C"/>
    <w:rsid w:val="00371312"/>
    <w:rsid w:val="00371DC7"/>
    <w:rsid w:val="003742AE"/>
    <w:rsid w:val="003765C6"/>
    <w:rsid w:val="00376BF0"/>
    <w:rsid w:val="00377B21"/>
    <w:rsid w:val="003812ED"/>
    <w:rsid w:val="00382BE1"/>
    <w:rsid w:val="00390CE3"/>
    <w:rsid w:val="00393453"/>
    <w:rsid w:val="00394876"/>
    <w:rsid w:val="00394AAF"/>
    <w:rsid w:val="00394CE5"/>
    <w:rsid w:val="00397D67"/>
    <w:rsid w:val="003A134B"/>
    <w:rsid w:val="003A481B"/>
    <w:rsid w:val="003A6341"/>
    <w:rsid w:val="003B173F"/>
    <w:rsid w:val="003B67FD"/>
    <w:rsid w:val="003B6A61"/>
    <w:rsid w:val="003D42C0"/>
    <w:rsid w:val="003D5B29"/>
    <w:rsid w:val="003D7818"/>
    <w:rsid w:val="003E2445"/>
    <w:rsid w:val="003E3BB2"/>
    <w:rsid w:val="003F5B58"/>
    <w:rsid w:val="0040222A"/>
    <w:rsid w:val="004047BC"/>
    <w:rsid w:val="00406497"/>
    <w:rsid w:val="004100F7"/>
    <w:rsid w:val="00410656"/>
    <w:rsid w:val="00410F9D"/>
    <w:rsid w:val="00414CB3"/>
    <w:rsid w:val="0041563D"/>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A4214"/>
    <w:rsid w:val="004B0C15"/>
    <w:rsid w:val="004B35EA"/>
    <w:rsid w:val="004B3704"/>
    <w:rsid w:val="004B3A70"/>
    <w:rsid w:val="004B69E4"/>
    <w:rsid w:val="004B7373"/>
    <w:rsid w:val="004C2BF4"/>
    <w:rsid w:val="004C6C39"/>
    <w:rsid w:val="004D075F"/>
    <w:rsid w:val="004D1B76"/>
    <w:rsid w:val="004D344E"/>
    <w:rsid w:val="004D6993"/>
    <w:rsid w:val="004E019E"/>
    <w:rsid w:val="004E06EC"/>
    <w:rsid w:val="004E2CB7"/>
    <w:rsid w:val="004F016A"/>
    <w:rsid w:val="004F2206"/>
    <w:rsid w:val="00500F94"/>
    <w:rsid w:val="00502FB3"/>
    <w:rsid w:val="00503DE9"/>
    <w:rsid w:val="0050530C"/>
    <w:rsid w:val="00505DEA"/>
    <w:rsid w:val="00507782"/>
    <w:rsid w:val="00512A04"/>
    <w:rsid w:val="005249F5"/>
    <w:rsid w:val="00525A43"/>
    <w:rsid w:val="005260F7"/>
    <w:rsid w:val="00543BD1"/>
    <w:rsid w:val="0054507C"/>
    <w:rsid w:val="00546D7E"/>
    <w:rsid w:val="0055266D"/>
    <w:rsid w:val="00556113"/>
    <w:rsid w:val="00564C12"/>
    <w:rsid w:val="005654B8"/>
    <w:rsid w:val="00567081"/>
    <w:rsid w:val="005672A6"/>
    <w:rsid w:val="0057377F"/>
    <w:rsid w:val="005762CC"/>
    <w:rsid w:val="00582D3D"/>
    <w:rsid w:val="00595386"/>
    <w:rsid w:val="005A0990"/>
    <w:rsid w:val="005A3621"/>
    <w:rsid w:val="005A4AC0"/>
    <w:rsid w:val="005A5FDF"/>
    <w:rsid w:val="005B0FB7"/>
    <w:rsid w:val="005B122A"/>
    <w:rsid w:val="005B5AC2"/>
    <w:rsid w:val="005C2833"/>
    <w:rsid w:val="005C7293"/>
    <w:rsid w:val="005D3964"/>
    <w:rsid w:val="005E144D"/>
    <w:rsid w:val="005E1500"/>
    <w:rsid w:val="005E3A43"/>
    <w:rsid w:val="005E4459"/>
    <w:rsid w:val="005E51A4"/>
    <w:rsid w:val="005F77C7"/>
    <w:rsid w:val="0060030B"/>
    <w:rsid w:val="006145BB"/>
    <w:rsid w:val="00620675"/>
    <w:rsid w:val="00622910"/>
    <w:rsid w:val="00636C71"/>
    <w:rsid w:val="006433C3"/>
    <w:rsid w:val="00650F5B"/>
    <w:rsid w:val="00652DC0"/>
    <w:rsid w:val="00652E9D"/>
    <w:rsid w:val="00660584"/>
    <w:rsid w:val="006670D7"/>
    <w:rsid w:val="006674D5"/>
    <w:rsid w:val="006719EA"/>
    <w:rsid w:val="00671F13"/>
    <w:rsid w:val="0067400A"/>
    <w:rsid w:val="006747E0"/>
    <w:rsid w:val="006750E6"/>
    <w:rsid w:val="006847AD"/>
    <w:rsid w:val="00690862"/>
    <w:rsid w:val="00690B7D"/>
    <w:rsid w:val="0069114B"/>
    <w:rsid w:val="006A756A"/>
    <w:rsid w:val="006B521E"/>
    <w:rsid w:val="006C396A"/>
    <w:rsid w:val="006C4E55"/>
    <w:rsid w:val="006D1ADA"/>
    <w:rsid w:val="006D66F7"/>
    <w:rsid w:val="006D6723"/>
    <w:rsid w:val="006E2AB6"/>
    <w:rsid w:val="006E3B5D"/>
    <w:rsid w:val="006F338F"/>
    <w:rsid w:val="00702D61"/>
    <w:rsid w:val="00705C9D"/>
    <w:rsid w:val="00705F13"/>
    <w:rsid w:val="00714F1D"/>
    <w:rsid w:val="00715225"/>
    <w:rsid w:val="00720CC6"/>
    <w:rsid w:val="00722DDB"/>
    <w:rsid w:val="00724728"/>
    <w:rsid w:val="00724F98"/>
    <w:rsid w:val="00726F37"/>
    <w:rsid w:val="00727C61"/>
    <w:rsid w:val="00730B9B"/>
    <w:rsid w:val="0073182E"/>
    <w:rsid w:val="007332FF"/>
    <w:rsid w:val="0073520D"/>
    <w:rsid w:val="007372B0"/>
    <w:rsid w:val="007408F5"/>
    <w:rsid w:val="00741EAE"/>
    <w:rsid w:val="0075413F"/>
    <w:rsid w:val="00755248"/>
    <w:rsid w:val="0076190B"/>
    <w:rsid w:val="0076355D"/>
    <w:rsid w:val="00763A2D"/>
    <w:rsid w:val="00764B0A"/>
    <w:rsid w:val="007761D8"/>
    <w:rsid w:val="00777795"/>
    <w:rsid w:val="00783A57"/>
    <w:rsid w:val="00784C92"/>
    <w:rsid w:val="007859CD"/>
    <w:rsid w:val="007903B3"/>
    <w:rsid w:val="007907E4"/>
    <w:rsid w:val="00796461"/>
    <w:rsid w:val="007A4C17"/>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3DD1"/>
    <w:rsid w:val="0080766E"/>
    <w:rsid w:val="008105BE"/>
    <w:rsid w:val="00811169"/>
    <w:rsid w:val="00815297"/>
    <w:rsid w:val="00816598"/>
    <w:rsid w:val="00817BA1"/>
    <w:rsid w:val="00823022"/>
    <w:rsid w:val="0082634E"/>
    <w:rsid w:val="008313C4"/>
    <w:rsid w:val="00835434"/>
    <w:rsid w:val="008358C0"/>
    <w:rsid w:val="0083677E"/>
    <w:rsid w:val="00842838"/>
    <w:rsid w:val="00854EC1"/>
    <w:rsid w:val="0085797F"/>
    <w:rsid w:val="00860804"/>
    <w:rsid w:val="00861DC3"/>
    <w:rsid w:val="00867019"/>
    <w:rsid w:val="0086778E"/>
    <w:rsid w:val="008735A9"/>
    <w:rsid w:val="00877D20"/>
    <w:rsid w:val="00881C48"/>
    <w:rsid w:val="00881FB7"/>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C5A06"/>
    <w:rsid w:val="008D1B00"/>
    <w:rsid w:val="008D57B8"/>
    <w:rsid w:val="008E0345"/>
    <w:rsid w:val="008E03FC"/>
    <w:rsid w:val="008E1B13"/>
    <w:rsid w:val="008E510B"/>
    <w:rsid w:val="008E7B6E"/>
    <w:rsid w:val="008F1E34"/>
    <w:rsid w:val="00902B13"/>
    <w:rsid w:val="00911941"/>
    <w:rsid w:val="009138A0"/>
    <w:rsid w:val="00921075"/>
    <w:rsid w:val="00925F0F"/>
    <w:rsid w:val="00930C91"/>
    <w:rsid w:val="00932F6B"/>
    <w:rsid w:val="00937B31"/>
    <w:rsid w:val="009436FF"/>
    <w:rsid w:val="0094483E"/>
    <w:rsid w:val="009468BC"/>
    <w:rsid w:val="009616DF"/>
    <w:rsid w:val="00964B22"/>
    <w:rsid w:val="0096542F"/>
    <w:rsid w:val="00967FA7"/>
    <w:rsid w:val="00971645"/>
    <w:rsid w:val="009746B3"/>
    <w:rsid w:val="00977919"/>
    <w:rsid w:val="00983000"/>
    <w:rsid w:val="009870FA"/>
    <w:rsid w:val="00987941"/>
    <w:rsid w:val="009921C3"/>
    <w:rsid w:val="0099551D"/>
    <w:rsid w:val="009A5897"/>
    <w:rsid w:val="009A5F24"/>
    <w:rsid w:val="009B0B3E"/>
    <w:rsid w:val="009B1913"/>
    <w:rsid w:val="009B6657"/>
    <w:rsid w:val="009B7C35"/>
    <w:rsid w:val="009C198E"/>
    <w:rsid w:val="009C21F1"/>
    <w:rsid w:val="009D0EB5"/>
    <w:rsid w:val="009D14F9"/>
    <w:rsid w:val="009D2B74"/>
    <w:rsid w:val="009D63FF"/>
    <w:rsid w:val="009D6DDF"/>
    <w:rsid w:val="009E175D"/>
    <w:rsid w:val="009E3CC2"/>
    <w:rsid w:val="009E4C10"/>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45BF7"/>
    <w:rsid w:val="00A71E1C"/>
    <w:rsid w:val="00A80907"/>
    <w:rsid w:val="00A83C1F"/>
    <w:rsid w:val="00A86CD3"/>
    <w:rsid w:val="00A925EC"/>
    <w:rsid w:val="00A929AA"/>
    <w:rsid w:val="00A92B6B"/>
    <w:rsid w:val="00A955A9"/>
    <w:rsid w:val="00AA541E"/>
    <w:rsid w:val="00AA7FE4"/>
    <w:rsid w:val="00AB0BA8"/>
    <w:rsid w:val="00AD0DA4"/>
    <w:rsid w:val="00AD4169"/>
    <w:rsid w:val="00AE25C6"/>
    <w:rsid w:val="00AE306C"/>
    <w:rsid w:val="00AF28C1"/>
    <w:rsid w:val="00AF5F76"/>
    <w:rsid w:val="00B00590"/>
    <w:rsid w:val="00B02EF1"/>
    <w:rsid w:val="00B03207"/>
    <w:rsid w:val="00B07C97"/>
    <w:rsid w:val="00B07EA1"/>
    <w:rsid w:val="00B11C67"/>
    <w:rsid w:val="00B15754"/>
    <w:rsid w:val="00B15A27"/>
    <w:rsid w:val="00B17F2D"/>
    <w:rsid w:val="00B2046E"/>
    <w:rsid w:val="00B20E8B"/>
    <w:rsid w:val="00B257E1"/>
    <w:rsid w:val="00B2599A"/>
    <w:rsid w:val="00B27AC4"/>
    <w:rsid w:val="00B343CC"/>
    <w:rsid w:val="00B36016"/>
    <w:rsid w:val="00B43C75"/>
    <w:rsid w:val="00B47ABC"/>
    <w:rsid w:val="00B5084A"/>
    <w:rsid w:val="00B606A1"/>
    <w:rsid w:val="00B614F7"/>
    <w:rsid w:val="00B61B26"/>
    <w:rsid w:val="00B675B2"/>
    <w:rsid w:val="00B67E17"/>
    <w:rsid w:val="00B81261"/>
    <w:rsid w:val="00B8223E"/>
    <w:rsid w:val="00B832AE"/>
    <w:rsid w:val="00B83E5C"/>
    <w:rsid w:val="00B86678"/>
    <w:rsid w:val="00B92F9B"/>
    <w:rsid w:val="00B93AED"/>
    <w:rsid w:val="00B941B3"/>
    <w:rsid w:val="00B96513"/>
    <w:rsid w:val="00BA1647"/>
    <w:rsid w:val="00BA1D47"/>
    <w:rsid w:val="00BA66F0"/>
    <w:rsid w:val="00BB2239"/>
    <w:rsid w:val="00BB2AE7"/>
    <w:rsid w:val="00BB6464"/>
    <w:rsid w:val="00BC1BB8"/>
    <w:rsid w:val="00BD7FE1"/>
    <w:rsid w:val="00BE37CA"/>
    <w:rsid w:val="00BE3F21"/>
    <w:rsid w:val="00BE6144"/>
    <w:rsid w:val="00BE635A"/>
    <w:rsid w:val="00BF17E9"/>
    <w:rsid w:val="00BF2ABB"/>
    <w:rsid w:val="00BF5099"/>
    <w:rsid w:val="00BF5345"/>
    <w:rsid w:val="00C0183D"/>
    <w:rsid w:val="00C10F10"/>
    <w:rsid w:val="00C144D1"/>
    <w:rsid w:val="00C15D4D"/>
    <w:rsid w:val="00C175DC"/>
    <w:rsid w:val="00C30171"/>
    <w:rsid w:val="00C309D8"/>
    <w:rsid w:val="00C43519"/>
    <w:rsid w:val="00C51537"/>
    <w:rsid w:val="00C52BC3"/>
    <w:rsid w:val="00C54AB1"/>
    <w:rsid w:val="00C61AFA"/>
    <w:rsid w:val="00C61D64"/>
    <w:rsid w:val="00C62099"/>
    <w:rsid w:val="00C64EA3"/>
    <w:rsid w:val="00C72867"/>
    <w:rsid w:val="00C75E81"/>
    <w:rsid w:val="00C75F52"/>
    <w:rsid w:val="00C800F1"/>
    <w:rsid w:val="00C80152"/>
    <w:rsid w:val="00C86533"/>
    <w:rsid w:val="00C86609"/>
    <w:rsid w:val="00C92B4C"/>
    <w:rsid w:val="00C954F6"/>
    <w:rsid w:val="00CA03C0"/>
    <w:rsid w:val="00CA6BC5"/>
    <w:rsid w:val="00CA7E03"/>
    <w:rsid w:val="00CB29F0"/>
    <w:rsid w:val="00CB6A67"/>
    <w:rsid w:val="00CC61CD"/>
    <w:rsid w:val="00CD5011"/>
    <w:rsid w:val="00CE33B9"/>
    <w:rsid w:val="00CE640F"/>
    <w:rsid w:val="00CE76BC"/>
    <w:rsid w:val="00CF540E"/>
    <w:rsid w:val="00CF6E92"/>
    <w:rsid w:val="00D02F07"/>
    <w:rsid w:val="00D23346"/>
    <w:rsid w:val="00D27EBE"/>
    <w:rsid w:val="00D32F08"/>
    <w:rsid w:val="00D36A49"/>
    <w:rsid w:val="00D517C6"/>
    <w:rsid w:val="00D63A11"/>
    <w:rsid w:val="00D64806"/>
    <w:rsid w:val="00D71D84"/>
    <w:rsid w:val="00D72464"/>
    <w:rsid w:val="00D7643D"/>
    <w:rsid w:val="00D768EB"/>
    <w:rsid w:val="00D82D1E"/>
    <w:rsid w:val="00D832D9"/>
    <w:rsid w:val="00D87A8B"/>
    <w:rsid w:val="00D90F00"/>
    <w:rsid w:val="00D94F6B"/>
    <w:rsid w:val="00D96FD7"/>
    <w:rsid w:val="00D975C0"/>
    <w:rsid w:val="00DA5285"/>
    <w:rsid w:val="00DB191D"/>
    <w:rsid w:val="00DB4F91"/>
    <w:rsid w:val="00DB5BBC"/>
    <w:rsid w:val="00DC1EF7"/>
    <w:rsid w:val="00DC1F0F"/>
    <w:rsid w:val="00DC3117"/>
    <w:rsid w:val="00DC5DD9"/>
    <w:rsid w:val="00DC6D2D"/>
    <w:rsid w:val="00DD64C2"/>
    <w:rsid w:val="00DE33B5"/>
    <w:rsid w:val="00DE4283"/>
    <w:rsid w:val="00DE5E18"/>
    <w:rsid w:val="00DE6E01"/>
    <w:rsid w:val="00DE7711"/>
    <w:rsid w:val="00DF0487"/>
    <w:rsid w:val="00DF1C5B"/>
    <w:rsid w:val="00DF5EA4"/>
    <w:rsid w:val="00E020F9"/>
    <w:rsid w:val="00E02681"/>
    <w:rsid w:val="00E02792"/>
    <w:rsid w:val="00E034D8"/>
    <w:rsid w:val="00E04CC0"/>
    <w:rsid w:val="00E15816"/>
    <w:rsid w:val="00E160D5"/>
    <w:rsid w:val="00E22896"/>
    <w:rsid w:val="00E239FF"/>
    <w:rsid w:val="00E2529A"/>
    <w:rsid w:val="00E27D7B"/>
    <w:rsid w:val="00E30556"/>
    <w:rsid w:val="00E30981"/>
    <w:rsid w:val="00E32C7B"/>
    <w:rsid w:val="00E33136"/>
    <w:rsid w:val="00E34D7C"/>
    <w:rsid w:val="00E36C7E"/>
    <w:rsid w:val="00E3723D"/>
    <w:rsid w:val="00E44C89"/>
    <w:rsid w:val="00E470F6"/>
    <w:rsid w:val="00E61BA2"/>
    <w:rsid w:val="00E62C5E"/>
    <w:rsid w:val="00E63864"/>
    <w:rsid w:val="00E6403F"/>
    <w:rsid w:val="00E64725"/>
    <w:rsid w:val="00E75449"/>
    <w:rsid w:val="00E770C4"/>
    <w:rsid w:val="00E84C5A"/>
    <w:rsid w:val="00E861DB"/>
    <w:rsid w:val="00E93235"/>
    <w:rsid w:val="00E93406"/>
    <w:rsid w:val="00E956C5"/>
    <w:rsid w:val="00E9579A"/>
    <w:rsid w:val="00E95C39"/>
    <w:rsid w:val="00EA2C39"/>
    <w:rsid w:val="00EB0A3C"/>
    <w:rsid w:val="00EB0A96"/>
    <w:rsid w:val="00EB77F9"/>
    <w:rsid w:val="00EC22E1"/>
    <w:rsid w:val="00EC5769"/>
    <w:rsid w:val="00EC7D00"/>
    <w:rsid w:val="00ED0304"/>
    <w:rsid w:val="00ED087C"/>
    <w:rsid w:val="00ED1DD3"/>
    <w:rsid w:val="00EE38FA"/>
    <w:rsid w:val="00EE3E2C"/>
    <w:rsid w:val="00EE5D23"/>
    <w:rsid w:val="00EE750D"/>
    <w:rsid w:val="00EF3CA4"/>
    <w:rsid w:val="00EF5E1F"/>
    <w:rsid w:val="00EF7859"/>
    <w:rsid w:val="00F014DA"/>
    <w:rsid w:val="00F01BE6"/>
    <w:rsid w:val="00F02591"/>
    <w:rsid w:val="00F0490D"/>
    <w:rsid w:val="00F130C9"/>
    <w:rsid w:val="00F14273"/>
    <w:rsid w:val="00F24CB0"/>
    <w:rsid w:val="00F24F21"/>
    <w:rsid w:val="00F30056"/>
    <w:rsid w:val="00F33301"/>
    <w:rsid w:val="00F5477F"/>
    <w:rsid w:val="00F5696E"/>
    <w:rsid w:val="00F60EFF"/>
    <w:rsid w:val="00F65B8B"/>
    <w:rsid w:val="00F67D2D"/>
    <w:rsid w:val="00F83015"/>
    <w:rsid w:val="00F860CC"/>
    <w:rsid w:val="00F90858"/>
    <w:rsid w:val="00F94398"/>
    <w:rsid w:val="00FA4629"/>
    <w:rsid w:val="00FB0845"/>
    <w:rsid w:val="00FB2B56"/>
    <w:rsid w:val="00FB4297"/>
    <w:rsid w:val="00FB4E3A"/>
    <w:rsid w:val="00FC12BF"/>
    <w:rsid w:val="00FC1A7C"/>
    <w:rsid w:val="00FC2C60"/>
    <w:rsid w:val="00FC2ED6"/>
    <w:rsid w:val="00FC64AB"/>
    <w:rsid w:val="00FD26EC"/>
    <w:rsid w:val="00FD3E6F"/>
    <w:rsid w:val="00FD51B9"/>
    <w:rsid w:val="00FE2A39"/>
    <w:rsid w:val="00FE2EF6"/>
    <w:rsid w:val="00FE3F44"/>
    <w:rsid w:val="00FE5B5A"/>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列"/>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CommentReference">
    <w:name w:val="annotation reference"/>
    <w:basedOn w:val="DefaultParagraphFont"/>
    <w:uiPriority w:val="99"/>
    <w:semiHidden/>
    <w:unhideWhenUsed/>
    <w:rsid w:val="00803DD1"/>
    <w:rPr>
      <w:sz w:val="16"/>
      <w:szCs w:val="16"/>
    </w:rPr>
  </w:style>
  <w:style w:type="paragraph" w:styleId="CommentText">
    <w:name w:val="annotation text"/>
    <w:basedOn w:val="Normal"/>
    <w:link w:val="CommentTextChar"/>
    <w:uiPriority w:val="99"/>
    <w:unhideWhenUsed/>
    <w:rsid w:val="00803DD1"/>
    <w:rPr>
      <w:sz w:val="20"/>
      <w:szCs w:val="20"/>
    </w:rPr>
  </w:style>
  <w:style w:type="character" w:customStyle="1" w:styleId="CommentTextChar">
    <w:name w:val="Comment Text Char"/>
    <w:basedOn w:val="DefaultParagraphFont"/>
    <w:link w:val="CommentText"/>
    <w:uiPriority w:val="99"/>
    <w:rsid w:val="00803DD1"/>
    <w:rPr>
      <w:rFonts w:ascii="Lato" w:hAnsi="Lato"/>
      <w:sz w:val="20"/>
      <w:szCs w:val="20"/>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basedOn w:val="DefaultParagraphFont"/>
    <w:link w:val="ListParagraph"/>
    <w:uiPriority w:val="34"/>
    <w:qFormat/>
    <w:locked/>
    <w:rsid w:val="00803DD1"/>
    <w:rPr>
      <w:rFonts w:ascii="Lato" w:eastAsiaTheme="minorEastAsia" w:hAnsi="Lato"/>
      <w:iCs/>
    </w:rPr>
  </w:style>
  <w:style w:type="paragraph" w:styleId="Revision">
    <w:name w:val="Revision"/>
    <w:hidden/>
    <w:uiPriority w:val="99"/>
    <w:semiHidden/>
    <w:rsid w:val="00A83C1F"/>
    <w:pPr>
      <w:spacing w:after="0"/>
    </w:pPr>
    <w:rPr>
      <w:rFonts w:ascii="Lato" w:hAnsi="Lato"/>
    </w:rPr>
  </w:style>
  <w:style w:type="character" w:styleId="FollowedHyperlink">
    <w:name w:val="FollowedHyperlink"/>
    <w:basedOn w:val="DefaultParagraphFont"/>
    <w:uiPriority w:val="99"/>
    <w:semiHidden/>
    <w:unhideWhenUsed/>
    <w:rsid w:val="00A80907"/>
    <w:rPr>
      <w:color w:val="8C4799" w:themeColor="followedHyperlink"/>
      <w:u w:val="single"/>
    </w:rPr>
  </w:style>
  <w:style w:type="character" w:styleId="UnresolvedMention">
    <w:name w:val="Unresolved Mention"/>
    <w:basedOn w:val="DefaultParagraphFont"/>
    <w:uiPriority w:val="99"/>
    <w:semiHidden/>
    <w:unhideWhenUsed/>
    <w:rsid w:val="008C5A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A7E03"/>
    <w:rPr>
      <w:b/>
      <w:bCs/>
    </w:rPr>
  </w:style>
  <w:style w:type="character" w:customStyle="1" w:styleId="CommentSubjectChar">
    <w:name w:val="Comment Subject Char"/>
    <w:basedOn w:val="CommentTextChar"/>
    <w:link w:val="CommentSubject"/>
    <w:uiPriority w:val="99"/>
    <w:semiHidden/>
    <w:rsid w:val="00CA7E03"/>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23898019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legislation.nt.gov.au/en/Legislation/EDUCATION-AND-CARE-SERVICES-NATIONAL-UNIFORM-LEGISLATION-ACT-2011" TargetMode="External"/><Relationship Id="rId26" Type="http://schemas.openxmlformats.org/officeDocument/2006/relationships/hyperlink" Target="https://education.nt.gov.au/policies/early-childhood-education-and-care" TargetMode="External"/><Relationship Id="rId21" Type="http://schemas.openxmlformats.org/officeDocument/2006/relationships/hyperlink" Target="https://education.nt.gov.au/policies/student-enrolment"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legislation.nt.gov.au/Legislation/EDUCATION-ACT-2015" TargetMode="External"/><Relationship Id="rId25" Type="http://schemas.openxmlformats.org/officeDocument/2006/relationships/hyperlink" Target="https://education.nt.gov.au/policies/early-childhood-education-and-care/preschool-specific-policy"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ducation.nt.gov.au/education/reviews-and-consultations/education-act" TargetMode="External"/><Relationship Id="rId20" Type="http://schemas.openxmlformats.org/officeDocument/2006/relationships/hyperlink" Target="https://education.nt.gov.au/policies/student-enrolment/enrolment/priority-enrolment-area" TargetMode="External"/><Relationship Id="rId29" Type="http://schemas.openxmlformats.org/officeDocument/2006/relationships/hyperlink" Target="https://federalfinancialrelations.gov.au/agreements/preschool-reform-agre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ducation.nt.gov.au/policies/student-enrolment/enrolment" TargetMode="External"/><Relationship Id="rId32" Type="http://schemas.openxmlformats.org/officeDocument/2006/relationships/hyperlink" Target="mailto:enrolattend.policy@education.nt.gov.a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ducation.nt.gov.au/education/reviews-and-consultations/education-act" TargetMode="External"/><Relationship Id="rId23" Type="http://schemas.openxmlformats.org/officeDocument/2006/relationships/hyperlink" Target="https://education.nt.gov.au/policies/student-enrolment/enrolment" TargetMode="External"/><Relationship Id="rId28" Type="http://schemas.openxmlformats.org/officeDocument/2006/relationships/hyperlink" Target="https://dpsc.nt.gov.au/__data/assets/pdf_file/0010/593749/Disposal-Schedule-2018-10-School-Management.pdf" TargetMode="Externa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legislation.nsw.gov.au/view/html/inforce/current/sl-2011-0653" TargetMode="External"/><Relationship Id="rId31" Type="http://schemas.openxmlformats.org/officeDocument/2006/relationships/hyperlink" Target="https://education.nt.gov.au/publications/legislation/changes-to-the-education-act-2015/information-sharing-requirements-for-government-and-non-government-school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ducation.nt.gov.au/education/reviews-and-consultations/education-act" TargetMode="External"/><Relationship Id="rId22" Type="http://schemas.openxmlformats.org/officeDocument/2006/relationships/hyperlink" Target="https://education.nt.gov.au/policies/student-enrolment/enrolment" TargetMode="External"/><Relationship Id="rId27" Type="http://schemas.openxmlformats.org/officeDocument/2006/relationships/hyperlink" Target="https://dcdd.nt.gov.au/government-records/records-information-management-standards" TargetMode="External"/><Relationship Id="rId30" Type="http://schemas.openxmlformats.org/officeDocument/2006/relationships/hyperlink" Target="https://nt.gov.au/learning/primary-and-secondary-students/enrol-your-child-at-school"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A33566601201497BB755133785B70952"/>
        <w:category>
          <w:name w:val="General"/>
          <w:gallery w:val="placeholder"/>
        </w:category>
        <w:types>
          <w:type w:val="bbPlcHdr"/>
        </w:types>
        <w:behaviors>
          <w:behavior w:val="content"/>
        </w:behaviors>
        <w:guid w:val="{75944C42-A348-45F8-ACAC-68FD747FC97D}"/>
      </w:docPartPr>
      <w:docPartBody>
        <w:p w:rsidR="001127C9" w:rsidRDefault="00536110" w:rsidP="00536110">
          <w:pPr>
            <w:pStyle w:val="A33566601201497BB755133785B70952"/>
          </w:pPr>
          <w:r w:rsidRPr="00741874">
            <w:rPr>
              <w:rStyle w:val="PlaceholderText"/>
            </w:rPr>
            <w:t>[Title]</w:t>
          </w:r>
        </w:p>
      </w:docPartBody>
    </w:docPart>
    <w:docPart>
      <w:docPartPr>
        <w:name w:val="0998B3B25E574A3AAEE6E2E2450636EE"/>
        <w:category>
          <w:name w:val="General"/>
          <w:gallery w:val="placeholder"/>
        </w:category>
        <w:types>
          <w:type w:val="bbPlcHdr"/>
        </w:types>
        <w:behaviors>
          <w:behavior w:val="content"/>
        </w:behaviors>
        <w:guid w:val="{3CC3F246-0867-4A1D-88AA-647B7CCE9A39}"/>
      </w:docPartPr>
      <w:docPartBody>
        <w:p w:rsidR="00CF74DB" w:rsidRDefault="003B506A" w:rsidP="003B506A">
          <w:pPr>
            <w:pStyle w:val="0998B3B25E574A3AAEE6E2E2450636EE"/>
          </w:pPr>
          <w:r w:rsidRPr="00741874">
            <w:rPr>
              <w:rStyle w:val="PlaceholderText"/>
            </w:rPr>
            <w:t>[Title]</w:t>
          </w:r>
        </w:p>
      </w:docPartBody>
    </w:docPart>
    <w:docPart>
      <w:docPartPr>
        <w:name w:val="011C66ACCB104CB3847EFA7D3E2F1BAE"/>
        <w:category>
          <w:name w:val="General"/>
          <w:gallery w:val="placeholder"/>
        </w:category>
        <w:types>
          <w:type w:val="bbPlcHdr"/>
        </w:types>
        <w:behaviors>
          <w:behavior w:val="content"/>
        </w:behaviors>
        <w:guid w:val="{DEAA3128-93C1-4F67-9DEF-B120B853FFDA}"/>
      </w:docPartPr>
      <w:docPartBody>
        <w:p w:rsidR="00CF74DB" w:rsidRDefault="003B506A" w:rsidP="003B506A">
          <w:pPr>
            <w:pStyle w:val="011C66ACCB104CB3847EFA7D3E2F1BAE"/>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61758"/>
    <w:rsid w:val="000674B4"/>
    <w:rsid w:val="0009665E"/>
    <w:rsid w:val="000E1502"/>
    <w:rsid w:val="001127C9"/>
    <w:rsid w:val="00133D79"/>
    <w:rsid w:val="00161A76"/>
    <w:rsid w:val="00246C03"/>
    <w:rsid w:val="00253F67"/>
    <w:rsid w:val="00323713"/>
    <w:rsid w:val="00362EBF"/>
    <w:rsid w:val="003B506A"/>
    <w:rsid w:val="00485E16"/>
    <w:rsid w:val="005141C7"/>
    <w:rsid w:val="00517501"/>
    <w:rsid w:val="00536110"/>
    <w:rsid w:val="00636C71"/>
    <w:rsid w:val="006668DC"/>
    <w:rsid w:val="006B521E"/>
    <w:rsid w:val="007109FD"/>
    <w:rsid w:val="00764B0A"/>
    <w:rsid w:val="007E3D1D"/>
    <w:rsid w:val="007E7E23"/>
    <w:rsid w:val="00840370"/>
    <w:rsid w:val="008D425D"/>
    <w:rsid w:val="009746B3"/>
    <w:rsid w:val="00B03207"/>
    <w:rsid w:val="00B93AED"/>
    <w:rsid w:val="00C35A46"/>
    <w:rsid w:val="00C80152"/>
    <w:rsid w:val="00CF74DB"/>
    <w:rsid w:val="00DA2946"/>
    <w:rsid w:val="00E020F9"/>
    <w:rsid w:val="00EB541A"/>
    <w:rsid w:val="00F22BD7"/>
    <w:rsid w:val="00F4611A"/>
    <w:rsid w:val="00F830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06A"/>
    <w:rPr>
      <w:color w:val="808080"/>
    </w:rPr>
  </w:style>
  <w:style w:type="paragraph" w:customStyle="1" w:styleId="D08C95842F7E49DC90C916378C63A554">
    <w:name w:val="D08C95842F7E49DC90C916378C63A554"/>
  </w:style>
  <w:style w:type="paragraph" w:customStyle="1" w:styleId="A33566601201497BB755133785B70952">
    <w:name w:val="A33566601201497BB755133785B70952"/>
    <w:rsid w:val="00536110"/>
  </w:style>
  <w:style w:type="paragraph" w:customStyle="1" w:styleId="0998B3B25E574A3AAEE6E2E2450636EE">
    <w:name w:val="0998B3B25E574A3AAEE6E2E2450636EE"/>
    <w:rsid w:val="003B506A"/>
    <w:pPr>
      <w:spacing w:line="278" w:lineRule="auto"/>
    </w:pPr>
    <w:rPr>
      <w:kern w:val="2"/>
      <w:sz w:val="24"/>
      <w:szCs w:val="24"/>
      <w14:ligatures w14:val="standardContextual"/>
    </w:rPr>
  </w:style>
  <w:style w:type="paragraph" w:customStyle="1" w:styleId="011C66ACCB104CB3847EFA7D3E2F1BAE">
    <w:name w:val="011C66ACCB104CB3847EFA7D3E2F1BAE"/>
    <w:rsid w:val="003B50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709235-494D-46AB-8EE9-D7648DF2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0</TotalTime>
  <Pages>9</Pages>
  <Words>2904</Words>
  <Characters>16904</Characters>
  <Application>Microsoft Office Word</Application>
  <DocSecurity>0</DocSecurity>
  <Lines>352</Lines>
  <Paragraphs>271</Paragraphs>
  <ScaleCrop>false</ScaleCrop>
  <HeadingPairs>
    <vt:vector size="2" baseType="variant">
      <vt:variant>
        <vt:lpstr>Title</vt:lpstr>
      </vt:variant>
      <vt:variant>
        <vt:i4>1</vt:i4>
      </vt:variant>
    </vt:vector>
  </HeadingPairs>
  <TitlesOfParts>
    <vt:vector size="1" baseType="lpstr">
      <vt:lpstr>Enrolment procedures</vt:lpstr>
    </vt:vector>
  </TitlesOfParts>
  <Company>Education and Training</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procedures</dc:title>
  <dc:creator>Northern Territory Government</dc:creator>
  <cp:lastModifiedBy>Clare Cross</cp:lastModifiedBy>
  <cp:revision>2</cp:revision>
  <cp:lastPrinted>2016-02-04T04:37:00Z</cp:lastPrinted>
  <dcterms:created xsi:type="dcterms:W3CDTF">2025-04-14T01:08:00Z</dcterms:created>
  <dcterms:modified xsi:type="dcterms:W3CDTF">2025-04-14T01:08:00Z</dcterms:modified>
</cp:coreProperties>
</file>