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FD44AA" w14:textId="0653F14A" w:rsidR="00886C9D" w:rsidRPr="00886C9D" w:rsidRDefault="00E2126A" w:rsidP="00886C9D">
          <w:pPr>
            <w:pStyle w:val="Title"/>
          </w:pPr>
          <w:r>
            <w:rPr>
              <w:rStyle w:val="TitleChar"/>
            </w:rPr>
            <w:t>Enrolment management and priority enrolment – guidelines</w:t>
          </w:r>
        </w:p>
      </w:sdtContent>
    </w:sdt>
    <w:p w14:paraId="77C6865F" w14:textId="77777777" w:rsidR="00964B22" w:rsidRDefault="00964B22" w:rsidP="00DD64C2">
      <w:pPr>
        <w:tabs>
          <w:tab w:val="center" w:pos="4819"/>
        </w:tabs>
      </w:pPr>
    </w:p>
    <w:p w14:paraId="161DE1BA"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bookmarkStart w:id="0" w:name="_GoBack"/>
          <w:bookmarkEnd w:id="0"/>
        </w:p>
        <w:p w14:paraId="5968A943" w14:textId="1851A86F" w:rsidR="000E07A9"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33487611" w:history="1">
            <w:r w:rsidR="000E07A9" w:rsidRPr="0004542D">
              <w:rPr>
                <w:rStyle w:val="Hyperlink"/>
                <w:noProof/>
                <w:lang w:eastAsia="en-AU"/>
              </w:rPr>
              <w:t>1. Introduction</w:t>
            </w:r>
            <w:r w:rsidR="000E07A9">
              <w:rPr>
                <w:noProof/>
                <w:webHidden/>
              </w:rPr>
              <w:tab/>
            </w:r>
            <w:r w:rsidR="000E07A9">
              <w:rPr>
                <w:noProof/>
                <w:webHidden/>
              </w:rPr>
              <w:fldChar w:fldCharType="begin"/>
            </w:r>
            <w:r w:rsidR="000E07A9">
              <w:rPr>
                <w:noProof/>
                <w:webHidden/>
              </w:rPr>
              <w:instrText xml:space="preserve"> PAGEREF _Toc133487611 \h </w:instrText>
            </w:r>
            <w:r w:rsidR="000E07A9">
              <w:rPr>
                <w:noProof/>
                <w:webHidden/>
              </w:rPr>
            </w:r>
            <w:r w:rsidR="000E07A9">
              <w:rPr>
                <w:noProof/>
                <w:webHidden/>
              </w:rPr>
              <w:fldChar w:fldCharType="separate"/>
            </w:r>
            <w:r w:rsidR="000E07A9">
              <w:rPr>
                <w:noProof/>
                <w:webHidden/>
              </w:rPr>
              <w:t>3</w:t>
            </w:r>
            <w:r w:rsidR="000E07A9">
              <w:rPr>
                <w:noProof/>
                <w:webHidden/>
              </w:rPr>
              <w:fldChar w:fldCharType="end"/>
            </w:r>
          </w:hyperlink>
        </w:p>
        <w:p w14:paraId="1F326295" w14:textId="727452D5" w:rsidR="000E07A9" w:rsidRDefault="000E07A9">
          <w:pPr>
            <w:pStyle w:val="TOC1"/>
            <w:rPr>
              <w:rFonts w:asciiTheme="minorHAnsi" w:eastAsiaTheme="minorEastAsia" w:hAnsiTheme="minorHAnsi" w:cstheme="minorBidi"/>
              <w:b w:val="0"/>
              <w:noProof/>
              <w:lang w:eastAsia="en-AU"/>
            </w:rPr>
          </w:pPr>
          <w:hyperlink w:anchor="_Toc133487612" w:history="1">
            <w:r w:rsidRPr="0004542D">
              <w:rPr>
                <w:rStyle w:val="Hyperlink"/>
                <w:noProof/>
                <w:lang w:eastAsia="en-AU"/>
              </w:rPr>
              <w:t>2. Guidelines</w:t>
            </w:r>
            <w:r>
              <w:rPr>
                <w:noProof/>
                <w:webHidden/>
              </w:rPr>
              <w:tab/>
            </w:r>
            <w:r>
              <w:rPr>
                <w:noProof/>
                <w:webHidden/>
              </w:rPr>
              <w:fldChar w:fldCharType="begin"/>
            </w:r>
            <w:r>
              <w:rPr>
                <w:noProof/>
                <w:webHidden/>
              </w:rPr>
              <w:instrText xml:space="preserve"> PAGEREF _Toc133487612 \h </w:instrText>
            </w:r>
            <w:r>
              <w:rPr>
                <w:noProof/>
                <w:webHidden/>
              </w:rPr>
            </w:r>
            <w:r>
              <w:rPr>
                <w:noProof/>
                <w:webHidden/>
              </w:rPr>
              <w:fldChar w:fldCharType="separate"/>
            </w:r>
            <w:r>
              <w:rPr>
                <w:noProof/>
                <w:webHidden/>
              </w:rPr>
              <w:t>3</w:t>
            </w:r>
            <w:r>
              <w:rPr>
                <w:noProof/>
                <w:webHidden/>
              </w:rPr>
              <w:fldChar w:fldCharType="end"/>
            </w:r>
          </w:hyperlink>
        </w:p>
        <w:p w14:paraId="6AFCAF8A" w14:textId="2B137704" w:rsidR="000E07A9" w:rsidRDefault="000E07A9">
          <w:pPr>
            <w:pStyle w:val="TOC2"/>
            <w:rPr>
              <w:rFonts w:asciiTheme="minorHAnsi" w:eastAsiaTheme="minorEastAsia" w:hAnsiTheme="minorHAnsi" w:cstheme="minorBidi"/>
              <w:noProof/>
              <w:lang w:eastAsia="en-AU"/>
            </w:rPr>
          </w:pPr>
          <w:hyperlink w:anchor="_Toc133487613" w:history="1">
            <w:r w:rsidRPr="0004542D">
              <w:rPr>
                <w:rStyle w:val="Hyperlink"/>
                <w:noProof/>
              </w:rPr>
              <w:t>2.1. Priority enrolment areas</w:t>
            </w:r>
            <w:r>
              <w:rPr>
                <w:noProof/>
                <w:webHidden/>
              </w:rPr>
              <w:tab/>
            </w:r>
            <w:r>
              <w:rPr>
                <w:noProof/>
                <w:webHidden/>
              </w:rPr>
              <w:fldChar w:fldCharType="begin"/>
            </w:r>
            <w:r>
              <w:rPr>
                <w:noProof/>
                <w:webHidden/>
              </w:rPr>
              <w:instrText xml:space="preserve"> PAGEREF _Toc133487613 \h </w:instrText>
            </w:r>
            <w:r>
              <w:rPr>
                <w:noProof/>
                <w:webHidden/>
              </w:rPr>
            </w:r>
            <w:r>
              <w:rPr>
                <w:noProof/>
                <w:webHidden/>
              </w:rPr>
              <w:fldChar w:fldCharType="separate"/>
            </w:r>
            <w:r>
              <w:rPr>
                <w:noProof/>
                <w:webHidden/>
              </w:rPr>
              <w:t>3</w:t>
            </w:r>
            <w:r>
              <w:rPr>
                <w:noProof/>
                <w:webHidden/>
              </w:rPr>
              <w:fldChar w:fldCharType="end"/>
            </w:r>
          </w:hyperlink>
        </w:p>
        <w:p w14:paraId="7AE730EC" w14:textId="17A05B84" w:rsidR="000E07A9" w:rsidRDefault="000E07A9">
          <w:pPr>
            <w:pStyle w:val="TOC3"/>
            <w:tabs>
              <w:tab w:val="right" w:leader="dot" w:pos="10308"/>
            </w:tabs>
            <w:rPr>
              <w:rFonts w:asciiTheme="minorHAnsi" w:eastAsiaTheme="minorEastAsia" w:hAnsiTheme="minorHAnsi" w:cstheme="minorBidi"/>
              <w:noProof/>
              <w:lang w:eastAsia="en-AU"/>
            </w:rPr>
          </w:pPr>
          <w:hyperlink w:anchor="_Toc133487614" w:history="1">
            <w:r w:rsidRPr="0004542D">
              <w:rPr>
                <w:rStyle w:val="Hyperlink"/>
                <w:noProof/>
              </w:rPr>
              <w:t>2.1.1. Establishment of priority enrolment areas</w:t>
            </w:r>
            <w:r>
              <w:rPr>
                <w:noProof/>
                <w:webHidden/>
              </w:rPr>
              <w:tab/>
            </w:r>
            <w:r>
              <w:rPr>
                <w:noProof/>
                <w:webHidden/>
              </w:rPr>
              <w:fldChar w:fldCharType="begin"/>
            </w:r>
            <w:r>
              <w:rPr>
                <w:noProof/>
                <w:webHidden/>
              </w:rPr>
              <w:instrText xml:space="preserve"> PAGEREF _Toc133487614 \h </w:instrText>
            </w:r>
            <w:r>
              <w:rPr>
                <w:noProof/>
                <w:webHidden/>
              </w:rPr>
            </w:r>
            <w:r>
              <w:rPr>
                <w:noProof/>
                <w:webHidden/>
              </w:rPr>
              <w:fldChar w:fldCharType="separate"/>
            </w:r>
            <w:r>
              <w:rPr>
                <w:noProof/>
                <w:webHidden/>
              </w:rPr>
              <w:t>3</w:t>
            </w:r>
            <w:r>
              <w:rPr>
                <w:noProof/>
                <w:webHidden/>
              </w:rPr>
              <w:fldChar w:fldCharType="end"/>
            </w:r>
          </w:hyperlink>
        </w:p>
        <w:p w14:paraId="124CCE3D" w14:textId="7CE190AA" w:rsidR="000E07A9" w:rsidRDefault="000E07A9">
          <w:pPr>
            <w:pStyle w:val="TOC3"/>
            <w:tabs>
              <w:tab w:val="right" w:leader="dot" w:pos="10308"/>
            </w:tabs>
            <w:rPr>
              <w:rFonts w:asciiTheme="minorHAnsi" w:eastAsiaTheme="minorEastAsia" w:hAnsiTheme="minorHAnsi" w:cstheme="minorBidi"/>
              <w:noProof/>
              <w:lang w:eastAsia="en-AU"/>
            </w:rPr>
          </w:pPr>
          <w:hyperlink w:anchor="_Toc133487615" w:history="1">
            <w:r w:rsidRPr="0004542D">
              <w:rPr>
                <w:rStyle w:val="Hyperlink"/>
                <w:noProof/>
              </w:rPr>
              <w:t>2.1.2. Changes to priority enrolment areas</w:t>
            </w:r>
            <w:r>
              <w:rPr>
                <w:noProof/>
                <w:webHidden/>
              </w:rPr>
              <w:tab/>
            </w:r>
            <w:r>
              <w:rPr>
                <w:noProof/>
                <w:webHidden/>
              </w:rPr>
              <w:fldChar w:fldCharType="begin"/>
            </w:r>
            <w:r>
              <w:rPr>
                <w:noProof/>
                <w:webHidden/>
              </w:rPr>
              <w:instrText xml:space="preserve"> PAGEREF _Toc133487615 \h </w:instrText>
            </w:r>
            <w:r>
              <w:rPr>
                <w:noProof/>
                <w:webHidden/>
              </w:rPr>
            </w:r>
            <w:r>
              <w:rPr>
                <w:noProof/>
                <w:webHidden/>
              </w:rPr>
              <w:fldChar w:fldCharType="separate"/>
            </w:r>
            <w:r>
              <w:rPr>
                <w:noProof/>
                <w:webHidden/>
              </w:rPr>
              <w:t>3</w:t>
            </w:r>
            <w:r>
              <w:rPr>
                <w:noProof/>
                <w:webHidden/>
              </w:rPr>
              <w:fldChar w:fldCharType="end"/>
            </w:r>
          </w:hyperlink>
        </w:p>
        <w:p w14:paraId="2790C16B" w14:textId="1B040946" w:rsidR="000E07A9" w:rsidRDefault="000E07A9">
          <w:pPr>
            <w:pStyle w:val="TOC3"/>
            <w:tabs>
              <w:tab w:val="right" w:leader="dot" w:pos="10308"/>
            </w:tabs>
            <w:rPr>
              <w:rFonts w:asciiTheme="minorHAnsi" w:eastAsiaTheme="minorEastAsia" w:hAnsiTheme="minorHAnsi" w:cstheme="minorBidi"/>
              <w:noProof/>
              <w:lang w:eastAsia="en-AU"/>
            </w:rPr>
          </w:pPr>
          <w:hyperlink w:anchor="_Toc133487616" w:history="1">
            <w:r w:rsidRPr="0004542D">
              <w:rPr>
                <w:rStyle w:val="Hyperlink"/>
                <w:noProof/>
              </w:rPr>
              <w:t>2.1.3. Basic principles</w:t>
            </w:r>
            <w:r>
              <w:rPr>
                <w:noProof/>
                <w:webHidden/>
              </w:rPr>
              <w:tab/>
            </w:r>
            <w:r>
              <w:rPr>
                <w:noProof/>
                <w:webHidden/>
              </w:rPr>
              <w:fldChar w:fldCharType="begin"/>
            </w:r>
            <w:r>
              <w:rPr>
                <w:noProof/>
                <w:webHidden/>
              </w:rPr>
              <w:instrText xml:space="preserve"> PAGEREF _Toc133487616 \h </w:instrText>
            </w:r>
            <w:r>
              <w:rPr>
                <w:noProof/>
                <w:webHidden/>
              </w:rPr>
            </w:r>
            <w:r>
              <w:rPr>
                <w:noProof/>
                <w:webHidden/>
              </w:rPr>
              <w:fldChar w:fldCharType="separate"/>
            </w:r>
            <w:r>
              <w:rPr>
                <w:noProof/>
                <w:webHidden/>
              </w:rPr>
              <w:t>3</w:t>
            </w:r>
            <w:r>
              <w:rPr>
                <w:noProof/>
                <w:webHidden/>
              </w:rPr>
              <w:fldChar w:fldCharType="end"/>
            </w:r>
          </w:hyperlink>
        </w:p>
        <w:p w14:paraId="7758F5BE" w14:textId="0178F513" w:rsidR="000E07A9" w:rsidRDefault="000E07A9">
          <w:pPr>
            <w:pStyle w:val="TOC3"/>
            <w:tabs>
              <w:tab w:val="right" w:leader="dot" w:pos="10308"/>
            </w:tabs>
            <w:rPr>
              <w:rFonts w:asciiTheme="minorHAnsi" w:eastAsiaTheme="minorEastAsia" w:hAnsiTheme="minorHAnsi" w:cstheme="minorBidi"/>
              <w:noProof/>
              <w:lang w:eastAsia="en-AU"/>
            </w:rPr>
          </w:pPr>
          <w:hyperlink w:anchor="_Toc133487617" w:history="1">
            <w:r w:rsidRPr="0004542D">
              <w:rPr>
                <w:rStyle w:val="Hyperlink"/>
                <w:noProof/>
              </w:rPr>
              <w:t>2.1.4. Enrolling students from outside the priority enrolment area</w:t>
            </w:r>
            <w:r>
              <w:rPr>
                <w:noProof/>
                <w:webHidden/>
              </w:rPr>
              <w:tab/>
            </w:r>
            <w:r>
              <w:rPr>
                <w:noProof/>
                <w:webHidden/>
              </w:rPr>
              <w:fldChar w:fldCharType="begin"/>
            </w:r>
            <w:r>
              <w:rPr>
                <w:noProof/>
                <w:webHidden/>
              </w:rPr>
              <w:instrText xml:space="preserve"> PAGEREF _Toc133487617 \h </w:instrText>
            </w:r>
            <w:r>
              <w:rPr>
                <w:noProof/>
                <w:webHidden/>
              </w:rPr>
            </w:r>
            <w:r>
              <w:rPr>
                <w:noProof/>
                <w:webHidden/>
              </w:rPr>
              <w:fldChar w:fldCharType="separate"/>
            </w:r>
            <w:r>
              <w:rPr>
                <w:noProof/>
                <w:webHidden/>
              </w:rPr>
              <w:t>4</w:t>
            </w:r>
            <w:r>
              <w:rPr>
                <w:noProof/>
                <w:webHidden/>
              </w:rPr>
              <w:fldChar w:fldCharType="end"/>
            </w:r>
          </w:hyperlink>
        </w:p>
        <w:p w14:paraId="2AD86BFE" w14:textId="01F1EDE3" w:rsidR="000E07A9" w:rsidRDefault="000E07A9">
          <w:pPr>
            <w:pStyle w:val="TOC3"/>
            <w:tabs>
              <w:tab w:val="right" w:leader="dot" w:pos="10308"/>
            </w:tabs>
            <w:rPr>
              <w:rFonts w:asciiTheme="minorHAnsi" w:eastAsiaTheme="minorEastAsia" w:hAnsiTheme="minorHAnsi" w:cstheme="minorBidi"/>
              <w:noProof/>
              <w:lang w:eastAsia="en-AU"/>
            </w:rPr>
          </w:pPr>
          <w:hyperlink w:anchor="_Toc133487618" w:history="1">
            <w:r w:rsidRPr="0004542D">
              <w:rPr>
                <w:rStyle w:val="Hyperlink"/>
                <w:noProof/>
              </w:rPr>
              <w:t>2.1.5. Appeals</w:t>
            </w:r>
            <w:r>
              <w:rPr>
                <w:noProof/>
                <w:webHidden/>
              </w:rPr>
              <w:tab/>
            </w:r>
            <w:r>
              <w:rPr>
                <w:noProof/>
                <w:webHidden/>
              </w:rPr>
              <w:fldChar w:fldCharType="begin"/>
            </w:r>
            <w:r>
              <w:rPr>
                <w:noProof/>
                <w:webHidden/>
              </w:rPr>
              <w:instrText xml:space="preserve"> PAGEREF _Toc133487618 \h </w:instrText>
            </w:r>
            <w:r>
              <w:rPr>
                <w:noProof/>
                <w:webHidden/>
              </w:rPr>
            </w:r>
            <w:r>
              <w:rPr>
                <w:noProof/>
                <w:webHidden/>
              </w:rPr>
              <w:fldChar w:fldCharType="separate"/>
            </w:r>
            <w:r>
              <w:rPr>
                <w:noProof/>
                <w:webHidden/>
              </w:rPr>
              <w:t>4</w:t>
            </w:r>
            <w:r>
              <w:rPr>
                <w:noProof/>
                <w:webHidden/>
              </w:rPr>
              <w:fldChar w:fldCharType="end"/>
            </w:r>
          </w:hyperlink>
        </w:p>
        <w:p w14:paraId="4BB3AD63" w14:textId="68FBC5F1" w:rsidR="000E07A9" w:rsidRDefault="000E07A9">
          <w:pPr>
            <w:pStyle w:val="TOC2"/>
            <w:rPr>
              <w:rFonts w:asciiTheme="minorHAnsi" w:eastAsiaTheme="minorEastAsia" w:hAnsiTheme="minorHAnsi" w:cstheme="minorBidi"/>
              <w:noProof/>
              <w:lang w:eastAsia="en-AU"/>
            </w:rPr>
          </w:pPr>
          <w:hyperlink w:anchor="_Toc133487619" w:history="1">
            <w:r w:rsidRPr="0004542D">
              <w:rPr>
                <w:rStyle w:val="Hyperlink"/>
                <w:noProof/>
              </w:rPr>
              <w:t>2.2. Enrolment management</w:t>
            </w:r>
            <w:r>
              <w:rPr>
                <w:noProof/>
                <w:webHidden/>
              </w:rPr>
              <w:tab/>
            </w:r>
            <w:r>
              <w:rPr>
                <w:noProof/>
                <w:webHidden/>
              </w:rPr>
              <w:fldChar w:fldCharType="begin"/>
            </w:r>
            <w:r>
              <w:rPr>
                <w:noProof/>
                <w:webHidden/>
              </w:rPr>
              <w:instrText xml:space="preserve"> PAGEREF _Toc133487619 \h </w:instrText>
            </w:r>
            <w:r>
              <w:rPr>
                <w:noProof/>
                <w:webHidden/>
              </w:rPr>
            </w:r>
            <w:r>
              <w:rPr>
                <w:noProof/>
                <w:webHidden/>
              </w:rPr>
              <w:fldChar w:fldCharType="separate"/>
            </w:r>
            <w:r>
              <w:rPr>
                <w:noProof/>
                <w:webHidden/>
              </w:rPr>
              <w:t>5</w:t>
            </w:r>
            <w:r>
              <w:rPr>
                <w:noProof/>
                <w:webHidden/>
              </w:rPr>
              <w:fldChar w:fldCharType="end"/>
            </w:r>
          </w:hyperlink>
        </w:p>
        <w:p w14:paraId="470F9F0F" w14:textId="3B213E13" w:rsidR="000E07A9" w:rsidRDefault="000E07A9">
          <w:pPr>
            <w:pStyle w:val="TOC3"/>
            <w:tabs>
              <w:tab w:val="right" w:leader="dot" w:pos="10308"/>
            </w:tabs>
            <w:rPr>
              <w:rFonts w:asciiTheme="minorHAnsi" w:eastAsiaTheme="minorEastAsia" w:hAnsiTheme="minorHAnsi" w:cstheme="minorBidi"/>
              <w:noProof/>
              <w:lang w:eastAsia="en-AU"/>
            </w:rPr>
          </w:pPr>
          <w:hyperlink w:anchor="_Toc133487620" w:history="1">
            <w:r w:rsidRPr="0004542D">
              <w:rPr>
                <w:rStyle w:val="Hyperlink"/>
                <w:noProof/>
              </w:rPr>
              <w:t>2.2.1. Enrolment management</w:t>
            </w:r>
            <w:r>
              <w:rPr>
                <w:noProof/>
                <w:webHidden/>
              </w:rPr>
              <w:tab/>
            </w:r>
            <w:r>
              <w:rPr>
                <w:noProof/>
                <w:webHidden/>
              </w:rPr>
              <w:fldChar w:fldCharType="begin"/>
            </w:r>
            <w:r>
              <w:rPr>
                <w:noProof/>
                <w:webHidden/>
              </w:rPr>
              <w:instrText xml:space="preserve"> PAGEREF _Toc133487620 \h </w:instrText>
            </w:r>
            <w:r>
              <w:rPr>
                <w:noProof/>
                <w:webHidden/>
              </w:rPr>
            </w:r>
            <w:r>
              <w:rPr>
                <w:noProof/>
                <w:webHidden/>
              </w:rPr>
              <w:fldChar w:fldCharType="separate"/>
            </w:r>
            <w:r>
              <w:rPr>
                <w:noProof/>
                <w:webHidden/>
              </w:rPr>
              <w:t>5</w:t>
            </w:r>
            <w:r>
              <w:rPr>
                <w:noProof/>
                <w:webHidden/>
              </w:rPr>
              <w:fldChar w:fldCharType="end"/>
            </w:r>
          </w:hyperlink>
        </w:p>
        <w:p w14:paraId="3D55D219" w14:textId="0DF3B5B5" w:rsidR="000E07A9" w:rsidRDefault="000E07A9">
          <w:pPr>
            <w:pStyle w:val="TOC3"/>
            <w:tabs>
              <w:tab w:val="right" w:leader="dot" w:pos="10308"/>
            </w:tabs>
            <w:rPr>
              <w:rFonts w:asciiTheme="minorHAnsi" w:eastAsiaTheme="minorEastAsia" w:hAnsiTheme="minorHAnsi" w:cstheme="minorBidi"/>
              <w:noProof/>
              <w:lang w:eastAsia="en-AU"/>
            </w:rPr>
          </w:pPr>
          <w:hyperlink w:anchor="_Toc133487621" w:history="1">
            <w:r w:rsidRPr="0004542D">
              <w:rPr>
                <w:rStyle w:val="Hyperlink"/>
                <w:noProof/>
              </w:rPr>
              <w:t>2.2.2. Enrolment management plan</w:t>
            </w:r>
            <w:r>
              <w:rPr>
                <w:noProof/>
                <w:webHidden/>
              </w:rPr>
              <w:tab/>
            </w:r>
            <w:r>
              <w:rPr>
                <w:noProof/>
                <w:webHidden/>
              </w:rPr>
              <w:fldChar w:fldCharType="begin"/>
            </w:r>
            <w:r>
              <w:rPr>
                <w:noProof/>
                <w:webHidden/>
              </w:rPr>
              <w:instrText xml:space="preserve"> PAGEREF _Toc133487621 \h </w:instrText>
            </w:r>
            <w:r>
              <w:rPr>
                <w:noProof/>
                <w:webHidden/>
              </w:rPr>
            </w:r>
            <w:r>
              <w:rPr>
                <w:noProof/>
                <w:webHidden/>
              </w:rPr>
              <w:fldChar w:fldCharType="separate"/>
            </w:r>
            <w:r>
              <w:rPr>
                <w:noProof/>
                <w:webHidden/>
              </w:rPr>
              <w:t>5</w:t>
            </w:r>
            <w:r>
              <w:rPr>
                <w:noProof/>
                <w:webHidden/>
              </w:rPr>
              <w:fldChar w:fldCharType="end"/>
            </w:r>
          </w:hyperlink>
        </w:p>
        <w:p w14:paraId="2069E625" w14:textId="236B9E72" w:rsidR="000E07A9" w:rsidRDefault="000E07A9">
          <w:pPr>
            <w:pStyle w:val="TOC4"/>
            <w:tabs>
              <w:tab w:val="right" w:leader="dot" w:pos="10308"/>
            </w:tabs>
            <w:rPr>
              <w:rFonts w:asciiTheme="minorHAnsi" w:eastAsiaTheme="minorEastAsia" w:hAnsiTheme="minorHAnsi" w:cstheme="minorBidi"/>
              <w:noProof/>
              <w:lang w:eastAsia="en-AU"/>
            </w:rPr>
          </w:pPr>
          <w:hyperlink w:anchor="_Toc133487622" w:history="1">
            <w:r w:rsidRPr="0004542D">
              <w:rPr>
                <w:rStyle w:val="Hyperlink"/>
                <w:noProof/>
              </w:rPr>
              <w:t>Figure 1 – Summary of enrolment management requirements for schools</w:t>
            </w:r>
            <w:r>
              <w:rPr>
                <w:noProof/>
                <w:webHidden/>
              </w:rPr>
              <w:tab/>
            </w:r>
            <w:r>
              <w:rPr>
                <w:noProof/>
                <w:webHidden/>
              </w:rPr>
              <w:fldChar w:fldCharType="begin"/>
            </w:r>
            <w:r>
              <w:rPr>
                <w:noProof/>
                <w:webHidden/>
              </w:rPr>
              <w:instrText xml:space="preserve"> PAGEREF _Toc133487622 \h </w:instrText>
            </w:r>
            <w:r>
              <w:rPr>
                <w:noProof/>
                <w:webHidden/>
              </w:rPr>
            </w:r>
            <w:r>
              <w:rPr>
                <w:noProof/>
                <w:webHidden/>
              </w:rPr>
              <w:fldChar w:fldCharType="separate"/>
            </w:r>
            <w:r>
              <w:rPr>
                <w:noProof/>
                <w:webHidden/>
              </w:rPr>
              <w:t>6</w:t>
            </w:r>
            <w:r>
              <w:rPr>
                <w:noProof/>
                <w:webHidden/>
              </w:rPr>
              <w:fldChar w:fldCharType="end"/>
            </w:r>
          </w:hyperlink>
        </w:p>
        <w:p w14:paraId="19AEE3D9" w14:textId="7DAA6CE5" w:rsidR="000E07A9" w:rsidRDefault="000E07A9">
          <w:pPr>
            <w:pStyle w:val="TOC2"/>
            <w:rPr>
              <w:rFonts w:asciiTheme="minorHAnsi" w:eastAsiaTheme="minorEastAsia" w:hAnsiTheme="minorHAnsi" w:cstheme="minorBidi"/>
              <w:noProof/>
              <w:lang w:eastAsia="en-AU"/>
            </w:rPr>
          </w:pPr>
          <w:hyperlink w:anchor="_Toc133487623" w:history="1">
            <w:r w:rsidRPr="0004542D">
              <w:rPr>
                <w:rStyle w:val="Hyperlink"/>
                <w:noProof/>
              </w:rPr>
              <w:t>2.3. Request for additional school infrastructure</w:t>
            </w:r>
            <w:r>
              <w:rPr>
                <w:noProof/>
                <w:webHidden/>
              </w:rPr>
              <w:tab/>
            </w:r>
            <w:r>
              <w:rPr>
                <w:noProof/>
                <w:webHidden/>
              </w:rPr>
              <w:fldChar w:fldCharType="begin"/>
            </w:r>
            <w:r>
              <w:rPr>
                <w:noProof/>
                <w:webHidden/>
              </w:rPr>
              <w:instrText xml:space="preserve"> PAGEREF _Toc133487623 \h </w:instrText>
            </w:r>
            <w:r>
              <w:rPr>
                <w:noProof/>
                <w:webHidden/>
              </w:rPr>
            </w:r>
            <w:r>
              <w:rPr>
                <w:noProof/>
                <w:webHidden/>
              </w:rPr>
              <w:fldChar w:fldCharType="separate"/>
            </w:r>
            <w:r>
              <w:rPr>
                <w:noProof/>
                <w:webHidden/>
              </w:rPr>
              <w:t>6</w:t>
            </w:r>
            <w:r>
              <w:rPr>
                <w:noProof/>
                <w:webHidden/>
              </w:rPr>
              <w:fldChar w:fldCharType="end"/>
            </w:r>
          </w:hyperlink>
        </w:p>
        <w:p w14:paraId="6567BD78" w14:textId="621941A1" w:rsidR="000E07A9" w:rsidRDefault="000E07A9">
          <w:pPr>
            <w:pStyle w:val="TOC1"/>
            <w:rPr>
              <w:rFonts w:asciiTheme="minorHAnsi" w:eastAsiaTheme="minorEastAsia" w:hAnsiTheme="minorHAnsi" w:cstheme="minorBidi"/>
              <w:b w:val="0"/>
              <w:noProof/>
              <w:lang w:eastAsia="en-AU"/>
            </w:rPr>
          </w:pPr>
          <w:hyperlink w:anchor="_Toc133487624" w:history="1">
            <w:r w:rsidRPr="0004542D">
              <w:rPr>
                <w:rStyle w:val="Hyperlink"/>
                <w:noProof/>
                <w:lang w:eastAsia="en-AU"/>
              </w:rPr>
              <w:t>3. Roles and responsibilities</w:t>
            </w:r>
            <w:r>
              <w:rPr>
                <w:noProof/>
                <w:webHidden/>
              </w:rPr>
              <w:tab/>
            </w:r>
            <w:r>
              <w:rPr>
                <w:noProof/>
                <w:webHidden/>
              </w:rPr>
              <w:fldChar w:fldCharType="begin"/>
            </w:r>
            <w:r>
              <w:rPr>
                <w:noProof/>
                <w:webHidden/>
              </w:rPr>
              <w:instrText xml:space="preserve"> PAGEREF _Toc133487624 \h </w:instrText>
            </w:r>
            <w:r>
              <w:rPr>
                <w:noProof/>
                <w:webHidden/>
              </w:rPr>
            </w:r>
            <w:r>
              <w:rPr>
                <w:noProof/>
                <w:webHidden/>
              </w:rPr>
              <w:fldChar w:fldCharType="separate"/>
            </w:r>
            <w:r>
              <w:rPr>
                <w:noProof/>
                <w:webHidden/>
              </w:rPr>
              <w:t>7</w:t>
            </w:r>
            <w:r>
              <w:rPr>
                <w:noProof/>
                <w:webHidden/>
              </w:rPr>
              <w:fldChar w:fldCharType="end"/>
            </w:r>
          </w:hyperlink>
        </w:p>
        <w:p w14:paraId="57DC82ED" w14:textId="4F6977CB" w:rsidR="000E07A9" w:rsidRDefault="000E07A9">
          <w:pPr>
            <w:pStyle w:val="TOC2"/>
            <w:rPr>
              <w:rFonts w:asciiTheme="minorHAnsi" w:eastAsiaTheme="minorEastAsia" w:hAnsiTheme="minorHAnsi" w:cstheme="minorBidi"/>
              <w:noProof/>
              <w:lang w:eastAsia="en-AU"/>
            </w:rPr>
          </w:pPr>
          <w:hyperlink w:anchor="_Toc133487625" w:history="1">
            <w:r w:rsidRPr="0004542D">
              <w:rPr>
                <w:rStyle w:val="Hyperlink"/>
                <w:noProof/>
              </w:rPr>
              <w:t>3.1. Chief Executive</w:t>
            </w:r>
            <w:r>
              <w:rPr>
                <w:noProof/>
                <w:webHidden/>
              </w:rPr>
              <w:tab/>
            </w:r>
            <w:r>
              <w:rPr>
                <w:noProof/>
                <w:webHidden/>
              </w:rPr>
              <w:fldChar w:fldCharType="begin"/>
            </w:r>
            <w:r>
              <w:rPr>
                <w:noProof/>
                <w:webHidden/>
              </w:rPr>
              <w:instrText xml:space="preserve"> PAGEREF _Toc133487625 \h </w:instrText>
            </w:r>
            <w:r>
              <w:rPr>
                <w:noProof/>
                <w:webHidden/>
              </w:rPr>
            </w:r>
            <w:r>
              <w:rPr>
                <w:noProof/>
                <w:webHidden/>
              </w:rPr>
              <w:fldChar w:fldCharType="separate"/>
            </w:r>
            <w:r>
              <w:rPr>
                <w:noProof/>
                <w:webHidden/>
              </w:rPr>
              <w:t>7</w:t>
            </w:r>
            <w:r>
              <w:rPr>
                <w:noProof/>
                <w:webHidden/>
              </w:rPr>
              <w:fldChar w:fldCharType="end"/>
            </w:r>
          </w:hyperlink>
        </w:p>
        <w:p w14:paraId="4197B23D" w14:textId="6A8BDD39" w:rsidR="000E07A9" w:rsidRDefault="000E07A9">
          <w:pPr>
            <w:pStyle w:val="TOC2"/>
            <w:rPr>
              <w:rFonts w:asciiTheme="minorHAnsi" w:eastAsiaTheme="minorEastAsia" w:hAnsiTheme="minorHAnsi" w:cstheme="minorBidi"/>
              <w:noProof/>
              <w:lang w:eastAsia="en-AU"/>
            </w:rPr>
          </w:pPr>
          <w:hyperlink w:anchor="_Toc133487626" w:history="1">
            <w:r w:rsidRPr="0004542D">
              <w:rPr>
                <w:rStyle w:val="Hyperlink"/>
                <w:noProof/>
              </w:rPr>
              <w:t>3.2. Deputy Chief Executive Regional Services</w:t>
            </w:r>
            <w:r>
              <w:rPr>
                <w:noProof/>
                <w:webHidden/>
              </w:rPr>
              <w:tab/>
            </w:r>
            <w:r>
              <w:rPr>
                <w:noProof/>
                <w:webHidden/>
              </w:rPr>
              <w:fldChar w:fldCharType="begin"/>
            </w:r>
            <w:r>
              <w:rPr>
                <w:noProof/>
                <w:webHidden/>
              </w:rPr>
              <w:instrText xml:space="preserve"> PAGEREF _Toc133487626 \h </w:instrText>
            </w:r>
            <w:r>
              <w:rPr>
                <w:noProof/>
                <w:webHidden/>
              </w:rPr>
            </w:r>
            <w:r>
              <w:rPr>
                <w:noProof/>
                <w:webHidden/>
              </w:rPr>
              <w:fldChar w:fldCharType="separate"/>
            </w:r>
            <w:r>
              <w:rPr>
                <w:noProof/>
                <w:webHidden/>
              </w:rPr>
              <w:t>7</w:t>
            </w:r>
            <w:r>
              <w:rPr>
                <w:noProof/>
                <w:webHidden/>
              </w:rPr>
              <w:fldChar w:fldCharType="end"/>
            </w:r>
          </w:hyperlink>
        </w:p>
        <w:p w14:paraId="739D9677" w14:textId="372B78E3" w:rsidR="000E07A9" w:rsidRDefault="000E07A9">
          <w:pPr>
            <w:pStyle w:val="TOC2"/>
            <w:rPr>
              <w:rFonts w:asciiTheme="minorHAnsi" w:eastAsiaTheme="minorEastAsia" w:hAnsiTheme="minorHAnsi" w:cstheme="minorBidi"/>
              <w:noProof/>
              <w:lang w:eastAsia="en-AU"/>
            </w:rPr>
          </w:pPr>
          <w:hyperlink w:anchor="_Toc133487627" w:history="1">
            <w:r w:rsidRPr="0004542D">
              <w:rPr>
                <w:rStyle w:val="Hyperlink"/>
                <w:noProof/>
              </w:rPr>
              <w:t>3.3. Senior Directors Education</w:t>
            </w:r>
            <w:r>
              <w:rPr>
                <w:noProof/>
                <w:webHidden/>
              </w:rPr>
              <w:tab/>
            </w:r>
            <w:r>
              <w:rPr>
                <w:noProof/>
                <w:webHidden/>
              </w:rPr>
              <w:fldChar w:fldCharType="begin"/>
            </w:r>
            <w:r>
              <w:rPr>
                <w:noProof/>
                <w:webHidden/>
              </w:rPr>
              <w:instrText xml:space="preserve"> PAGEREF _Toc133487627 \h </w:instrText>
            </w:r>
            <w:r>
              <w:rPr>
                <w:noProof/>
                <w:webHidden/>
              </w:rPr>
            </w:r>
            <w:r>
              <w:rPr>
                <w:noProof/>
                <w:webHidden/>
              </w:rPr>
              <w:fldChar w:fldCharType="separate"/>
            </w:r>
            <w:r>
              <w:rPr>
                <w:noProof/>
                <w:webHidden/>
              </w:rPr>
              <w:t>7</w:t>
            </w:r>
            <w:r>
              <w:rPr>
                <w:noProof/>
                <w:webHidden/>
              </w:rPr>
              <w:fldChar w:fldCharType="end"/>
            </w:r>
          </w:hyperlink>
        </w:p>
        <w:p w14:paraId="7FA237EE" w14:textId="255D1DFF" w:rsidR="000E07A9" w:rsidRDefault="000E07A9">
          <w:pPr>
            <w:pStyle w:val="TOC2"/>
            <w:rPr>
              <w:rFonts w:asciiTheme="minorHAnsi" w:eastAsiaTheme="minorEastAsia" w:hAnsiTheme="minorHAnsi" w:cstheme="minorBidi"/>
              <w:noProof/>
              <w:lang w:eastAsia="en-AU"/>
            </w:rPr>
          </w:pPr>
          <w:hyperlink w:anchor="_Toc133487628" w:history="1">
            <w:r w:rsidRPr="0004542D">
              <w:rPr>
                <w:rStyle w:val="Hyperlink"/>
                <w:noProof/>
              </w:rPr>
              <w:t>3.4. School Operations</w:t>
            </w:r>
            <w:r>
              <w:rPr>
                <w:noProof/>
                <w:webHidden/>
              </w:rPr>
              <w:tab/>
            </w:r>
            <w:r>
              <w:rPr>
                <w:noProof/>
                <w:webHidden/>
              </w:rPr>
              <w:fldChar w:fldCharType="begin"/>
            </w:r>
            <w:r>
              <w:rPr>
                <w:noProof/>
                <w:webHidden/>
              </w:rPr>
              <w:instrText xml:space="preserve"> PAGEREF _Toc133487628 \h </w:instrText>
            </w:r>
            <w:r>
              <w:rPr>
                <w:noProof/>
                <w:webHidden/>
              </w:rPr>
            </w:r>
            <w:r>
              <w:rPr>
                <w:noProof/>
                <w:webHidden/>
              </w:rPr>
              <w:fldChar w:fldCharType="separate"/>
            </w:r>
            <w:r>
              <w:rPr>
                <w:noProof/>
                <w:webHidden/>
              </w:rPr>
              <w:t>7</w:t>
            </w:r>
            <w:r>
              <w:rPr>
                <w:noProof/>
                <w:webHidden/>
              </w:rPr>
              <w:fldChar w:fldCharType="end"/>
            </w:r>
          </w:hyperlink>
        </w:p>
        <w:p w14:paraId="0D48AA76" w14:textId="0AB06E5C" w:rsidR="000E07A9" w:rsidRDefault="000E07A9">
          <w:pPr>
            <w:pStyle w:val="TOC2"/>
            <w:rPr>
              <w:rFonts w:asciiTheme="minorHAnsi" w:eastAsiaTheme="minorEastAsia" w:hAnsiTheme="minorHAnsi" w:cstheme="minorBidi"/>
              <w:noProof/>
              <w:lang w:eastAsia="en-AU"/>
            </w:rPr>
          </w:pPr>
          <w:hyperlink w:anchor="_Toc133487629" w:history="1">
            <w:r w:rsidRPr="0004542D">
              <w:rPr>
                <w:rStyle w:val="Hyperlink"/>
                <w:noProof/>
              </w:rPr>
              <w:t>3.5. Principals</w:t>
            </w:r>
            <w:r>
              <w:rPr>
                <w:noProof/>
                <w:webHidden/>
              </w:rPr>
              <w:tab/>
            </w:r>
            <w:r>
              <w:rPr>
                <w:noProof/>
                <w:webHidden/>
              </w:rPr>
              <w:fldChar w:fldCharType="begin"/>
            </w:r>
            <w:r>
              <w:rPr>
                <w:noProof/>
                <w:webHidden/>
              </w:rPr>
              <w:instrText xml:space="preserve"> PAGEREF _Toc133487629 \h </w:instrText>
            </w:r>
            <w:r>
              <w:rPr>
                <w:noProof/>
                <w:webHidden/>
              </w:rPr>
            </w:r>
            <w:r>
              <w:rPr>
                <w:noProof/>
                <w:webHidden/>
              </w:rPr>
              <w:fldChar w:fldCharType="separate"/>
            </w:r>
            <w:r>
              <w:rPr>
                <w:noProof/>
                <w:webHidden/>
              </w:rPr>
              <w:t>8</w:t>
            </w:r>
            <w:r>
              <w:rPr>
                <w:noProof/>
                <w:webHidden/>
              </w:rPr>
              <w:fldChar w:fldCharType="end"/>
            </w:r>
          </w:hyperlink>
        </w:p>
        <w:p w14:paraId="37C0343B" w14:textId="712BB3AB" w:rsidR="000E07A9" w:rsidRDefault="000E07A9">
          <w:pPr>
            <w:pStyle w:val="TOC2"/>
            <w:rPr>
              <w:rFonts w:asciiTheme="minorHAnsi" w:eastAsiaTheme="minorEastAsia" w:hAnsiTheme="minorHAnsi" w:cstheme="minorBidi"/>
              <w:noProof/>
              <w:lang w:eastAsia="en-AU"/>
            </w:rPr>
          </w:pPr>
          <w:hyperlink w:anchor="_Toc133487630" w:history="1">
            <w:r w:rsidRPr="0004542D">
              <w:rPr>
                <w:rStyle w:val="Hyperlink"/>
                <w:noProof/>
              </w:rPr>
              <w:t>3.6. Senior Director Infrastructure Planning and Investments</w:t>
            </w:r>
            <w:r>
              <w:rPr>
                <w:noProof/>
                <w:webHidden/>
              </w:rPr>
              <w:tab/>
            </w:r>
            <w:r>
              <w:rPr>
                <w:noProof/>
                <w:webHidden/>
              </w:rPr>
              <w:fldChar w:fldCharType="begin"/>
            </w:r>
            <w:r>
              <w:rPr>
                <w:noProof/>
                <w:webHidden/>
              </w:rPr>
              <w:instrText xml:space="preserve"> PAGEREF _Toc133487630 \h </w:instrText>
            </w:r>
            <w:r>
              <w:rPr>
                <w:noProof/>
                <w:webHidden/>
              </w:rPr>
            </w:r>
            <w:r>
              <w:rPr>
                <w:noProof/>
                <w:webHidden/>
              </w:rPr>
              <w:fldChar w:fldCharType="separate"/>
            </w:r>
            <w:r>
              <w:rPr>
                <w:noProof/>
                <w:webHidden/>
              </w:rPr>
              <w:t>8</w:t>
            </w:r>
            <w:r>
              <w:rPr>
                <w:noProof/>
                <w:webHidden/>
              </w:rPr>
              <w:fldChar w:fldCharType="end"/>
            </w:r>
          </w:hyperlink>
        </w:p>
        <w:p w14:paraId="63A07A39" w14:textId="32E311A4" w:rsidR="000E07A9" w:rsidRDefault="000E07A9">
          <w:pPr>
            <w:pStyle w:val="TOC1"/>
            <w:rPr>
              <w:rFonts w:asciiTheme="minorHAnsi" w:eastAsiaTheme="minorEastAsia" w:hAnsiTheme="minorHAnsi" w:cstheme="minorBidi"/>
              <w:b w:val="0"/>
              <w:noProof/>
              <w:lang w:eastAsia="en-AU"/>
            </w:rPr>
          </w:pPr>
          <w:hyperlink w:anchor="_Toc133487631" w:history="1">
            <w:r w:rsidRPr="0004542D">
              <w:rPr>
                <w:rStyle w:val="Hyperlink"/>
                <w:noProof/>
                <w:lang w:eastAsia="en-AU"/>
              </w:rPr>
              <w:t>4. Definitions</w:t>
            </w:r>
            <w:r>
              <w:rPr>
                <w:noProof/>
                <w:webHidden/>
              </w:rPr>
              <w:tab/>
            </w:r>
            <w:r>
              <w:rPr>
                <w:noProof/>
                <w:webHidden/>
              </w:rPr>
              <w:fldChar w:fldCharType="begin"/>
            </w:r>
            <w:r>
              <w:rPr>
                <w:noProof/>
                <w:webHidden/>
              </w:rPr>
              <w:instrText xml:space="preserve"> PAGEREF _Toc133487631 \h </w:instrText>
            </w:r>
            <w:r>
              <w:rPr>
                <w:noProof/>
                <w:webHidden/>
              </w:rPr>
            </w:r>
            <w:r>
              <w:rPr>
                <w:noProof/>
                <w:webHidden/>
              </w:rPr>
              <w:fldChar w:fldCharType="separate"/>
            </w:r>
            <w:r>
              <w:rPr>
                <w:noProof/>
                <w:webHidden/>
              </w:rPr>
              <w:t>8</w:t>
            </w:r>
            <w:r>
              <w:rPr>
                <w:noProof/>
                <w:webHidden/>
              </w:rPr>
              <w:fldChar w:fldCharType="end"/>
            </w:r>
          </w:hyperlink>
        </w:p>
        <w:p w14:paraId="1E7DBECA" w14:textId="3C09F22D" w:rsidR="000E07A9" w:rsidRDefault="000E07A9">
          <w:pPr>
            <w:pStyle w:val="TOC1"/>
            <w:rPr>
              <w:rFonts w:asciiTheme="minorHAnsi" w:eastAsiaTheme="minorEastAsia" w:hAnsiTheme="minorHAnsi" w:cstheme="minorBidi"/>
              <w:b w:val="0"/>
              <w:noProof/>
              <w:lang w:eastAsia="en-AU"/>
            </w:rPr>
          </w:pPr>
          <w:hyperlink w:anchor="_Toc133487632" w:history="1">
            <w:r w:rsidRPr="0004542D">
              <w:rPr>
                <w:rStyle w:val="Hyperlink"/>
                <w:noProof/>
                <w:lang w:eastAsia="en-AU"/>
              </w:rPr>
              <w:t>5. Related legislation, policy and documents</w:t>
            </w:r>
            <w:r>
              <w:rPr>
                <w:noProof/>
                <w:webHidden/>
              </w:rPr>
              <w:tab/>
            </w:r>
            <w:r>
              <w:rPr>
                <w:noProof/>
                <w:webHidden/>
              </w:rPr>
              <w:fldChar w:fldCharType="begin"/>
            </w:r>
            <w:r>
              <w:rPr>
                <w:noProof/>
                <w:webHidden/>
              </w:rPr>
              <w:instrText xml:space="preserve"> PAGEREF _Toc133487632 \h </w:instrText>
            </w:r>
            <w:r>
              <w:rPr>
                <w:noProof/>
                <w:webHidden/>
              </w:rPr>
            </w:r>
            <w:r>
              <w:rPr>
                <w:noProof/>
                <w:webHidden/>
              </w:rPr>
              <w:fldChar w:fldCharType="separate"/>
            </w:r>
            <w:r>
              <w:rPr>
                <w:noProof/>
                <w:webHidden/>
              </w:rPr>
              <w:t>9</w:t>
            </w:r>
            <w:r>
              <w:rPr>
                <w:noProof/>
                <w:webHidden/>
              </w:rPr>
              <w:fldChar w:fldCharType="end"/>
            </w:r>
          </w:hyperlink>
        </w:p>
        <w:p w14:paraId="590D1C4E" w14:textId="5EB060B1" w:rsidR="000E07A9" w:rsidRDefault="000E07A9">
          <w:pPr>
            <w:pStyle w:val="TOC2"/>
            <w:rPr>
              <w:rFonts w:asciiTheme="minorHAnsi" w:eastAsiaTheme="minorEastAsia" w:hAnsiTheme="minorHAnsi" w:cstheme="minorBidi"/>
              <w:noProof/>
              <w:lang w:eastAsia="en-AU"/>
            </w:rPr>
          </w:pPr>
          <w:hyperlink w:anchor="_Toc133487633" w:history="1">
            <w:r w:rsidRPr="0004542D">
              <w:rPr>
                <w:rStyle w:val="Hyperlink"/>
                <w:noProof/>
              </w:rPr>
              <w:t>5.1. Legislation</w:t>
            </w:r>
            <w:r>
              <w:rPr>
                <w:noProof/>
                <w:webHidden/>
              </w:rPr>
              <w:tab/>
            </w:r>
            <w:r>
              <w:rPr>
                <w:noProof/>
                <w:webHidden/>
              </w:rPr>
              <w:fldChar w:fldCharType="begin"/>
            </w:r>
            <w:r>
              <w:rPr>
                <w:noProof/>
                <w:webHidden/>
              </w:rPr>
              <w:instrText xml:space="preserve"> PAGEREF _Toc133487633 \h </w:instrText>
            </w:r>
            <w:r>
              <w:rPr>
                <w:noProof/>
                <w:webHidden/>
              </w:rPr>
            </w:r>
            <w:r>
              <w:rPr>
                <w:noProof/>
                <w:webHidden/>
              </w:rPr>
              <w:fldChar w:fldCharType="separate"/>
            </w:r>
            <w:r>
              <w:rPr>
                <w:noProof/>
                <w:webHidden/>
              </w:rPr>
              <w:t>9</w:t>
            </w:r>
            <w:r>
              <w:rPr>
                <w:noProof/>
                <w:webHidden/>
              </w:rPr>
              <w:fldChar w:fldCharType="end"/>
            </w:r>
          </w:hyperlink>
        </w:p>
        <w:p w14:paraId="6703BCC4" w14:textId="2DAAECD2" w:rsidR="000E07A9" w:rsidRDefault="000E07A9">
          <w:pPr>
            <w:pStyle w:val="TOC2"/>
            <w:rPr>
              <w:rFonts w:asciiTheme="minorHAnsi" w:eastAsiaTheme="minorEastAsia" w:hAnsiTheme="minorHAnsi" w:cstheme="minorBidi"/>
              <w:noProof/>
              <w:lang w:eastAsia="en-AU"/>
            </w:rPr>
          </w:pPr>
          <w:hyperlink w:anchor="_Toc133487634" w:history="1">
            <w:r w:rsidRPr="0004542D">
              <w:rPr>
                <w:rStyle w:val="Hyperlink"/>
                <w:noProof/>
              </w:rPr>
              <w:t>5.2. Policy and documents</w:t>
            </w:r>
            <w:r>
              <w:rPr>
                <w:noProof/>
                <w:webHidden/>
              </w:rPr>
              <w:tab/>
            </w:r>
            <w:r>
              <w:rPr>
                <w:noProof/>
                <w:webHidden/>
              </w:rPr>
              <w:fldChar w:fldCharType="begin"/>
            </w:r>
            <w:r>
              <w:rPr>
                <w:noProof/>
                <w:webHidden/>
              </w:rPr>
              <w:instrText xml:space="preserve"> PAGEREF _Toc133487634 \h </w:instrText>
            </w:r>
            <w:r>
              <w:rPr>
                <w:noProof/>
                <w:webHidden/>
              </w:rPr>
            </w:r>
            <w:r>
              <w:rPr>
                <w:noProof/>
                <w:webHidden/>
              </w:rPr>
              <w:fldChar w:fldCharType="separate"/>
            </w:r>
            <w:r>
              <w:rPr>
                <w:noProof/>
                <w:webHidden/>
              </w:rPr>
              <w:t>9</w:t>
            </w:r>
            <w:r>
              <w:rPr>
                <w:noProof/>
                <w:webHidden/>
              </w:rPr>
              <w:fldChar w:fldCharType="end"/>
            </w:r>
          </w:hyperlink>
        </w:p>
        <w:p w14:paraId="71AF4E6D" w14:textId="2255A8F4"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6D60AAF9"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4698BDEA" w14:textId="0E564125" w:rsidR="00E2126A" w:rsidRDefault="009C2AE1" w:rsidP="00E2126A">
      <w:pPr>
        <w:pStyle w:val="Heading1"/>
        <w:rPr>
          <w:noProof/>
          <w:lang w:eastAsia="en-AU"/>
        </w:rPr>
      </w:pPr>
      <w:bookmarkStart w:id="1" w:name="_Toc133487611"/>
      <w:r>
        <w:rPr>
          <w:noProof/>
          <w:lang w:eastAsia="en-AU"/>
        </w:rPr>
        <w:lastRenderedPageBreak/>
        <w:t>Introduction</w:t>
      </w:r>
      <w:bookmarkEnd w:id="1"/>
    </w:p>
    <w:p w14:paraId="1CC79A2D" w14:textId="79BF8D52" w:rsidR="009C2AE1" w:rsidRDefault="009C2AE1" w:rsidP="009C2AE1">
      <w:pPr>
        <w:rPr>
          <w:lang w:eastAsia="en-AU"/>
        </w:rPr>
      </w:pPr>
      <w:r>
        <w:rPr>
          <w:lang w:eastAsia="en-AU"/>
        </w:rPr>
        <w:t xml:space="preserve">All Northern Territory </w:t>
      </w:r>
      <w:r w:rsidR="005E69FB">
        <w:rPr>
          <w:lang w:eastAsia="en-AU"/>
        </w:rPr>
        <w:t xml:space="preserve">Government </w:t>
      </w:r>
      <w:r>
        <w:rPr>
          <w:lang w:eastAsia="en-AU"/>
        </w:rPr>
        <w:t>schools, excluding distance education centres, must actively manage student enrolments consistent with these guidelines to ensure sufficient operational capacity is reserved for students living in the school’s priority enrolment area.</w:t>
      </w:r>
    </w:p>
    <w:p w14:paraId="1E0DF2C6" w14:textId="32256A02" w:rsidR="009C2AE1" w:rsidRDefault="009C2AE1" w:rsidP="009C2AE1">
      <w:pPr>
        <w:rPr>
          <w:lang w:eastAsia="en-AU"/>
        </w:rPr>
      </w:pPr>
      <w:r>
        <w:rPr>
          <w:lang w:eastAsia="en-AU"/>
        </w:rPr>
        <w:t xml:space="preserve">These guidelines are aligned with the provisions established under sections 77, 78 and 79 of the </w:t>
      </w:r>
      <w:r w:rsidRPr="000A62AD">
        <w:rPr>
          <w:i/>
          <w:lang w:eastAsia="en-AU"/>
        </w:rPr>
        <w:t>Education</w:t>
      </w:r>
      <w:r w:rsidR="004D23C2" w:rsidRPr="000A62AD">
        <w:rPr>
          <w:i/>
          <w:lang w:eastAsia="en-AU"/>
        </w:rPr>
        <w:t> </w:t>
      </w:r>
      <w:r w:rsidRPr="000A62AD">
        <w:rPr>
          <w:i/>
          <w:lang w:eastAsia="en-AU"/>
        </w:rPr>
        <w:t>Act</w:t>
      </w:r>
      <w:r w:rsidR="004D23C2" w:rsidRPr="000A62AD">
        <w:rPr>
          <w:i/>
          <w:lang w:eastAsia="en-AU"/>
        </w:rPr>
        <w:t xml:space="preserve"> 2015</w:t>
      </w:r>
      <w:r>
        <w:rPr>
          <w:lang w:eastAsia="en-AU"/>
        </w:rPr>
        <w:t xml:space="preserve"> and section 17 of the Education Regulations</w:t>
      </w:r>
      <w:r w:rsidR="00C910B1">
        <w:rPr>
          <w:lang w:eastAsia="en-AU"/>
        </w:rPr>
        <w:t xml:space="preserve"> 2015</w:t>
      </w:r>
      <w:r>
        <w:rPr>
          <w:lang w:eastAsia="en-AU"/>
        </w:rPr>
        <w:t>.</w:t>
      </w:r>
    </w:p>
    <w:p w14:paraId="52B84ACC" w14:textId="26E9B344" w:rsidR="00AD4312" w:rsidRDefault="00AD4312" w:rsidP="00AD4312">
      <w:pPr>
        <w:pStyle w:val="Heading1"/>
        <w:rPr>
          <w:lang w:eastAsia="en-AU"/>
        </w:rPr>
      </w:pPr>
      <w:bookmarkStart w:id="2" w:name="_Toc133487612"/>
      <w:r>
        <w:rPr>
          <w:lang w:eastAsia="en-AU"/>
        </w:rPr>
        <w:t>Guidelines</w:t>
      </w:r>
      <w:bookmarkEnd w:id="2"/>
    </w:p>
    <w:p w14:paraId="2A513748" w14:textId="193838F2" w:rsidR="00AD4312" w:rsidRDefault="00AD4312" w:rsidP="00AD4312">
      <w:pPr>
        <w:pStyle w:val="Heading2"/>
      </w:pPr>
      <w:bookmarkStart w:id="3" w:name="_Toc133487613"/>
      <w:r>
        <w:t>Priority enrolment areas</w:t>
      </w:r>
      <w:bookmarkEnd w:id="3"/>
    </w:p>
    <w:p w14:paraId="1CED6246" w14:textId="4A329E50" w:rsidR="00AD4312" w:rsidRDefault="00AD4312" w:rsidP="00AD4312">
      <w:pPr>
        <w:pStyle w:val="Heading3"/>
      </w:pPr>
      <w:bookmarkStart w:id="4" w:name="_Toc133487614"/>
      <w:r>
        <w:t>Establishment of priority enrolment areas</w:t>
      </w:r>
      <w:bookmarkEnd w:id="4"/>
    </w:p>
    <w:p w14:paraId="787E61F8" w14:textId="43B6B97F" w:rsidR="00AD4312" w:rsidRDefault="00AD4312" w:rsidP="00AD4312">
      <w:pPr>
        <w:rPr>
          <w:lang w:eastAsia="en-AU"/>
        </w:rPr>
      </w:pPr>
      <w:r>
        <w:rPr>
          <w:lang w:eastAsia="en-AU"/>
        </w:rPr>
        <w:t>In general, the priority enrolment area for a middle school is determined by allocating primary schools to an associated middle school. These middle schools</w:t>
      </w:r>
      <w:r w:rsidR="00D36A18">
        <w:rPr>
          <w:lang w:eastAsia="en-AU"/>
        </w:rPr>
        <w:t>,</w:t>
      </w:r>
      <w:r>
        <w:rPr>
          <w:lang w:eastAsia="en-AU"/>
        </w:rPr>
        <w:t xml:space="preserve"> in turn, form the basis of a priority enrolment area for associated senior secondary colleges.</w:t>
      </w:r>
    </w:p>
    <w:p w14:paraId="12F030EB" w14:textId="7E384C16" w:rsidR="00AD4312" w:rsidRDefault="00AD4312" w:rsidP="00AD4312">
      <w:pPr>
        <w:rPr>
          <w:lang w:eastAsia="en-AU"/>
        </w:rPr>
      </w:pPr>
      <w:r>
        <w:rPr>
          <w:lang w:eastAsia="en-AU"/>
        </w:rPr>
        <w:t xml:space="preserve">A priority enrolment area is determined by the Chief Executive through a process involving consultation between School </w:t>
      </w:r>
      <w:r w:rsidR="00D36A18">
        <w:rPr>
          <w:lang w:eastAsia="en-AU"/>
        </w:rPr>
        <w:t>Operations</w:t>
      </w:r>
      <w:r>
        <w:rPr>
          <w:lang w:eastAsia="en-AU"/>
        </w:rPr>
        <w:t xml:space="preserve">, </w:t>
      </w:r>
      <w:r w:rsidR="00D36A18">
        <w:rPr>
          <w:lang w:eastAsia="en-AU"/>
        </w:rPr>
        <w:t>Strategic Policy</w:t>
      </w:r>
      <w:r w:rsidR="00C25BDB">
        <w:rPr>
          <w:lang w:eastAsia="en-AU"/>
        </w:rPr>
        <w:t>,</w:t>
      </w:r>
      <w:r w:rsidR="00D36A18">
        <w:rPr>
          <w:lang w:eastAsia="en-AU"/>
        </w:rPr>
        <w:t xml:space="preserve"> Projects and </w:t>
      </w:r>
      <w:r>
        <w:rPr>
          <w:lang w:eastAsia="en-AU"/>
        </w:rPr>
        <w:t xml:space="preserve">Performance, and </w:t>
      </w:r>
      <w:r w:rsidR="00E700CA">
        <w:rPr>
          <w:lang w:eastAsia="en-AU"/>
        </w:rPr>
        <w:t xml:space="preserve">Infrastructure </w:t>
      </w:r>
      <w:r>
        <w:rPr>
          <w:lang w:eastAsia="en-AU"/>
        </w:rPr>
        <w:t>Planning</w:t>
      </w:r>
      <w:r w:rsidR="00E700CA">
        <w:rPr>
          <w:lang w:eastAsia="en-AU"/>
        </w:rPr>
        <w:t xml:space="preserve"> and Investments </w:t>
      </w:r>
      <w:r>
        <w:rPr>
          <w:lang w:eastAsia="en-AU"/>
        </w:rPr>
        <w:t>business units.</w:t>
      </w:r>
    </w:p>
    <w:p w14:paraId="73261A63" w14:textId="12B27897" w:rsidR="00AD4312" w:rsidRDefault="00AD4312" w:rsidP="00AD4312">
      <w:pPr>
        <w:pStyle w:val="Heading3"/>
      </w:pPr>
      <w:bookmarkStart w:id="5" w:name="_Toc133487615"/>
      <w:r>
        <w:t>Changes to priority enrolment areas</w:t>
      </w:r>
      <w:bookmarkEnd w:id="5"/>
    </w:p>
    <w:p w14:paraId="5E7CBA16" w14:textId="37ED1829" w:rsidR="00AD4312" w:rsidRDefault="00AD4312" w:rsidP="00AD4312">
      <w:pPr>
        <w:rPr>
          <w:lang w:eastAsia="en-AU"/>
        </w:rPr>
      </w:pPr>
      <w:r>
        <w:rPr>
          <w:lang w:eastAsia="en-AU"/>
        </w:rPr>
        <w:t xml:space="preserve">Priority enrolment areas are reviewed regularly and may be altered by the Chief Executive to ensure that school infrastructure resources are used efficiently. Enrolment trends and forecast population trends are considered against the operational capacity of schools to guide a review of priority enrolment areas. If changes are proposed, these are reviewed by the </w:t>
      </w:r>
      <w:r w:rsidR="000539D0">
        <w:rPr>
          <w:lang w:eastAsia="en-AU"/>
        </w:rPr>
        <w:t xml:space="preserve">Senior </w:t>
      </w:r>
      <w:r>
        <w:rPr>
          <w:lang w:eastAsia="en-AU"/>
        </w:rPr>
        <w:t xml:space="preserve">Director </w:t>
      </w:r>
      <w:r w:rsidR="000539D0">
        <w:rPr>
          <w:lang w:eastAsia="en-AU"/>
        </w:rPr>
        <w:t xml:space="preserve">Education </w:t>
      </w:r>
      <w:r>
        <w:rPr>
          <w:lang w:eastAsia="en-AU"/>
        </w:rPr>
        <w:t>with the relevant principal and school representative body of an affected school.</w:t>
      </w:r>
    </w:p>
    <w:p w14:paraId="7223C3B5" w14:textId="76D7D775" w:rsidR="00AD4312" w:rsidRDefault="00AD4312" w:rsidP="00AD4312">
      <w:pPr>
        <w:rPr>
          <w:lang w:eastAsia="en-AU"/>
        </w:rPr>
      </w:pPr>
      <w:r>
        <w:rPr>
          <w:lang w:eastAsia="en-AU"/>
        </w:rPr>
        <w:t>The Chief Executive approves any changes to a school’s priority enrolment area and notification must be placed on the department website. As there is potential for families to be adversely impacted by a change in the priority enrolment area, the department and the relevant principal</w:t>
      </w:r>
      <w:r w:rsidR="008148F6">
        <w:rPr>
          <w:lang w:eastAsia="en-AU"/>
        </w:rPr>
        <w:t>s</w:t>
      </w:r>
      <w:r>
        <w:rPr>
          <w:lang w:eastAsia="en-AU"/>
        </w:rPr>
        <w:t xml:space="preserve"> will ensure the affected community is notified well in advance of the change and has the opportunity to discuss their options.</w:t>
      </w:r>
    </w:p>
    <w:p w14:paraId="2ED54966" w14:textId="28140FBA" w:rsidR="00AD4312" w:rsidRDefault="00AD4312" w:rsidP="00AD4312">
      <w:pPr>
        <w:pStyle w:val="Heading3"/>
      </w:pPr>
      <w:bookmarkStart w:id="6" w:name="_Toc133487616"/>
      <w:r>
        <w:t>Basic principles</w:t>
      </w:r>
      <w:bookmarkEnd w:id="6"/>
    </w:p>
    <w:p w14:paraId="53EEA3D4" w14:textId="4E45C327" w:rsidR="00AD4312" w:rsidRDefault="00AD4312" w:rsidP="005E69FB">
      <w:pPr>
        <w:pStyle w:val="ListParagraph"/>
        <w:numPr>
          <w:ilvl w:val="0"/>
          <w:numId w:val="15"/>
        </w:numPr>
        <w:ind w:left="567" w:hanging="283"/>
        <w:rPr>
          <w:lang w:eastAsia="en-AU"/>
        </w:rPr>
      </w:pPr>
      <w:r>
        <w:rPr>
          <w:lang w:eastAsia="en-AU"/>
        </w:rPr>
        <w:t>No eligible child will be denied enrolment at their school, providing they reside within the school priority enrolment area.</w:t>
      </w:r>
    </w:p>
    <w:p w14:paraId="050FE033" w14:textId="655C99A4" w:rsidR="00AD4312" w:rsidRDefault="00AD4312" w:rsidP="005E69FB">
      <w:pPr>
        <w:pStyle w:val="ListParagraph"/>
        <w:numPr>
          <w:ilvl w:val="0"/>
          <w:numId w:val="15"/>
        </w:numPr>
        <w:ind w:left="567" w:hanging="283"/>
        <w:rPr>
          <w:lang w:eastAsia="en-AU"/>
        </w:rPr>
      </w:pPr>
      <w:r>
        <w:rPr>
          <w:lang w:eastAsia="en-AU"/>
        </w:rPr>
        <w:t>Parents may apply to enrol their child in any school of their choice; however, a school can only accept an application for enrolment from a student residing outside of the priority enrolment area if the school has the operational capacity to accommodate that enrolment.</w:t>
      </w:r>
    </w:p>
    <w:p w14:paraId="4D18B262" w14:textId="53789390" w:rsidR="00AD4312" w:rsidRDefault="00AD4312" w:rsidP="005E69FB">
      <w:pPr>
        <w:pStyle w:val="ListParagraph"/>
        <w:numPr>
          <w:ilvl w:val="0"/>
          <w:numId w:val="15"/>
        </w:numPr>
        <w:ind w:left="567" w:hanging="283"/>
        <w:rPr>
          <w:lang w:eastAsia="en-AU"/>
        </w:rPr>
      </w:pPr>
      <w:r>
        <w:rPr>
          <w:lang w:eastAsia="en-AU"/>
        </w:rPr>
        <w:t>A principal may decline an application for enrolment for a child living outside the school’s priority enrolment area at any time provided that the decision is transparent and made without discrimination or prejudice.</w:t>
      </w:r>
    </w:p>
    <w:p w14:paraId="478039BC" w14:textId="44643601" w:rsidR="00AD4312" w:rsidRDefault="00AD4312" w:rsidP="005E69FB">
      <w:pPr>
        <w:pStyle w:val="ListParagraph"/>
        <w:numPr>
          <w:ilvl w:val="0"/>
          <w:numId w:val="15"/>
        </w:numPr>
        <w:ind w:left="567" w:hanging="283"/>
        <w:rPr>
          <w:lang w:eastAsia="en-AU"/>
        </w:rPr>
      </w:pPr>
      <w:r>
        <w:rPr>
          <w:lang w:eastAsia="en-AU"/>
        </w:rPr>
        <w:t>Acceptance of an application for a preschool enrolment for a child who lives outside the priority enrolment area does not guarantee subsequent enrolment for that child, or their siblings, at the primary school in that priority enrolment area.</w:t>
      </w:r>
    </w:p>
    <w:p w14:paraId="1D33BCDD" w14:textId="11AD6765" w:rsidR="00AD4312" w:rsidRDefault="00AD4312" w:rsidP="005E69FB">
      <w:pPr>
        <w:pStyle w:val="ListParagraph"/>
        <w:numPr>
          <w:ilvl w:val="0"/>
          <w:numId w:val="15"/>
        </w:numPr>
        <w:ind w:left="567" w:hanging="283"/>
        <w:rPr>
          <w:lang w:eastAsia="en-AU"/>
        </w:rPr>
      </w:pPr>
      <w:r>
        <w:rPr>
          <w:lang w:eastAsia="en-AU"/>
        </w:rPr>
        <w:t>Acceptance of an application for enrolment of a child into a primary school outside their priority enrolment area does not guarantee enrolment at the middle or senior school in the same priority enrolment area for that child or their siblings.</w:t>
      </w:r>
    </w:p>
    <w:p w14:paraId="659E91CE" w14:textId="7D9A47DF" w:rsidR="00AD4312" w:rsidRDefault="00AD4312" w:rsidP="005E69FB">
      <w:pPr>
        <w:pStyle w:val="ListParagraph"/>
        <w:numPr>
          <w:ilvl w:val="0"/>
          <w:numId w:val="15"/>
        </w:numPr>
        <w:spacing w:after="200"/>
        <w:ind w:left="567" w:hanging="283"/>
        <w:rPr>
          <w:lang w:eastAsia="en-AU"/>
        </w:rPr>
      </w:pPr>
      <w:r>
        <w:rPr>
          <w:lang w:eastAsia="en-AU"/>
        </w:rPr>
        <w:t>Once a child has been enrolled in a school, that child is entitled to complete the remaining years of their primary</w:t>
      </w:r>
      <w:r w:rsidR="004D23C2">
        <w:rPr>
          <w:lang w:eastAsia="en-AU"/>
        </w:rPr>
        <w:t xml:space="preserve">, </w:t>
      </w:r>
      <w:r>
        <w:rPr>
          <w:lang w:eastAsia="en-AU"/>
        </w:rPr>
        <w:t>middle</w:t>
      </w:r>
      <w:r w:rsidR="004D23C2">
        <w:rPr>
          <w:lang w:eastAsia="en-AU"/>
        </w:rPr>
        <w:t xml:space="preserve"> or </w:t>
      </w:r>
      <w:r>
        <w:rPr>
          <w:lang w:eastAsia="en-AU"/>
        </w:rPr>
        <w:t>secondary education at that school.</w:t>
      </w:r>
    </w:p>
    <w:p w14:paraId="00176FF4" w14:textId="475C22FD" w:rsidR="00AD4312" w:rsidRDefault="00AD4312" w:rsidP="00AD4312">
      <w:pPr>
        <w:pStyle w:val="Heading3"/>
      </w:pPr>
      <w:bookmarkStart w:id="7" w:name="_Toc133487617"/>
      <w:r>
        <w:t>Enrolling students from outside the priority enrolment area</w:t>
      </w:r>
      <w:bookmarkEnd w:id="7"/>
    </w:p>
    <w:p w14:paraId="21273E88" w14:textId="6DD8AB15" w:rsidR="00AD4312" w:rsidRDefault="00AD4312" w:rsidP="00AD4312">
      <w:pPr>
        <w:rPr>
          <w:lang w:eastAsia="en-AU"/>
        </w:rPr>
      </w:pPr>
      <w:r>
        <w:rPr>
          <w:lang w:eastAsia="en-AU"/>
        </w:rPr>
        <w:t xml:space="preserve">A school may accept students from outside its priority enrolment area if it has current and future capacity to do so. If a school is approaching or has reached </w:t>
      </w:r>
      <w:r w:rsidR="00E700CA">
        <w:rPr>
          <w:lang w:eastAsia="en-AU"/>
        </w:rPr>
        <w:t>85%</w:t>
      </w:r>
      <w:r>
        <w:rPr>
          <w:lang w:eastAsia="en-AU"/>
        </w:rPr>
        <w:t xml:space="preserve"> of its operational capacity, then the school must carefully consider the approval of applications for enrolment from students who reside outside the priority enrolment area in line with its Enrolment </w:t>
      </w:r>
      <w:r w:rsidR="00DB078D">
        <w:rPr>
          <w:lang w:eastAsia="en-AU"/>
        </w:rPr>
        <w:t>m</w:t>
      </w:r>
      <w:r>
        <w:rPr>
          <w:lang w:eastAsia="en-AU"/>
        </w:rPr>
        <w:t xml:space="preserve">anagement </w:t>
      </w:r>
      <w:r w:rsidR="00DB078D">
        <w:rPr>
          <w:lang w:eastAsia="en-AU"/>
        </w:rPr>
        <w:t>p</w:t>
      </w:r>
      <w:r>
        <w:rPr>
          <w:lang w:eastAsia="en-AU"/>
        </w:rPr>
        <w:t>lan.</w:t>
      </w:r>
    </w:p>
    <w:p w14:paraId="7996BAF3" w14:textId="09E39C74" w:rsidR="00AD4312" w:rsidRDefault="00AD4312" w:rsidP="005E69FB">
      <w:pPr>
        <w:spacing w:after="120"/>
        <w:rPr>
          <w:lang w:eastAsia="en-AU"/>
        </w:rPr>
      </w:pPr>
      <w:r>
        <w:rPr>
          <w:lang w:eastAsia="en-AU"/>
        </w:rPr>
        <w:t>Schools will establish transparent criteria to assess out</w:t>
      </w:r>
      <w:r w:rsidR="005E69FB">
        <w:rPr>
          <w:lang w:eastAsia="en-AU"/>
        </w:rPr>
        <w:t xml:space="preserve"> </w:t>
      </w:r>
      <w:r>
        <w:rPr>
          <w:lang w:eastAsia="en-AU"/>
        </w:rPr>
        <w:t>of</w:t>
      </w:r>
      <w:r w:rsidR="005E69FB">
        <w:rPr>
          <w:lang w:eastAsia="en-AU"/>
        </w:rPr>
        <w:t xml:space="preserve"> </w:t>
      </w:r>
      <w:r>
        <w:rPr>
          <w:lang w:eastAsia="en-AU"/>
        </w:rPr>
        <w:t>priority enrolment area enrolments. The criteria might include:</w:t>
      </w:r>
    </w:p>
    <w:p w14:paraId="53C40BAC" w14:textId="234FE494" w:rsidR="00AD4312" w:rsidRDefault="00AD4312" w:rsidP="005E69FB">
      <w:pPr>
        <w:pStyle w:val="ListParagraph"/>
        <w:numPr>
          <w:ilvl w:val="0"/>
          <w:numId w:val="15"/>
        </w:numPr>
        <w:ind w:left="567" w:hanging="283"/>
        <w:rPr>
          <w:lang w:eastAsia="en-AU"/>
        </w:rPr>
      </w:pPr>
      <w:r>
        <w:rPr>
          <w:lang w:eastAsia="en-AU"/>
        </w:rPr>
        <w:t>if the student is the sibling of a current student at the school</w:t>
      </w:r>
    </w:p>
    <w:p w14:paraId="2300A88B" w14:textId="361D216A" w:rsidR="00AD4312" w:rsidRDefault="00AD4312" w:rsidP="005E69FB">
      <w:pPr>
        <w:pStyle w:val="ListParagraph"/>
        <w:numPr>
          <w:ilvl w:val="0"/>
          <w:numId w:val="15"/>
        </w:numPr>
        <w:ind w:left="567" w:hanging="283"/>
        <w:rPr>
          <w:lang w:eastAsia="en-AU"/>
        </w:rPr>
      </w:pPr>
      <w:r>
        <w:rPr>
          <w:lang w:eastAsia="en-AU"/>
        </w:rPr>
        <w:t>the student’s suitability for enrolment in a specialised program offered by the school</w:t>
      </w:r>
    </w:p>
    <w:p w14:paraId="40B3CC98" w14:textId="26967F1A" w:rsidR="00AD4312" w:rsidRDefault="00AD4312" w:rsidP="005E69FB">
      <w:pPr>
        <w:pStyle w:val="ListParagraph"/>
        <w:numPr>
          <w:ilvl w:val="0"/>
          <w:numId w:val="15"/>
        </w:numPr>
        <w:spacing w:after="200"/>
        <w:ind w:left="567" w:hanging="283"/>
        <w:rPr>
          <w:lang w:eastAsia="en-AU"/>
        </w:rPr>
      </w:pPr>
      <w:r>
        <w:rPr>
          <w:lang w:eastAsia="en-AU"/>
        </w:rPr>
        <w:t>individual year level and subject level operational capacity.</w:t>
      </w:r>
    </w:p>
    <w:p w14:paraId="7F1840D8" w14:textId="0BC130B4" w:rsidR="00AD4312" w:rsidRDefault="00AD4312" w:rsidP="00AD4312">
      <w:pPr>
        <w:rPr>
          <w:lang w:eastAsia="en-AU"/>
        </w:rPr>
      </w:pPr>
      <w:r>
        <w:rPr>
          <w:lang w:eastAsia="en-AU"/>
        </w:rPr>
        <w:t>Th</w:t>
      </w:r>
      <w:r w:rsidR="00DB078D">
        <w:rPr>
          <w:lang w:eastAsia="en-AU"/>
        </w:rPr>
        <w:t>ese</w:t>
      </w:r>
      <w:r>
        <w:rPr>
          <w:lang w:eastAsia="en-AU"/>
        </w:rPr>
        <w:t xml:space="preserve"> criteria will form part of the school’s Enrolment </w:t>
      </w:r>
      <w:r w:rsidR="00DB078D">
        <w:rPr>
          <w:lang w:eastAsia="en-AU"/>
        </w:rPr>
        <w:t>m</w:t>
      </w:r>
      <w:r>
        <w:rPr>
          <w:lang w:eastAsia="en-AU"/>
        </w:rPr>
        <w:t xml:space="preserve">anagement </w:t>
      </w:r>
      <w:r w:rsidR="00DB078D">
        <w:rPr>
          <w:lang w:eastAsia="en-AU"/>
        </w:rPr>
        <w:t>p</w:t>
      </w:r>
      <w:r>
        <w:rPr>
          <w:lang w:eastAsia="en-AU"/>
        </w:rPr>
        <w:t>lan, which provides the grounds on which out</w:t>
      </w:r>
      <w:r w:rsidR="005E69FB">
        <w:rPr>
          <w:lang w:eastAsia="en-AU"/>
        </w:rPr>
        <w:t xml:space="preserve"> </w:t>
      </w:r>
      <w:r>
        <w:rPr>
          <w:lang w:eastAsia="en-AU"/>
        </w:rPr>
        <w:t>of</w:t>
      </w:r>
      <w:r w:rsidR="005E69FB">
        <w:rPr>
          <w:lang w:eastAsia="en-AU"/>
        </w:rPr>
        <w:t xml:space="preserve"> </w:t>
      </w:r>
      <w:r>
        <w:rPr>
          <w:lang w:eastAsia="en-AU"/>
        </w:rPr>
        <w:t>priority enrolment area enrolment</w:t>
      </w:r>
      <w:r w:rsidR="00451786">
        <w:rPr>
          <w:lang w:eastAsia="en-AU"/>
        </w:rPr>
        <w:t xml:space="preserve"> application</w:t>
      </w:r>
      <w:r>
        <w:rPr>
          <w:lang w:eastAsia="en-AU"/>
        </w:rPr>
        <w:t>s will be evaluated. The assessment criteria will be applied consistently to all applications.</w:t>
      </w:r>
    </w:p>
    <w:p w14:paraId="256D5A6D" w14:textId="0D761F44" w:rsidR="00AD4312" w:rsidRDefault="00AD4312" w:rsidP="00AD4312">
      <w:pPr>
        <w:rPr>
          <w:lang w:eastAsia="en-AU"/>
        </w:rPr>
      </w:pPr>
      <w:r>
        <w:rPr>
          <w:lang w:eastAsia="en-AU"/>
        </w:rPr>
        <w:t>Students who apply for enrolment from outside the priority enrolment area may be placed on a waiting list. Waiting lists are current for one year and should reflect realistic expectations of potential vacancies.</w:t>
      </w:r>
    </w:p>
    <w:p w14:paraId="0BA0D2A7" w14:textId="095CF477" w:rsidR="00AD4312" w:rsidRDefault="00AD4312" w:rsidP="00AD4312">
      <w:pPr>
        <w:rPr>
          <w:lang w:eastAsia="en-AU"/>
        </w:rPr>
      </w:pPr>
      <w:r>
        <w:rPr>
          <w:lang w:eastAsia="en-AU"/>
        </w:rPr>
        <w:t>Parents of unsuccessful applicants will be provided with an explanation</w:t>
      </w:r>
      <w:r w:rsidR="0073461F">
        <w:rPr>
          <w:lang w:eastAsia="en-AU"/>
        </w:rPr>
        <w:t>,</w:t>
      </w:r>
      <w:r>
        <w:rPr>
          <w:lang w:eastAsia="en-AU"/>
        </w:rPr>
        <w:t xml:space="preserve"> in writing should they request it, and be given the opportunity to discuss the decision with the principal should they desire.</w:t>
      </w:r>
    </w:p>
    <w:p w14:paraId="37DE74BE" w14:textId="21B464AD" w:rsidR="00AD4312" w:rsidRDefault="00AD4312" w:rsidP="00AD4312">
      <w:pPr>
        <w:rPr>
          <w:lang w:eastAsia="en-AU"/>
        </w:rPr>
      </w:pPr>
      <w:r>
        <w:rPr>
          <w:lang w:eastAsia="en-AU"/>
        </w:rPr>
        <w:t>Parents will be informed that students who have been accepted into a school outside their priority enrolment area are not guaranteed subsequent enrolment in the primary, middle or senior school in that priority enrolment area.</w:t>
      </w:r>
    </w:p>
    <w:p w14:paraId="20870CFA" w14:textId="7B6472FF" w:rsidR="00AD4312" w:rsidRDefault="00AD4312" w:rsidP="00AD4312">
      <w:pPr>
        <w:pStyle w:val="Heading3"/>
      </w:pPr>
      <w:bookmarkStart w:id="8" w:name="_Toc133487618"/>
      <w:r>
        <w:t>Appeals</w:t>
      </w:r>
      <w:bookmarkEnd w:id="8"/>
    </w:p>
    <w:p w14:paraId="2FA10536" w14:textId="710683BE" w:rsidR="00AD4312" w:rsidRDefault="00AD4312" w:rsidP="00AD4312">
      <w:pPr>
        <w:rPr>
          <w:lang w:eastAsia="en-AU"/>
        </w:rPr>
      </w:pPr>
      <w:r>
        <w:rPr>
          <w:lang w:eastAsia="en-AU"/>
        </w:rPr>
        <w:t>Parents may appeal a principal’s decision to not accept their child into an out</w:t>
      </w:r>
      <w:r w:rsidR="00933DC0">
        <w:rPr>
          <w:lang w:eastAsia="en-AU"/>
        </w:rPr>
        <w:t xml:space="preserve"> </w:t>
      </w:r>
      <w:r>
        <w:rPr>
          <w:lang w:eastAsia="en-AU"/>
        </w:rPr>
        <w:t>of</w:t>
      </w:r>
      <w:r w:rsidR="00933DC0">
        <w:rPr>
          <w:lang w:eastAsia="en-AU"/>
        </w:rPr>
        <w:t xml:space="preserve"> </w:t>
      </w:r>
      <w:r>
        <w:rPr>
          <w:lang w:eastAsia="en-AU"/>
        </w:rPr>
        <w:t xml:space="preserve">priority enrolment area school. Parents should provide claims against the criteria underpinning the principal’s decision or outlined in the school’s Enrolment </w:t>
      </w:r>
      <w:r w:rsidR="00DB078D">
        <w:rPr>
          <w:lang w:eastAsia="en-AU"/>
        </w:rPr>
        <w:t>m</w:t>
      </w:r>
      <w:r>
        <w:rPr>
          <w:lang w:eastAsia="en-AU"/>
        </w:rPr>
        <w:t xml:space="preserve">anagement </w:t>
      </w:r>
      <w:r w:rsidR="00DB078D">
        <w:rPr>
          <w:lang w:eastAsia="en-AU"/>
        </w:rPr>
        <w:t>p</w:t>
      </w:r>
      <w:r>
        <w:rPr>
          <w:lang w:eastAsia="en-AU"/>
        </w:rPr>
        <w:t>lan supporting their case for enrolment.</w:t>
      </w:r>
    </w:p>
    <w:p w14:paraId="0A98C27A" w14:textId="21F8F853" w:rsidR="00AD4312" w:rsidRDefault="00AD4312" w:rsidP="00AD4312">
      <w:pPr>
        <w:rPr>
          <w:lang w:eastAsia="en-AU"/>
        </w:rPr>
      </w:pPr>
      <w:r>
        <w:rPr>
          <w:lang w:eastAsia="en-AU"/>
        </w:rPr>
        <w:t xml:space="preserve">The appeal should be lodged with the relevant </w:t>
      </w:r>
      <w:r w:rsidR="000539D0">
        <w:rPr>
          <w:lang w:eastAsia="en-AU"/>
        </w:rPr>
        <w:t xml:space="preserve">Senior </w:t>
      </w:r>
      <w:r>
        <w:rPr>
          <w:lang w:eastAsia="en-AU"/>
        </w:rPr>
        <w:t>Director</w:t>
      </w:r>
      <w:r w:rsidR="00DB078D">
        <w:rPr>
          <w:lang w:eastAsia="en-AU"/>
        </w:rPr>
        <w:t xml:space="preserve"> Education</w:t>
      </w:r>
      <w:r>
        <w:rPr>
          <w:lang w:eastAsia="en-AU"/>
        </w:rPr>
        <w:t xml:space="preserve"> within 10 working days of the decision being made by the principal.</w:t>
      </w:r>
    </w:p>
    <w:p w14:paraId="6868474B" w14:textId="294AF763" w:rsidR="00AD4312" w:rsidRDefault="00AD4312" w:rsidP="00AD4312">
      <w:pPr>
        <w:rPr>
          <w:lang w:eastAsia="en-AU"/>
        </w:rPr>
      </w:pPr>
      <w:r>
        <w:rPr>
          <w:lang w:eastAsia="en-AU"/>
        </w:rPr>
        <w:t xml:space="preserve">The </w:t>
      </w:r>
      <w:r w:rsidR="000539D0">
        <w:rPr>
          <w:lang w:eastAsia="en-AU"/>
        </w:rPr>
        <w:t xml:space="preserve">Senior </w:t>
      </w:r>
      <w:r>
        <w:rPr>
          <w:lang w:eastAsia="en-AU"/>
        </w:rPr>
        <w:t>Director</w:t>
      </w:r>
      <w:r w:rsidR="00DB078D">
        <w:rPr>
          <w:lang w:eastAsia="en-AU"/>
        </w:rPr>
        <w:t xml:space="preserve"> Education</w:t>
      </w:r>
      <w:r>
        <w:rPr>
          <w:lang w:eastAsia="en-AU"/>
        </w:rPr>
        <w:t xml:space="preserve"> will review the decision to determine whether, in the first instance, there is capacity available at that school, and secondly, that the stated criteria contained in the school’s Enrolment </w:t>
      </w:r>
      <w:r w:rsidR="00DB078D">
        <w:rPr>
          <w:lang w:eastAsia="en-AU"/>
        </w:rPr>
        <w:t>m</w:t>
      </w:r>
      <w:r>
        <w:rPr>
          <w:lang w:eastAsia="en-AU"/>
        </w:rPr>
        <w:t xml:space="preserve">anagement </w:t>
      </w:r>
      <w:r w:rsidR="00DB078D">
        <w:rPr>
          <w:lang w:eastAsia="en-AU"/>
        </w:rPr>
        <w:t>p</w:t>
      </w:r>
      <w:r>
        <w:rPr>
          <w:lang w:eastAsia="en-AU"/>
        </w:rPr>
        <w:t>lan have been applied fairly.</w:t>
      </w:r>
    </w:p>
    <w:p w14:paraId="78D5821F" w14:textId="5DD7EDB1" w:rsidR="00AD4312" w:rsidRDefault="00AD4312" w:rsidP="00AD4312">
      <w:pPr>
        <w:rPr>
          <w:lang w:eastAsia="en-AU"/>
        </w:rPr>
      </w:pPr>
      <w:r>
        <w:rPr>
          <w:lang w:eastAsia="en-AU"/>
        </w:rPr>
        <w:t xml:space="preserve">The </w:t>
      </w:r>
      <w:r w:rsidR="000539D0">
        <w:rPr>
          <w:lang w:eastAsia="en-AU"/>
        </w:rPr>
        <w:t xml:space="preserve">Senior </w:t>
      </w:r>
      <w:r>
        <w:rPr>
          <w:lang w:eastAsia="en-AU"/>
        </w:rPr>
        <w:t>Director</w:t>
      </w:r>
      <w:r w:rsidR="00DB078D">
        <w:rPr>
          <w:lang w:eastAsia="en-AU"/>
        </w:rPr>
        <w:t xml:space="preserve"> Education</w:t>
      </w:r>
      <w:r>
        <w:rPr>
          <w:lang w:eastAsia="en-AU"/>
        </w:rPr>
        <w:t xml:space="preserve"> must give reasons for their decision in writing. The decision of the </w:t>
      </w:r>
      <w:r w:rsidR="000539D0">
        <w:rPr>
          <w:lang w:eastAsia="en-AU"/>
        </w:rPr>
        <w:t xml:space="preserve">Senior </w:t>
      </w:r>
      <w:r>
        <w:rPr>
          <w:lang w:eastAsia="en-AU"/>
        </w:rPr>
        <w:t>Director</w:t>
      </w:r>
      <w:r w:rsidR="00DB078D">
        <w:rPr>
          <w:lang w:eastAsia="en-AU"/>
        </w:rPr>
        <w:t xml:space="preserve"> Education</w:t>
      </w:r>
      <w:r>
        <w:rPr>
          <w:lang w:eastAsia="en-AU"/>
        </w:rPr>
        <w:t xml:space="preserve"> is final.</w:t>
      </w:r>
    </w:p>
    <w:p w14:paraId="3FC68F65" w14:textId="75A617AA" w:rsidR="00D8219B" w:rsidRDefault="00D8219B" w:rsidP="00D8219B">
      <w:pPr>
        <w:spacing w:after="0"/>
        <w:rPr>
          <w:lang w:eastAsia="en-AU"/>
        </w:rPr>
      </w:pPr>
      <w:r>
        <w:rPr>
          <w:lang w:eastAsia="en-AU"/>
        </w:rPr>
        <w:br w:type="page"/>
      </w:r>
    </w:p>
    <w:p w14:paraId="7D30175E" w14:textId="6CBA35D8" w:rsidR="00AD4312" w:rsidRDefault="00AD4312" w:rsidP="00AD4312">
      <w:pPr>
        <w:pStyle w:val="Heading2"/>
      </w:pPr>
      <w:bookmarkStart w:id="9" w:name="_Toc133487619"/>
      <w:r>
        <w:t>Enrolment management</w:t>
      </w:r>
      <w:bookmarkEnd w:id="9"/>
    </w:p>
    <w:p w14:paraId="3EB0800D" w14:textId="44368663" w:rsidR="00AD4312" w:rsidRDefault="00AD4312" w:rsidP="00AD4312">
      <w:pPr>
        <w:pStyle w:val="Heading3"/>
      </w:pPr>
      <w:bookmarkStart w:id="10" w:name="_Toc133487620"/>
      <w:r>
        <w:t>Enrolment management</w:t>
      </w:r>
      <w:bookmarkEnd w:id="10"/>
    </w:p>
    <w:p w14:paraId="1753A543" w14:textId="77777777" w:rsidR="00AD4312" w:rsidRDefault="00AD4312" w:rsidP="00E75F40">
      <w:pPr>
        <w:spacing w:after="120"/>
        <w:rPr>
          <w:lang w:eastAsia="en-AU"/>
        </w:rPr>
      </w:pPr>
      <w:r>
        <w:rPr>
          <w:lang w:eastAsia="en-AU"/>
        </w:rPr>
        <w:t>All schools must manage enrolments to ensure sufficient operational capacity is available for eligible students who live within the priority enrolment area. Enrolment management strategies that schools will employ on an ongoing basis include:</w:t>
      </w:r>
    </w:p>
    <w:p w14:paraId="7EF7C55E" w14:textId="53FF05CF" w:rsidR="00AD4312" w:rsidRDefault="00AD4312" w:rsidP="00E75F40">
      <w:pPr>
        <w:pStyle w:val="ListParagraph"/>
        <w:numPr>
          <w:ilvl w:val="0"/>
          <w:numId w:val="15"/>
        </w:numPr>
        <w:ind w:left="567" w:hanging="283"/>
        <w:rPr>
          <w:lang w:eastAsia="en-AU"/>
        </w:rPr>
      </w:pPr>
      <w:r>
        <w:rPr>
          <w:lang w:eastAsia="en-AU"/>
        </w:rPr>
        <w:t>ensuring an even distribution of students across all year levels while maintaining class size targets</w:t>
      </w:r>
    </w:p>
    <w:p w14:paraId="025B92AD" w14:textId="2A1EE3D7" w:rsidR="00AD4312" w:rsidRDefault="00AD4312" w:rsidP="00E75F40">
      <w:pPr>
        <w:pStyle w:val="ListParagraph"/>
        <w:numPr>
          <w:ilvl w:val="0"/>
          <w:numId w:val="15"/>
        </w:numPr>
        <w:ind w:left="567" w:hanging="283"/>
        <w:rPr>
          <w:lang w:eastAsia="en-AU"/>
        </w:rPr>
      </w:pPr>
      <w:r>
        <w:rPr>
          <w:lang w:eastAsia="en-AU"/>
        </w:rPr>
        <w:t>ensuring that the starting cohort of enrolment numbers</w:t>
      </w:r>
      <w:r w:rsidR="00E55075">
        <w:rPr>
          <w:lang w:eastAsia="en-AU"/>
        </w:rPr>
        <w:t>,</w:t>
      </w:r>
      <w:r>
        <w:rPr>
          <w:lang w:eastAsia="en-AU"/>
        </w:rPr>
        <w:t xml:space="preserve"> </w:t>
      </w:r>
      <w:r w:rsidR="00E55075">
        <w:rPr>
          <w:lang w:eastAsia="en-AU"/>
        </w:rPr>
        <w:t>such as</w:t>
      </w:r>
      <w:r>
        <w:rPr>
          <w:lang w:eastAsia="en-AU"/>
        </w:rPr>
        <w:t xml:space="preserve"> preschool or </w:t>
      </w:r>
      <w:r w:rsidR="00CD3F6F">
        <w:rPr>
          <w:lang w:eastAsia="en-AU"/>
        </w:rPr>
        <w:t>t</w:t>
      </w:r>
      <w:r>
        <w:rPr>
          <w:lang w:eastAsia="en-AU"/>
        </w:rPr>
        <w:t>ransition enrolments</w:t>
      </w:r>
      <w:r w:rsidR="00E55075">
        <w:rPr>
          <w:lang w:eastAsia="en-AU"/>
        </w:rPr>
        <w:t>,</w:t>
      </w:r>
      <w:r>
        <w:rPr>
          <w:lang w:eastAsia="en-AU"/>
        </w:rPr>
        <w:t xml:space="preserve"> do not increase to the extent that the overall capacity of the school is exceeded for the life of the cohort</w:t>
      </w:r>
    </w:p>
    <w:p w14:paraId="0E169D24" w14:textId="7E1769FF" w:rsidR="00AD4312" w:rsidRDefault="00AD4312" w:rsidP="00E75F40">
      <w:pPr>
        <w:pStyle w:val="ListParagraph"/>
        <w:numPr>
          <w:ilvl w:val="0"/>
          <w:numId w:val="15"/>
        </w:numPr>
        <w:ind w:left="567" w:hanging="283"/>
        <w:rPr>
          <w:lang w:eastAsia="en-AU"/>
        </w:rPr>
      </w:pPr>
      <w:r>
        <w:rPr>
          <w:lang w:eastAsia="en-AU"/>
        </w:rPr>
        <w:t>assessing infrastructure capacity and manag</w:t>
      </w:r>
      <w:r w:rsidR="00451786">
        <w:rPr>
          <w:lang w:eastAsia="en-AU"/>
        </w:rPr>
        <w:t>ing</w:t>
      </w:r>
      <w:r>
        <w:rPr>
          <w:lang w:eastAsia="en-AU"/>
        </w:rPr>
        <w:t xml:space="preserve"> processes to acquire necessary resources and facilities to accommodate eligible students</w:t>
      </w:r>
    </w:p>
    <w:p w14:paraId="14971A97" w14:textId="623D132E" w:rsidR="00AD4312" w:rsidRDefault="00AD4312" w:rsidP="00E75F40">
      <w:pPr>
        <w:pStyle w:val="ListParagraph"/>
        <w:numPr>
          <w:ilvl w:val="0"/>
          <w:numId w:val="15"/>
        </w:numPr>
        <w:ind w:left="567" w:hanging="283"/>
        <w:rPr>
          <w:lang w:eastAsia="en-AU"/>
        </w:rPr>
      </w:pPr>
      <w:r>
        <w:rPr>
          <w:lang w:eastAsia="en-AU"/>
        </w:rPr>
        <w:t>maintaining accurate and complete enrolment records and data</w:t>
      </w:r>
      <w:r w:rsidR="00E75F40">
        <w:rPr>
          <w:lang w:eastAsia="en-AU"/>
        </w:rPr>
        <w:t>,</w:t>
      </w:r>
      <w:r w:rsidR="00E55075">
        <w:rPr>
          <w:lang w:eastAsia="en-AU"/>
        </w:rPr>
        <w:t xml:space="preserve"> </w:t>
      </w:r>
      <w:r>
        <w:rPr>
          <w:lang w:eastAsia="en-AU"/>
        </w:rPr>
        <w:t>refer to the Enrolment procedures</w:t>
      </w:r>
    </w:p>
    <w:p w14:paraId="7ACE5A34" w14:textId="14FB7475" w:rsidR="00AD4312" w:rsidRDefault="00AD4312" w:rsidP="00E75F40">
      <w:pPr>
        <w:pStyle w:val="ListParagraph"/>
        <w:numPr>
          <w:ilvl w:val="0"/>
          <w:numId w:val="15"/>
        </w:numPr>
        <w:spacing w:after="200"/>
        <w:ind w:left="567" w:hanging="283"/>
        <w:rPr>
          <w:lang w:eastAsia="en-AU"/>
        </w:rPr>
      </w:pPr>
      <w:r>
        <w:rPr>
          <w:lang w:eastAsia="en-AU"/>
        </w:rPr>
        <w:t>monitoring enrolment trends and subject</w:t>
      </w:r>
      <w:r w:rsidR="00E55075">
        <w:rPr>
          <w:lang w:eastAsia="en-AU"/>
        </w:rPr>
        <w:t xml:space="preserve"> or </w:t>
      </w:r>
      <w:r>
        <w:rPr>
          <w:lang w:eastAsia="en-AU"/>
        </w:rPr>
        <w:t>curriculum demands in the school.</w:t>
      </w:r>
    </w:p>
    <w:p w14:paraId="2B19ACF4" w14:textId="255E69E5" w:rsidR="00AD4312" w:rsidRDefault="00AD4312" w:rsidP="00AD4312">
      <w:pPr>
        <w:pStyle w:val="Heading3"/>
      </w:pPr>
      <w:bookmarkStart w:id="11" w:name="_Toc133487621"/>
      <w:r>
        <w:t>Enrolment management plan</w:t>
      </w:r>
      <w:bookmarkEnd w:id="11"/>
    </w:p>
    <w:p w14:paraId="010D4590" w14:textId="5C15AD57" w:rsidR="00AD4312" w:rsidRDefault="00AD4312" w:rsidP="00AD4312">
      <w:pPr>
        <w:rPr>
          <w:lang w:eastAsia="en-AU"/>
        </w:rPr>
      </w:pPr>
      <w:r>
        <w:rPr>
          <w:lang w:eastAsia="en-AU"/>
        </w:rPr>
        <w:t xml:space="preserve">Where a school is approaching or has reached </w:t>
      </w:r>
      <w:r w:rsidR="00E55075">
        <w:rPr>
          <w:lang w:eastAsia="en-AU"/>
        </w:rPr>
        <w:t>85%</w:t>
      </w:r>
      <w:r>
        <w:rPr>
          <w:lang w:eastAsia="en-AU"/>
        </w:rPr>
        <w:t xml:space="preserve"> of its operational capacity</w:t>
      </w:r>
      <w:r w:rsidR="00451786">
        <w:rPr>
          <w:lang w:eastAsia="en-AU"/>
        </w:rPr>
        <w:t>,</w:t>
      </w:r>
      <w:r>
        <w:rPr>
          <w:lang w:eastAsia="en-AU"/>
        </w:rPr>
        <w:t xml:space="preserve"> the principal must advise </w:t>
      </w:r>
      <w:r w:rsidR="00451786">
        <w:rPr>
          <w:lang w:eastAsia="en-AU"/>
        </w:rPr>
        <w:t xml:space="preserve">their </w:t>
      </w:r>
      <w:r w:rsidR="000539D0">
        <w:rPr>
          <w:lang w:eastAsia="en-AU"/>
        </w:rPr>
        <w:t xml:space="preserve">Senior </w:t>
      </w:r>
      <w:r>
        <w:rPr>
          <w:lang w:eastAsia="en-AU"/>
        </w:rPr>
        <w:t>Director</w:t>
      </w:r>
      <w:r w:rsidR="000539D0">
        <w:rPr>
          <w:lang w:eastAsia="en-AU"/>
        </w:rPr>
        <w:t xml:space="preserve"> Education</w:t>
      </w:r>
      <w:r>
        <w:rPr>
          <w:lang w:eastAsia="en-AU"/>
        </w:rPr>
        <w:t xml:space="preserve"> and develop an Enrolment </w:t>
      </w:r>
      <w:r w:rsidR="00DB078D">
        <w:rPr>
          <w:lang w:eastAsia="en-AU"/>
        </w:rPr>
        <w:t>m</w:t>
      </w:r>
      <w:r>
        <w:rPr>
          <w:lang w:eastAsia="en-AU"/>
        </w:rPr>
        <w:t xml:space="preserve">anagement </w:t>
      </w:r>
      <w:r w:rsidR="00DB078D">
        <w:rPr>
          <w:lang w:eastAsia="en-AU"/>
        </w:rPr>
        <w:t>p</w:t>
      </w:r>
      <w:r>
        <w:rPr>
          <w:lang w:eastAsia="en-AU"/>
        </w:rPr>
        <w:t>lan within 10 working days.</w:t>
      </w:r>
    </w:p>
    <w:p w14:paraId="29343BA9" w14:textId="3EB51020" w:rsidR="00AD4312" w:rsidRDefault="00AD4312" w:rsidP="00AD4312">
      <w:pPr>
        <w:rPr>
          <w:lang w:eastAsia="en-AU"/>
        </w:rPr>
      </w:pPr>
      <w:r>
        <w:rPr>
          <w:lang w:eastAsia="en-AU"/>
        </w:rPr>
        <w:t>Alternatively, the Infrastructure</w:t>
      </w:r>
      <w:r w:rsidR="00CD3F6F">
        <w:rPr>
          <w:lang w:eastAsia="en-AU"/>
        </w:rPr>
        <w:t xml:space="preserve"> Planning and Investments</w:t>
      </w:r>
      <w:r>
        <w:rPr>
          <w:lang w:eastAsia="en-AU"/>
        </w:rPr>
        <w:t xml:space="preserve"> business unit may recognise that a school is approaching its operational capacity and request through the</w:t>
      </w:r>
      <w:r w:rsidR="000539D0">
        <w:rPr>
          <w:lang w:eastAsia="en-AU"/>
        </w:rPr>
        <w:t xml:space="preserve"> Senior</w:t>
      </w:r>
      <w:r>
        <w:rPr>
          <w:lang w:eastAsia="en-AU"/>
        </w:rPr>
        <w:t xml:space="preserve"> Director</w:t>
      </w:r>
      <w:r w:rsidR="000539D0">
        <w:rPr>
          <w:lang w:eastAsia="en-AU"/>
        </w:rPr>
        <w:t xml:space="preserve"> Education</w:t>
      </w:r>
      <w:r>
        <w:rPr>
          <w:lang w:eastAsia="en-AU"/>
        </w:rPr>
        <w:t xml:space="preserve"> that the school develop an Enrolment </w:t>
      </w:r>
      <w:r w:rsidR="00DB078D">
        <w:rPr>
          <w:lang w:eastAsia="en-AU"/>
        </w:rPr>
        <w:t>m</w:t>
      </w:r>
      <w:r>
        <w:rPr>
          <w:lang w:eastAsia="en-AU"/>
        </w:rPr>
        <w:t xml:space="preserve">anagement </w:t>
      </w:r>
      <w:r w:rsidR="00DB078D">
        <w:rPr>
          <w:lang w:eastAsia="en-AU"/>
        </w:rPr>
        <w:t>p</w:t>
      </w:r>
      <w:r>
        <w:rPr>
          <w:lang w:eastAsia="en-AU"/>
        </w:rPr>
        <w:t>lan.</w:t>
      </w:r>
    </w:p>
    <w:p w14:paraId="53E17C9D" w14:textId="66475BB0" w:rsidR="00AD4312" w:rsidRDefault="00AD4312" w:rsidP="00E75F40">
      <w:pPr>
        <w:spacing w:after="120"/>
        <w:rPr>
          <w:lang w:eastAsia="en-AU"/>
        </w:rPr>
      </w:pPr>
      <w:r>
        <w:rPr>
          <w:lang w:eastAsia="en-AU"/>
        </w:rPr>
        <w:t xml:space="preserve">The Enrolment </w:t>
      </w:r>
      <w:r w:rsidR="00DB078D">
        <w:rPr>
          <w:lang w:eastAsia="en-AU"/>
        </w:rPr>
        <w:t>m</w:t>
      </w:r>
      <w:r>
        <w:rPr>
          <w:lang w:eastAsia="en-AU"/>
        </w:rPr>
        <w:t xml:space="preserve">anagement </w:t>
      </w:r>
      <w:r w:rsidR="00DB078D">
        <w:rPr>
          <w:lang w:eastAsia="en-AU"/>
        </w:rPr>
        <w:t>p</w:t>
      </w:r>
      <w:r>
        <w:rPr>
          <w:lang w:eastAsia="en-AU"/>
        </w:rPr>
        <w:t>lan will outline:</w:t>
      </w:r>
    </w:p>
    <w:p w14:paraId="0C76720C" w14:textId="14773364" w:rsidR="00AD4312" w:rsidRDefault="00AD4312" w:rsidP="007F40F1">
      <w:pPr>
        <w:pStyle w:val="ListParagraph"/>
        <w:numPr>
          <w:ilvl w:val="0"/>
          <w:numId w:val="15"/>
        </w:numPr>
        <w:ind w:left="567" w:hanging="283"/>
        <w:rPr>
          <w:lang w:eastAsia="en-AU"/>
        </w:rPr>
      </w:pPr>
      <w:r>
        <w:rPr>
          <w:lang w:eastAsia="en-AU"/>
        </w:rPr>
        <w:t>the school’s priority enrolment area</w:t>
      </w:r>
    </w:p>
    <w:p w14:paraId="3701F620" w14:textId="737CE4D8" w:rsidR="00AD4312" w:rsidRDefault="00AD4312" w:rsidP="007F40F1">
      <w:pPr>
        <w:pStyle w:val="ListParagraph"/>
        <w:numPr>
          <w:ilvl w:val="0"/>
          <w:numId w:val="15"/>
        </w:numPr>
        <w:ind w:left="567" w:hanging="283"/>
        <w:rPr>
          <w:lang w:eastAsia="en-AU"/>
        </w:rPr>
      </w:pPr>
      <w:r>
        <w:rPr>
          <w:lang w:eastAsia="en-AU"/>
        </w:rPr>
        <w:t>the school’s enrolment statistics, including the number of enrolled students residing within and outside of the school’s priority enrolment area</w:t>
      </w:r>
    </w:p>
    <w:p w14:paraId="614BF334" w14:textId="14F994BA" w:rsidR="00AD4312" w:rsidRDefault="00AD4312" w:rsidP="007F40F1">
      <w:pPr>
        <w:pStyle w:val="ListParagraph"/>
        <w:numPr>
          <w:ilvl w:val="0"/>
          <w:numId w:val="15"/>
        </w:numPr>
        <w:ind w:left="567" w:hanging="283"/>
        <w:rPr>
          <w:lang w:eastAsia="en-AU"/>
        </w:rPr>
      </w:pPr>
      <w:r>
        <w:rPr>
          <w:lang w:eastAsia="en-AU"/>
        </w:rPr>
        <w:t>specialised programs delivered by the school, their current capacity for enrolments, and the criteria for accepting students into the programs</w:t>
      </w:r>
    </w:p>
    <w:p w14:paraId="39BDF9F7" w14:textId="63360169" w:rsidR="00AD4312" w:rsidRDefault="00AD4312" w:rsidP="007F40F1">
      <w:pPr>
        <w:pStyle w:val="ListParagraph"/>
        <w:numPr>
          <w:ilvl w:val="0"/>
          <w:numId w:val="15"/>
        </w:numPr>
        <w:ind w:left="567" w:hanging="283"/>
        <w:rPr>
          <w:lang w:eastAsia="en-AU"/>
        </w:rPr>
      </w:pPr>
      <w:r>
        <w:rPr>
          <w:lang w:eastAsia="en-AU"/>
        </w:rPr>
        <w:t>the criteria for assessing out</w:t>
      </w:r>
      <w:r w:rsidR="007F40F1">
        <w:rPr>
          <w:lang w:eastAsia="en-AU"/>
        </w:rPr>
        <w:t xml:space="preserve"> </w:t>
      </w:r>
      <w:r>
        <w:rPr>
          <w:lang w:eastAsia="en-AU"/>
        </w:rPr>
        <w:t>of</w:t>
      </w:r>
      <w:r w:rsidR="007F40F1">
        <w:rPr>
          <w:lang w:eastAsia="en-AU"/>
        </w:rPr>
        <w:t xml:space="preserve"> </w:t>
      </w:r>
      <w:r>
        <w:rPr>
          <w:lang w:eastAsia="en-AU"/>
        </w:rPr>
        <w:t>priority area enrolment applications</w:t>
      </w:r>
    </w:p>
    <w:p w14:paraId="482B5E09" w14:textId="01FD4183" w:rsidR="00AD4312" w:rsidRDefault="00AD4312" w:rsidP="007F40F1">
      <w:pPr>
        <w:pStyle w:val="ListParagraph"/>
        <w:numPr>
          <w:ilvl w:val="0"/>
          <w:numId w:val="15"/>
        </w:numPr>
        <w:ind w:left="567" w:hanging="283"/>
        <w:rPr>
          <w:lang w:eastAsia="en-AU"/>
        </w:rPr>
      </w:pPr>
      <w:r>
        <w:rPr>
          <w:lang w:eastAsia="en-AU"/>
        </w:rPr>
        <w:t>the school’s contingency for priority enrolment area students. This must be a minimum of 5% of the school’s operational capacity and will be based on historical data, enrolment fluctuations and projected population trends. Places in the contingency are not to be offered to out</w:t>
      </w:r>
      <w:r w:rsidR="007F40F1">
        <w:rPr>
          <w:lang w:eastAsia="en-AU"/>
        </w:rPr>
        <w:t xml:space="preserve"> </w:t>
      </w:r>
      <w:r>
        <w:rPr>
          <w:lang w:eastAsia="en-AU"/>
        </w:rPr>
        <w:t>of</w:t>
      </w:r>
      <w:r w:rsidR="007F40F1">
        <w:rPr>
          <w:lang w:eastAsia="en-AU"/>
        </w:rPr>
        <w:t xml:space="preserve"> </w:t>
      </w:r>
      <w:r>
        <w:rPr>
          <w:lang w:eastAsia="en-AU"/>
        </w:rPr>
        <w:t>priority enrolment area students with the exception of:</w:t>
      </w:r>
    </w:p>
    <w:p w14:paraId="42C348ED" w14:textId="5D28E897" w:rsidR="00AD4312" w:rsidRDefault="00AD4312" w:rsidP="007F40F1">
      <w:pPr>
        <w:pStyle w:val="ListParagraph"/>
        <w:numPr>
          <w:ilvl w:val="0"/>
          <w:numId w:val="33"/>
        </w:numPr>
        <w:ind w:left="851" w:hanging="283"/>
        <w:rPr>
          <w:lang w:eastAsia="en-AU"/>
        </w:rPr>
      </w:pPr>
      <w:r>
        <w:rPr>
          <w:lang w:eastAsia="en-AU"/>
        </w:rPr>
        <w:t>the siblings of students with disabilities who are attending a</w:t>
      </w:r>
      <w:r w:rsidR="00A8610B">
        <w:rPr>
          <w:lang w:eastAsia="en-AU"/>
        </w:rPr>
        <w:t xml:space="preserve">n Inclusive </w:t>
      </w:r>
      <w:r w:rsidR="002D15FA">
        <w:rPr>
          <w:lang w:eastAsia="en-AU"/>
        </w:rPr>
        <w:t>C</w:t>
      </w:r>
      <w:r w:rsidR="00A8610B">
        <w:rPr>
          <w:lang w:eastAsia="en-AU"/>
        </w:rPr>
        <w:t xml:space="preserve">entre or </w:t>
      </w:r>
      <w:r w:rsidR="00183BA4">
        <w:rPr>
          <w:lang w:eastAsia="en-AU"/>
        </w:rPr>
        <w:t>a</w:t>
      </w:r>
      <w:r w:rsidR="00A8610B">
        <w:rPr>
          <w:lang w:eastAsia="en-AU"/>
        </w:rPr>
        <w:t>nnexe</w:t>
      </w:r>
      <w:r>
        <w:rPr>
          <w:lang w:eastAsia="en-AU"/>
        </w:rPr>
        <w:t xml:space="preserve"> at the school as there is no such facility in the student’s priority enrolment area</w:t>
      </w:r>
      <w:r w:rsidR="007F40F1">
        <w:rPr>
          <w:lang w:eastAsia="en-AU"/>
        </w:rPr>
        <w:t>,</w:t>
      </w:r>
      <w:r w:rsidR="00E55075">
        <w:rPr>
          <w:lang w:eastAsia="en-AU"/>
        </w:rPr>
        <w:t xml:space="preserve"> </w:t>
      </w:r>
      <w:r>
        <w:rPr>
          <w:lang w:eastAsia="en-AU"/>
        </w:rPr>
        <w:t>refer to the Disability Standards for Education</w:t>
      </w:r>
      <w:r w:rsidR="00E55075">
        <w:rPr>
          <w:lang w:eastAsia="en-AU"/>
        </w:rPr>
        <w:t xml:space="preserve"> 2005</w:t>
      </w:r>
      <w:r w:rsidR="00C80EE0">
        <w:rPr>
          <w:lang w:eastAsia="en-AU"/>
        </w:rPr>
        <w:t xml:space="preserve"> (</w:t>
      </w:r>
      <w:proofErr w:type="spellStart"/>
      <w:r w:rsidR="00C80EE0">
        <w:rPr>
          <w:lang w:eastAsia="en-AU"/>
        </w:rPr>
        <w:t>Cth</w:t>
      </w:r>
      <w:proofErr w:type="spellEnd"/>
      <w:r w:rsidR="00C80EE0">
        <w:rPr>
          <w:lang w:eastAsia="en-AU"/>
        </w:rPr>
        <w:t>)</w:t>
      </w:r>
    </w:p>
    <w:p w14:paraId="58D174C7" w14:textId="234AE200" w:rsidR="00AD4312" w:rsidRDefault="00AD4312" w:rsidP="007F40F1">
      <w:pPr>
        <w:pStyle w:val="ListParagraph"/>
        <w:numPr>
          <w:ilvl w:val="0"/>
          <w:numId w:val="33"/>
        </w:numPr>
        <w:ind w:left="851" w:hanging="283"/>
        <w:rPr>
          <w:lang w:eastAsia="en-AU"/>
        </w:rPr>
      </w:pPr>
      <w:r>
        <w:rPr>
          <w:lang w:eastAsia="en-AU"/>
        </w:rPr>
        <w:t xml:space="preserve">exceptional circumstances evaluated on a </w:t>
      </w:r>
      <w:r w:rsidR="004D33F0">
        <w:rPr>
          <w:lang w:eastAsia="en-AU"/>
        </w:rPr>
        <w:t>case</w:t>
      </w:r>
      <w:r w:rsidR="007F40F1">
        <w:rPr>
          <w:lang w:eastAsia="en-AU"/>
        </w:rPr>
        <w:t xml:space="preserve"> </w:t>
      </w:r>
      <w:r w:rsidR="004D33F0">
        <w:rPr>
          <w:lang w:eastAsia="en-AU"/>
        </w:rPr>
        <w:t>by</w:t>
      </w:r>
      <w:r w:rsidR="007F40F1">
        <w:rPr>
          <w:lang w:eastAsia="en-AU"/>
        </w:rPr>
        <w:t xml:space="preserve"> </w:t>
      </w:r>
      <w:r w:rsidR="004D33F0">
        <w:rPr>
          <w:lang w:eastAsia="en-AU"/>
        </w:rPr>
        <w:t>case</w:t>
      </w:r>
      <w:r>
        <w:rPr>
          <w:lang w:eastAsia="en-AU"/>
        </w:rPr>
        <w:t xml:space="preserve"> basis</w:t>
      </w:r>
    </w:p>
    <w:p w14:paraId="7679D779" w14:textId="0113A488" w:rsidR="00AD4312" w:rsidRDefault="00AD4312" w:rsidP="007F40F1">
      <w:pPr>
        <w:pStyle w:val="ListParagraph"/>
        <w:numPr>
          <w:ilvl w:val="0"/>
          <w:numId w:val="15"/>
        </w:numPr>
        <w:ind w:left="567" w:hanging="283"/>
        <w:rPr>
          <w:lang w:eastAsia="en-AU"/>
        </w:rPr>
      </w:pPr>
      <w:r>
        <w:rPr>
          <w:lang w:eastAsia="en-AU"/>
        </w:rPr>
        <w:t>additional enrolment management strategies to be applied by the school</w:t>
      </w:r>
      <w:r w:rsidR="00183BA4">
        <w:rPr>
          <w:lang w:eastAsia="en-AU"/>
        </w:rPr>
        <w:t>,</w:t>
      </w:r>
      <w:r>
        <w:rPr>
          <w:lang w:eastAsia="en-AU"/>
        </w:rPr>
        <w:t xml:space="preserve"> which will include:</w:t>
      </w:r>
    </w:p>
    <w:p w14:paraId="3B4C2D5A" w14:textId="25E796AB" w:rsidR="00AD4312" w:rsidRDefault="00AD4312" w:rsidP="007F40F1">
      <w:pPr>
        <w:pStyle w:val="ListParagraph"/>
        <w:numPr>
          <w:ilvl w:val="0"/>
          <w:numId w:val="34"/>
        </w:numPr>
        <w:ind w:left="851" w:hanging="283"/>
        <w:rPr>
          <w:lang w:eastAsia="en-AU"/>
        </w:rPr>
      </w:pPr>
      <w:r>
        <w:rPr>
          <w:lang w:eastAsia="en-AU"/>
        </w:rPr>
        <w:t>strict adherence to the priority enrolment area assessment criteria for the acceptance of future enrolments</w:t>
      </w:r>
    </w:p>
    <w:p w14:paraId="74749ADA" w14:textId="791C7625" w:rsidR="00AD4312" w:rsidRDefault="00AD4312" w:rsidP="007F40F1">
      <w:pPr>
        <w:pStyle w:val="ListParagraph"/>
        <w:numPr>
          <w:ilvl w:val="0"/>
          <w:numId w:val="34"/>
        </w:numPr>
        <w:ind w:left="851" w:hanging="283"/>
        <w:rPr>
          <w:lang w:eastAsia="en-AU"/>
        </w:rPr>
      </w:pPr>
      <w:r>
        <w:rPr>
          <w:lang w:eastAsia="en-AU"/>
        </w:rPr>
        <w:t>a requirement that adequate proof of residence is provided with an application for enrolment</w:t>
      </w:r>
    </w:p>
    <w:p w14:paraId="38659023" w14:textId="37F32FEF" w:rsidR="00AD4312" w:rsidRDefault="00AD4312" w:rsidP="007F40F1">
      <w:pPr>
        <w:pStyle w:val="ListParagraph"/>
        <w:numPr>
          <w:ilvl w:val="0"/>
          <w:numId w:val="34"/>
        </w:numPr>
        <w:ind w:left="851" w:hanging="283"/>
        <w:rPr>
          <w:lang w:eastAsia="en-AU"/>
        </w:rPr>
      </w:pPr>
      <w:r>
        <w:rPr>
          <w:lang w:eastAsia="en-AU"/>
        </w:rPr>
        <w:t xml:space="preserve">advising families of </w:t>
      </w:r>
      <w:r w:rsidR="00183BA4">
        <w:rPr>
          <w:lang w:eastAsia="en-AU"/>
        </w:rPr>
        <w:t xml:space="preserve">accepted </w:t>
      </w:r>
      <w:r>
        <w:rPr>
          <w:lang w:eastAsia="en-AU"/>
        </w:rPr>
        <w:t xml:space="preserve">preschool students who reside outside of the priority enrolment area that, although their child attends the preschool, they may not be able to enrol in the </w:t>
      </w:r>
      <w:r w:rsidR="00183BA4">
        <w:rPr>
          <w:lang w:eastAsia="en-AU"/>
        </w:rPr>
        <w:t xml:space="preserve">primary </w:t>
      </w:r>
      <w:r>
        <w:rPr>
          <w:lang w:eastAsia="en-AU"/>
        </w:rPr>
        <w:t xml:space="preserve">school for </w:t>
      </w:r>
      <w:r w:rsidR="00CD3F6F">
        <w:rPr>
          <w:lang w:eastAsia="en-AU"/>
        </w:rPr>
        <w:t>t</w:t>
      </w:r>
      <w:r>
        <w:rPr>
          <w:lang w:eastAsia="en-AU"/>
        </w:rPr>
        <w:t>ransition and beyond</w:t>
      </w:r>
    </w:p>
    <w:p w14:paraId="5141F90E" w14:textId="264096EF" w:rsidR="00AD4312" w:rsidRDefault="00AD4312" w:rsidP="007F40F1">
      <w:pPr>
        <w:pStyle w:val="ListParagraph"/>
        <w:numPr>
          <w:ilvl w:val="0"/>
          <w:numId w:val="34"/>
        </w:numPr>
        <w:ind w:left="851" w:hanging="283"/>
        <w:rPr>
          <w:lang w:eastAsia="en-AU"/>
        </w:rPr>
      </w:pPr>
      <w:r>
        <w:rPr>
          <w:lang w:eastAsia="en-AU"/>
        </w:rPr>
        <w:t xml:space="preserve">increasing capacity through the utilisation of classroom space to maximise the use of available infrastructure. Consideration of sharing classroom space with other school facilities should be given, </w:t>
      </w:r>
      <w:r w:rsidR="00C80EE0">
        <w:rPr>
          <w:lang w:eastAsia="en-AU"/>
        </w:rPr>
        <w:t>such as</w:t>
      </w:r>
      <w:r w:rsidR="00183BA4">
        <w:rPr>
          <w:lang w:eastAsia="en-AU"/>
        </w:rPr>
        <w:t xml:space="preserve"> an</w:t>
      </w:r>
      <w:r>
        <w:rPr>
          <w:lang w:eastAsia="en-AU"/>
        </w:rPr>
        <w:t xml:space="preserve"> </w:t>
      </w:r>
      <w:r w:rsidR="00090E14">
        <w:rPr>
          <w:lang w:eastAsia="en-AU"/>
        </w:rPr>
        <w:t xml:space="preserve">outside school hours care </w:t>
      </w:r>
      <w:r>
        <w:rPr>
          <w:lang w:eastAsia="en-AU"/>
        </w:rPr>
        <w:t>service</w:t>
      </w:r>
      <w:r w:rsidR="00C80EE0">
        <w:rPr>
          <w:lang w:eastAsia="en-AU"/>
        </w:rPr>
        <w:t xml:space="preserve"> or a</w:t>
      </w:r>
      <w:r>
        <w:rPr>
          <w:lang w:eastAsia="en-AU"/>
        </w:rPr>
        <w:t xml:space="preserve"> dedicated music room, stage</w:t>
      </w:r>
      <w:r w:rsidR="00E55075">
        <w:rPr>
          <w:lang w:eastAsia="en-AU"/>
        </w:rPr>
        <w:t xml:space="preserve"> or </w:t>
      </w:r>
      <w:r>
        <w:rPr>
          <w:lang w:eastAsia="en-AU"/>
        </w:rPr>
        <w:t>drama area.</w:t>
      </w:r>
    </w:p>
    <w:p w14:paraId="7D3F4D30" w14:textId="28A7A555" w:rsidR="0065644F" w:rsidRDefault="002D15FA" w:rsidP="000A62AD">
      <w:pPr>
        <w:pStyle w:val="Heading4"/>
        <w:numPr>
          <w:ilvl w:val="0"/>
          <w:numId w:val="0"/>
        </w:numPr>
        <w:ind w:left="864" w:hanging="864"/>
      </w:pPr>
      <w:bookmarkStart w:id="12" w:name="_Toc133487622"/>
      <w:r w:rsidRPr="00CD7037">
        <w:rPr>
          <w:noProof/>
        </w:rPr>
        <w:drawing>
          <wp:anchor distT="0" distB="0" distL="114300" distR="114300" simplePos="0" relativeHeight="251658240" behindDoc="0" locked="0" layoutInCell="1" allowOverlap="1" wp14:anchorId="15E4D03E" wp14:editId="74B15C25">
            <wp:simplePos x="0" y="0"/>
            <wp:positionH relativeFrom="margin">
              <wp:posOffset>644738</wp:posOffset>
            </wp:positionH>
            <wp:positionV relativeFrom="paragraph">
              <wp:posOffset>375509</wp:posOffset>
            </wp:positionV>
            <wp:extent cx="5357495" cy="3128645"/>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7495" cy="312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44F">
        <w:t>Figure 1 – Summary of enrolment management requirements for schools</w:t>
      </w:r>
      <w:bookmarkEnd w:id="12"/>
    </w:p>
    <w:p w14:paraId="7A811D9E" w14:textId="12D409DB" w:rsidR="00AD4312" w:rsidRDefault="00AD4312" w:rsidP="00AD4312">
      <w:pPr>
        <w:rPr>
          <w:lang w:eastAsia="en-AU"/>
        </w:rPr>
      </w:pPr>
      <w:r>
        <w:rPr>
          <w:lang w:eastAsia="en-AU"/>
        </w:rPr>
        <w:t>The principal will work in conjunction with the</w:t>
      </w:r>
      <w:r w:rsidR="00183BA4">
        <w:rPr>
          <w:lang w:eastAsia="en-AU"/>
        </w:rPr>
        <w:t>ir</w:t>
      </w:r>
      <w:r>
        <w:rPr>
          <w:lang w:eastAsia="en-AU"/>
        </w:rPr>
        <w:t xml:space="preserve"> </w:t>
      </w:r>
      <w:r w:rsidR="000539D0">
        <w:rPr>
          <w:lang w:eastAsia="en-AU"/>
        </w:rPr>
        <w:t xml:space="preserve">Senior </w:t>
      </w:r>
      <w:r>
        <w:rPr>
          <w:lang w:eastAsia="en-AU"/>
        </w:rPr>
        <w:t>Director</w:t>
      </w:r>
      <w:r w:rsidR="002C34E5">
        <w:rPr>
          <w:lang w:eastAsia="en-AU"/>
        </w:rPr>
        <w:t xml:space="preserve"> Education</w:t>
      </w:r>
      <w:r>
        <w:rPr>
          <w:lang w:eastAsia="en-AU"/>
        </w:rPr>
        <w:t xml:space="preserve"> and if required</w:t>
      </w:r>
      <w:r w:rsidR="00183BA4">
        <w:rPr>
          <w:lang w:eastAsia="en-AU"/>
        </w:rPr>
        <w:t>,</w:t>
      </w:r>
      <w:r>
        <w:rPr>
          <w:lang w:eastAsia="en-AU"/>
        </w:rPr>
        <w:t xml:space="preserve"> the Senior</w:t>
      </w:r>
      <w:r w:rsidR="00090E14">
        <w:rPr>
          <w:lang w:eastAsia="en-AU"/>
        </w:rPr>
        <w:t xml:space="preserve"> </w:t>
      </w:r>
      <w:r>
        <w:rPr>
          <w:lang w:eastAsia="en-AU"/>
        </w:rPr>
        <w:t xml:space="preserve">Director Infrastructure </w:t>
      </w:r>
      <w:r w:rsidR="002C34E5">
        <w:rPr>
          <w:lang w:eastAsia="en-AU"/>
        </w:rPr>
        <w:t>Planning and Investments</w:t>
      </w:r>
      <w:r w:rsidR="00F1467A">
        <w:rPr>
          <w:lang w:eastAsia="en-AU"/>
        </w:rPr>
        <w:t>,</w:t>
      </w:r>
      <w:r w:rsidR="002C34E5">
        <w:rPr>
          <w:lang w:eastAsia="en-AU"/>
        </w:rPr>
        <w:t xml:space="preserve"> </w:t>
      </w:r>
      <w:r>
        <w:rPr>
          <w:lang w:eastAsia="en-AU"/>
        </w:rPr>
        <w:t xml:space="preserve">to develop the Enrolment </w:t>
      </w:r>
      <w:r w:rsidR="00DB078D">
        <w:rPr>
          <w:lang w:eastAsia="en-AU"/>
        </w:rPr>
        <w:t>m</w:t>
      </w:r>
      <w:r>
        <w:rPr>
          <w:lang w:eastAsia="en-AU"/>
        </w:rPr>
        <w:t xml:space="preserve">anagement </w:t>
      </w:r>
      <w:r w:rsidR="00DB078D">
        <w:rPr>
          <w:lang w:eastAsia="en-AU"/>
        </w:rPr>
        <w:t>p</w:t>
      </w:r>
      <w:r>
        <w:rPr>
          <w:lang w:eastAsia="en-AU"/>
        </w:rPr>
        <w:t xml:space="preserve">lan. Enrolment </w:t>
      </w:r>
      <w:r w:rsidR="00DB078D">
        <w:rPr>
          <w:lang w:eastAsia="en-AU"/>
        </w:rPr>
        <w:t>m</w:t>
      </w:r>
      <w:r>
        <w:rPr>
          <w:lang w:eastAsia="en-AU"/>
        </w:rPr>
        <w:t xml:space="preserve">anagement </w:t>
      </w:r>
      <w:r w:rsidR="00DB078D">
        <w:rPr>
          <w:lang w:eastAsia="en-AU"/>
        </w:rPr>
        <w:t>p</w:t>
      </w:r>
      <w:r>
        <w:rPr>
          <w:lang w:eastAsia="en-AU"/>
        </w:rPr>
        <w:t xml:space="preserve">lans are approved by </w:t>
      </w:r>
      <w:r w:rsidR="000539D0">
        <w:rPr>
          <w:lang w:eastAsia="en-AU"/>
        </w:rPr>
        <w:t>Senior</w:t>
      </w:r>
      <w:r w:rsidR="002C34E5">
        <w:rPr>
          <w:lang w:eastAsia="en-AU"/>
        </w:rPr>
        <w:t xml:space="preserve"> </w:t>
      </w:r>
      <w:r>
        <w:rPr>
          <w:lang w:eastAsia="en-AU"/>
        </w:rPr>
        <w:t>Director</w:t>
      </w:r>
      <w:r w:rsidR="002C34E5">
        <w:rPr>
          <w:lang w:eastAsia="en-AU"/>
        </w:rPr>
        <w:t>s</w:t>
      </w:r>
      <w:r>
        <w:rPr>
          <w:lang w:eastAsia="en-AU"/>
        </w:rPr>
        <w:t xml:space="preserve"> </w:t>
      </w:r>
      <w:r w:rsidR="002C34E5">
        <w:rPr>
          <w:lang w:eastAsia="en-AU"/>
        </w:rPr>
        <w:t>Education</w:t>
      </w:r>
      <w:r>
        <w:rPr>
          <w:lang w:eastAsia="en-AU"/>
        </w:rPr>
        <w:t xml:space="preserve"> and published on the relevant school’s web page.</w:t>
      </w:r>
    </w:p>
    <w:p w14:paraId="0EF8D798" w14:textId="04370F4E" w:rsidR="00AD4312" w:rsidRDefault="00AD4312" w:rsidP="00AD4312">
      <w:pPr>
        <w:rPr>
          <w:lang w:eastAsia="en-AU"/>
        </w:rPr>
      </w:pPr>
      <w:r>
        <w:rPr>
          <w:lang w:eastAsia="en-AU"/>
        </w:rPr>
        <w:t xml:space="preserve">Independent </w:t>
      </w:r>
      <w:proofErr w:type="gramStart"/>
      <w:r>
        <w:rPr>
          <w:lang w:eastAsia="en-AU"/>
        </w:rPr>
        <w:t>public school</w:t>
      </w:r>
      <w:proofErr w:type="gramEnd"/>
      <w:r>
        <w:rPr>
          <w:lang w:eastAsia="en-AU"/>
        </w:rPr>
        <w:t xml:space="preserve"> principals may also choose to consult with the</w:t>
      </w:r>
      <w:r w:rsidR="00974C3D">
        <w:rPr>
          <w:lang w:eastAsia="en-AU"/>
        </w:rPr>
        <w:t>ir</w:t>
      </w:r>
      <w:r>
        <w:rPr>
          <w:lang w:eastAsia="en-AU"/>
        </w:rPr>
        <w:t xml:space="preserve"> </w:t>
      </w:r>
      <w:r w:rsidR="000539D0">
        <w:rPr>
          <w:lang w:eastAsia="en-AU"/>
        </w:rPr>
        <w:t>Senior</w:t>
      </w:r>
      <w:r w:rsidR="00CD3F6F">
        <w:rPr>
          <w:lang w:eastAsia="en-AU"/>
        </w:rPr>
        <w:t xml:space="preserve"> </w:t>
      </w:r>
      <w:r>
        <w:rPr>
          <w:lang w:eastAsia="en-AU"/>
        </w:rPr>
        <w:t xml:space="preserve">Director </w:t>
      </w:r>
      <w:r w:rsidR="00C910B1">
        <w:rPr>
          <w:lang w:eastAsia="en-AU"/>
        </w:rPr>
        <w:t>Education</w:t>
      </w:r>
      <w:r>
        <w:rPr>
          <w:lang w:eastAsia="en-AU"/>
        </w:rPr>
        <w:t xml:space="preserve"> to develop the Enrolment </w:t>
      </w:r>
      <w:r w:rsidR="00DB078D">
        <w:rPr>
          <w:lang w:eastAsia="en-AU"/>
        </w:rPr>
        <w:t>m</w:t>
      </w:r>
      <w:r>
        <w:rPr>
          <w:lang w:eastAsia="en-AU"/>
        </w:rPr>
        <w:t xml:space="preserve">anagement </w:t>
      </w:r>
      <w:r w:rsidR="00DB078D">
        <w:rPr>
          <w:lang w:eastAsia="en-AU"/>
        </w:rPr>
        <w:t>p</w:t>
      </w:r>
      <w:r>
        <w:rPr>
          <w:lang w:eastAsia="en-AU"/>
        </w:rPr>
        <w:t xml:space="preserve">lan. </w:t>
      </w:r>
      <w:r w:rsidR="000539D0">
        <w:rPr>
          <w:lang w:eastAsia="en-AU"/>
        </w:rPr>
        <w:t xml:space="preserve">Senior </w:t>
      </w:r>
      <w:r>
        <w:rPr>
          <w:lang w:eastAsia="en-AU"/>
        </w:rPr>
        <w:t xml:space="preserve">Directors </w:t>
      </w:r>
      <w:r w:rsidR="000539D0">
        <w:rPr>
          <w:lang w:eastAsia="en-AU"/>
        </w:rPr>
        <w:t xml:space="preserve">Education </w:t>
      </w:r>
      <w:r>
        <w:rPr>
          <w:lang w:eastAsia="en-AU"/>
        </w:rPr>
        <w:t xml:space="preserve">and </w:t>
      </w:r>
      <w:r w:rsidR="00CD3F6F">
        <w:rPr>
          <w:lang w:eastAsia="en-AU"/>
        </w:rPr>
        <w:t>the Deputy Chief Executive Regional Services</w:t>
      </w:r>
      <w:r>
        <w:rPr>
          <w:lang w:eastAsia="en-AU"/>
        </w:rPr>
        <w:t xml:space="preserve"> are required to</w:t>
      </w:r>
      <w:r w:rsidR="00974C3D">
        <w:rPr>
          <w:lang w:eastAsia="en-AU"/>
        </w:rPr>
        <w:t xml:space="preserve"> endorse</w:t>
      </w:r>
      <w:r>
        <w:rPr>
          <w:lang w:eastAsia="en-AU"/>
        </w:rPr>
        <w:t xml:space="preserve"> Enrolment </w:t>
      </w:r>
      <w:r w:rsidR="00DB078D">
        <w:rPr>
          <w:lang w:eastAsia="en-AU"/>
        </w:rPr>
        <w:t>m</w:t>
      </w:r>
      <w:r>
        <w:rPr>
          <w:lang w:eastAsia="en-AU"/>
        </w:rPr>
        <w:t xml:space="preserve">anagement </w:t>
      </w:r>
      <w:r w:rsidR="00DB078D">
        <w:rPr>
          <w:lang w:eastAsia="en-AU"/>
        </w:rPr>
        <w:t>p</w:t>
      </w:r>
      <w:r>
        <w:rPr>
          <w:lang w:eastAsia="en-AU"/>
        </w:rPr>
        <w:t xml:space="preserve">lans </w:t>
      </w:r>
      <w:r w:rsidR="00974C3D">
        <w:rPr>
          <w:lang w:eastAsia="en-AU"/>
        </w:rPr>
        <w:t xml:space="preserve">for independent public schools </w:t>
      </w:r>
      <w:r w:rsidR="000A62AD">
        <w:rPr>
          <w:lang w:eastAsia="en-AU"/>
        </w:rPr>
        <w:t>for</w:t>
      </w:r>
      <w:r>
        <w:rPr>
          <w:lang w:eastAsia="en-AU"/>
        </w:rPr>
        <w:t xml:space="preserve"> approv</w:t>
      </w:r>
      <w:r w:rsidR="000A62AD">
        <w:rPr>
          <w:lang w:eastAsia="en-AU"/>
        </w:rPr>
        <w:t>al</w:t>
      </w:r>
      <w:r>
        <w:rPr>
          <w:lang w:eastAsia="en-AU"/>
        </w:rPr>
        <w:t xml:space="preserve"> by the Chief Executive.</w:t>
      </w:r>
    </w:p>
    <w:p w14:paraId="1C3FBF78" w14:textId="4CB12385" w:rsidR="00AD4312" w:rsidRDefault="00AD4312" w:rsidP="00AD4312">
      <w:pPr>
        <w:rPr>
          <w:lang w:eastAsia="en-AU"/>
        </w:rPr>
      </w:pPr>
      <w:r>
        <w:rPr>
          <w:lang w:eastAsia="en-AU"/>
        </w:rPr>
        <w:t xml:space="preserve">An Enrolment </w:t>
      </w:r>
      <w:r w:rsidR="00DB078D">
        <w:rPr>
          <w:lang w:eastAsia="en-AU"/>
        </w:rPr>
        <w:t>m</w:t>
      </w:r>
      <w:r>
        <w:rPr>
          <w:lang w:eastAsia="en-AU"/>
        </w:rPr>
        <w:t xml:space="preserve">anagement </w:t>
      </w:r>
      <w:r w:rsidR="00DB078D">
        <w:rPr>
          <w:lang w:eastAsia="en-AU"/>
        </w:rPr>
        <w:t>p</w:t>
      </w:r>
      <w:r>
        <w:rPr>
          <w:lang w:eastAsia="en-AU"/>
        </w:rPr>
        <w:t xml:space="preserve">lan will remain in force until enrolments fall to </w:t>
      </w:r>
      <w:r w:rsidR="002C34E5">
        <w:rPr>
          <w:lang w:eastAsia="en-AU"/>
        </w:rPr>
        <w:t>75%</w:t>
      </w:r>
      <w:r>
        <w:rPr>
          <w:lang w:eastAsia="en-AU"/>
        </w:rPr>
        <w:t xml:space="preserve"> or below operational capacity. The plan is to be reviewed annually or more frequently if required to reflect a significant change in enrolments</w:t>
      </w:r>
      <w:r w:rsidR="00E55075">
        <w:rPr>
          <w:lang w:eastAsia="en-AU"/>
        </w:rPr>
        <w:t xml:space="preserve"> </w:t>
      </w:r>
      <w:r>
        <w:rPr>
          <w:lang w:eastAsia="en-AU"/>
        </w:rPr>
        <w:t>or the operational capacity of the school.</w:t>
      </w:r>
    </w:p>
    <w:p w14:paraId="6161B318" w14:textId="7EBD0E2F" w:rsidR="00AD4312" w:rsidRDefault="002C34E5" w:rsidP="00AD4312">
      <w:pPr>
        <w:rPr>
          <w:lang w:eastAsia="en-AU"/>
        </w:rPr>
      </w:pPr>
      <w:r>
        <w:rPr>
          <w:lang w:eastAsia="en-AU"/>
        </w:rPr>
        <w:t>A</w:t>
      </w:r>
      <w:r w:rsidR="00AD4312">
        <w:rPr>
          <w:lang w:eastAsia="en-AU"/>
        </w:rPr>
        <w:t xml:space="preserve"> template for an Enrolment </w:t>
      </w:r>
      <w:r w:rsidR="00DB078D">
        <w:rPr>
          <w:lang w:eastAsia="en-AU"/>
        </w:rPr>
        <w:t>m</w:t>
      </w:r>
      <w:r w:rsidR="00AD4312">
        <w:rPr>
          <w:lang w:eastAsia="en-AU"/>
        </w:rPr>
        <w:t xml:space="preserve">anagement </w:t>
      </w:r>
      <w:r w:rsidR="00DB078D">
        <w:rPr>
          <w:lang w:eastAsia="en-AU"/>
        </w:rPr>
        <w:t>p</w:t>
      </w:r>
      <w:r w:rsidR="00AD4312">
        <w:rPr>
          <w:lang w:eastAsia="en-AU"/>
        </w:rPr>
        <w:t>lan</w:t>
      </w:r>
      <w:r>
        <w:rPr>
          <w:lang w:eastAsia="en-AU"/>
        </w:rPr>
        <w:t xml:space="preserve"> can be found on eLearn</w:t>
      </w:r>
      <w:r w:rsidR="00AD4312">
        <w:rPr>
          <w:lang w:eastAsia="en-AU"/>
        </w:rPr>
        <w:t>.</w:t>
      </w:r>
    </w:p>
    <w:p w14:paraId="352E5017" w14:textId="106B92AC" w:rsidR="00AD4312" w:rsidRDefault="00AD4312" w:rsidP="00AD4312">
      <w:pPr>
        <w:pStyle w:val="Heading2"/>
      </w:pPr>
      <w:bookmarkStart w:id="13" w:name="_Toc133487623"/>
      <w:r>
        <w:t>Request for additional school infrastructure</w:t>
      </w:r>
      <w:bookmarkEnd w:id="13"/>
    </w:p>
    <w:p w14:paraId="6EE764FB" w14:textId="1422F0E8" w:rsidR="00AD4312" w:rsidRDefault="00AD4312" w:rsidP="00AD4312">
      <w:pPr>
        <w:rPr>
          <w:lang w:eastAsia="en-AU"/>
        </w:rPr>
      </w:pPr>
      <w:r>
        <w:rPr>
          <w:lang w:eastAsia="en-AU"/>
        </w:rPr>
        <w:t>If monitoring of the school’s enrolment numbers determines that enrolment pressure is localised and not the result of out</w:t>
      </w:r>
      <w:r w:rsidR="000E5018">
        <w:rPr>
          <w:lang w:eastAsia="en-AU"/>
        </w:rPr>
        <w:t xml:space="preserve"> </w:t>
      </w:r>
      <w:r>
        <w:rPr>
          <w:lang w:eastAsia="en-AU"/>
        </w:rPr>
        <w:t>of</w:t>
      </w:r>
      <w:r w:rsidR="000E5018">
        <w:rPr>
          <w:lang w:eastAsia="en-AU"/>
        </w:rPr>
        <w:t xml:space="preserve"> </w:t>
      </w:r>
      <w:r>
        <w:rPr>
          <w:lang w:eastAsia="en-AU"/>
        </w:rPr>
        <w:t xml:space="preserve">priority area enrolments, then the school may initiate a request for additional school infrastructure. The principal will submit a request through the </w:t>
      </w:r>
      <w:r w:rsidR="000539D0">
        <w:rPr>
          <w:lang w:eastAsia="en-AU"/>
        </w:rPr>
        <w:t xml:space="preserve">Senior </w:t>
      </w:r>
      <w:r>
        <w:rPr>
          <w:lang w:eastAsia="en-AU"/>
        </w:rPr>
        <w:t xml:space="preserve">Director </w:t>
      </w:r>
      <w:r w:rsidR="002C34E5">
        <w:rPr>
          <w:lang w:eastAsia="en-AU"/>
        </w:rPr>
        <w:t xml:space="preserve">Education </w:t>
      </w:r>
      <w:r>
        <w:rPr>
          <w:lang w:eastAsia="en-AU"/>
        </w:rPr>
        <w:t>to the Senior</w:t>
      </w:r>
      <w:r w:rsidR="000E5018">
        <w:rPr>
          <w:lang w:eastAsia="en-AU"/>
        </w:rPr>
        <w:t xml:space="preserve"> </w:t>
      </w:r>
      <w:r>
        <w:rPr>
          <w:lang w:eastAsia="en-AU"/>
        </w:rPr>
        <w:t>Director Infrastructure</w:t>
      </w:r>
      <w:r w:rsidR="002C34E5">
        <w:rPr>
          <w:lang w:eastAsia="en-AU"/>
        </w:rPr>
        <w:t xml:space="preserve"> Planning and Investments</w:t>
      </w:r>
      <w:r>
        <w:rPr>
          <w:lang w:eastAsia="en-AU"/>
        </w:rPr>
        <w:t>.</w:t>
      </w:r>
    </w:p>
    <w:p w14:paraId="1B80AA9B" w14:textId="3BE4360A" w:rsidR="000E5018" w:rsidRDefault="000E5018" w:rsidP="00AD4312">
      <w:pPr>
        <w:rPr>
          <w:lang w:eastAsia="en-AU"/>
        </w:rPr>
      </w:pPr>
      <w:r>
        <w:rPr>
          <w:lang w:eastAsia="en-AU"/>
        </w:rPr>
        <w:br w:type="page"/>
      </w:r>
    </w:p>
    <w:p w14:paraId="04BB6FCD" w14:textId="336C106D" w:rsidR="00AD4312" w:rsidRDefault="00AD4312" w:rsidP="00AD4312">
      <w:pPr>
        <w:rPr>
          <w:lang w:eastAsia="en-AU"/>
        </w:rPr>
      </w:pPr>
      <w:r>
        <w:rPr>
          <w:lang w:eastAsia="en-AU"/>
        </w:rPr>
        <w:t xml:space="preserve">The department will consider provisions for additional facilities only if they are required to meet increased enrolments from within </w:t>
      </w:r>
      <w:r w:rsidR="00013ACA">
        <w:rPr>
          <w:lang w:eastAsia="en-AU"/>
        </w:rPr>
        <w:t xml:space="preserve">a school’s </w:t>
      </w:r>
      <w:r>
        <w:rPr>
          <w:lang w:eastAsia="en-AU"/>
        </w:rPr>
        <w:t>priority enrolment area. No additional accommodation</w:t>
      </w:r>
      <w:r w:rsidR="00DA195B">
        <w:rPr>
          <w:lang w:eastAsia="en-AU"/>
        </w:rPr>
        <w:t xml:space="preserve">, </w:t>
      </w:r>
      <w:r>
        <w:rPr>
          <w:lang w:eastAsia="en-AU"/>
        </w:rPr>
        <w:t xml:space="preserve">permanent or </w:t>
      </w:r>
      <w:r w:rsidR="00013ACA">
        <w:rPr>
          <w:lang w:eastAsia="en-AU"/>
        </w:rPr>
        <w:t>transportable</w:t>
      </w:r>
      <w:r w:rsidR="00DA195B">
        <w:rPr>
          <w:lang w:eastAsia="en-AU"/>
        </w:rPr>
        <w:t>,</w:t>
      </w:r>
      <w:r>
        <w:rPr>
          <w:lang w:eastAsia="en-AU"/>
        </w:rPr>
        <w:t xml:space="preserve"> will be provided to cater for increased enrolments resulting from non-</w:t>
      </w:r>
      <w:r w:rsidR="00013ACA">
        <w:rPr>
          <w:lang w:eastAsia="en-AU"/>
        </w:rPr>
        <w:t>priority area</w:t>
      </w:r>
      <w:r>
        <w:rPr>
          <w:lang w:eastAsia="en-AU"/>
        </w:rPr>
        <w:t xml:space="preserve"> placements.</w:t>
      </w:r>
    </w:p>
    <w:p w14:paraId="55779C21" w14:textId="77D881E3" w:rsidR="00AD4312" w:rsidRDefault="00AD4312" w:rsidP="00AD4312">
      <w:pPr>
        <w:rPr>
          <w:lang w:eastAsia="en-AU"/>
        </w:rPr>
      </w:pPr>
      <w:r>
        <w:rPr>
          <w:lang w:eastAsia="en-AU"/>
        </w:rPr>
        <w:t xml:space="preserve">Acknowledging that not every school has a preschool, </w:t>
      </w:r>
      <w:r w:rsidR="00013ACA">
        <w:rPr>
          <w:lang w:eastAsia="en-AU"/>
        </w:rPr>
        <w:t xml:space="preserve">in order </w:t>
      </w:r>
      <w:r>
        <w:rPr>
          <w:lang w:eastAsia="en-AU"/>
        </w:rPr>
        <w:t>to cater for an effectively larger priority enrolment area</w:t>
      </w:r>
      <w:r w:rsidR="00013ACA">
        <w:rPr>
          <w:lang w:eastAsia="en-AU"/>
        </w:rPr>
        <w:t>,</w:t>
      </w:r>
      <w:r>
        <w:rPr>
          <w:lang w:eastAsia="en-AU"/>
        </w:rPr>
        <w:t xml:space="preserve"> </w:t>
      </w:r>
      <w:r w:rsidR="00C910B1">
        <w:rPr>
          <w:lang w:eastAsia="en-AU"/>
        </w:rPr>
        <w:t>such as when</w:t>
      </w:r>
      <w:r>
        <w:rPr>
          <w:lang w:eastAsia="en-AU"/>
        </w:rPr>
        <w:t xml:space="preserve"> the preschool caters to its own school’s priority enrolment area plus the nearest school without a preschool, additional school infrastructure may be provided for the effectively larger priority enrolment area.</w:t>
      </w:r>
    </w:p>
    <w:p w14:paraId="09E682D7" w14:textId="5F57B482" w:rsidR="00AD4312" w:rsidRDefault="00013ACA" w:rsidP="00AD4312">
      <w:pPr>
        <w:rPr>
          <w:lang w:eastAsia="en-AU"/>
        </w:rPr>
      </w:pPr>
      <w:r>
        <w:rPr>
          <w:lang w:eastAsia="en-AU"/>
        </w:rPr>
        <w:t>Senior Directors Education</w:t>
      </w:r>
      <w:r w:rsidR="00AD4312">
        <w:rPr>
          <w:lang w:eastAsia="en-AU"/>
        </w:rPr>
        <w:t>,</w:t>
      </w:r>
      <w:r>
        <w:rPr>
          <w:lang w:eastAsia="en-AU"/>
        </w:rPr>
        <w:t xml:space="preserve"> the</w:t>
      </w:r>
      <w:r w:rsidR="00AD4312">
        <w:rPr>
          <w:lang w:eastAsia="en-AU"/>
        </w:rPr>
        <w:t xml:space="preserve"> Infrastructure</w:t>
      </w:r>
      <w:r w:rsidR="002C34E5">
        <w:rPr>
          <w:lang w:eastAsia="en-AU"/>
        </w:rPr>
        <w:t xml:space="preserve"> Planning and Investments</w:t>
      </w:r>
      <w:r w:rsidR="00CD3F6F">
        <w:rPr>
          <w:lang w:eastAsia="en-AU"/>
        </w:rPr>
        <w:t xml:space="preserve"> business unit</w:t>
      </w:r>
      <w:r w:rsidR="00AD4312">
        <w:rPr>
          <w:lang w:eastAsia="en-AU"/>
        </w:rPr>
        <w:t xml:space="preserve"> and principals will work collaboratively to ensure a well</w:t>
      </w:r>
      <w:r w:rsidR="005C7A9A">
        <w:rPr>
          <w:lang w:eastAsia="en-AU"/>
        </w:rPr>
        <w:t xml:space="preserve"> </w:t>
      </w:r>
      <w:r w:rsidR="00AD4312">
        <w:rPr>
          <w:lang w:eastAsia="en-AU"/>
        </w:rPr>
        <w:t>planned and appropriate infrastructure solution is provided, be it permanent or transportable facilities.</w:t>
      </w:r>
    </w:p>
    <w:p w14:paraId="5649FBF0" w14:textId="77777777" w:rsidR="006D29CB" w:rsidRDefault="006D29CB" w:rsidP="006D29CB">
      <w:pPr>
        <w:pStyle w:val="Heading1"/>
        <w:rPr>
          <w:lang w:eastAsia="en-AU"/>
        </w:rPr>
      </w:pPr>
      <w:bookmarkStart w:id="14" w:name="_Toc133487624"/>
      <w:r>
        <w:rPr>
          <w:lang w:eastAsia="en-AU"/>
        </w:rPr>
        <w:t>Roles and responsibilities</w:t>
      </w:r>
      <w:bookmarkEnd w:id="14"/>
    </w:p>
    <w:p w14:paraId="6F52F8AE" w14:textId="77777777" w:rsidR="006D29CB" w:rsidRDefault="006D29CB" w:rsidP="006D29CB">
      <w:pPr>
        <w:pStyle w:val="Heading2"/>
      </w:pPr>
      <w:bookmarkStart w:id="15" w:name="_Toc133487625"/>
      <w:r>
        <w:t>Chief Executive</w:t>
      </w:r>
      <w:bookmarkEnd w:id="15"/>
    </w:p>
    <w:p w14:paraId="5D1B2AE3" w14:textId="77777777" w:rsidR="006D29CB" w:rsidRDefault="006D29CB" w:rsidP="00B15578">
      <w:pPr>
        <w:spacing w:after="120"/>
        <w:rPr>
          <w:lang w:eastAsia="en-AU"/>
        </w:rPr>
      </w:pPr>
      <w:r>
        <w:rPr>
          <w:lang w:eastAsia="en-AU"/>
        </w:rPr>
        <w:t>The Chief Executive will:</w:t>
      </w:r>
    </w:p>
    <w:p w14:paraId="76493415" w14:textId="77777777" w:rsidR="006D29CB" w:rsidRDefault="006D29CB" w:rsidP="00B15578">
      <w:pPr>
        <w:pStyle w:val="ListParagraph"/>
        <w:numPr>
          <w:ilvl w:val="0"/>
          <w:numId w:val="12"/>
        </w:numPr>
        <w:ind w:left="567" w:hanging="283"/>
        <w:rPr>
          <w:lang w:eastAsia="en-AU"/>
        </w:rPr>
      </w:pPr>
      <w:r>
        <w:rPr>
          <w:lang w:eastAsia="en-AU"/>
        </w:rPr>
        <w:t>determine and review priority enrolment areas</w:t>
      </w:r>
    </w:p>
    <w:p w14:paraId="715FFFDD" w14:textId="77777777" w:rsidR="006D29CB" w:rsidRDefault="006D29CB" w:rsidP="00B15578">
      <w:pPr>
        <w:pStyle w:val="ListParagraph"/>
        <w:numPr>
          <w:ilvl w:val="0"/>
          <w:numId w:val="12"/>
        </w:numPr>
        <w:ind w:left="567" w:hanging="283"/>
        <w:rPr>
          <w:lang w:eastAsia="en-AU"/>
        </w:rPr>
      </w:pPr>
      <w:r>
        <w:rPr>
          <w:lang w:eastAsia="en-AU"/>
        </w:rPr>
        <w:t>provide written notice to the principal of any amendment to a school’s priority enrolment area</w:t>
      </w:r>
    </w:p>
    <w:p w14:paraId="0AE7B368" w14:textId="77777777" w:rsidR="006D29CB" w:rsidRDefault="006D29CB" w:rsidP="00B15578">
      <w:pPr>
        <w:pStyle w:val="ListParagraph"/>
        <w:numPr>
          <w:ilvl w:val="0"/>
          <w:numId w:val="12"/>
        </w:numPr>
        <w:spacing w:after="200"/>
        <w:ind w:left="567" w:hanging="283"/>
        <w:rPr>
          <w:lang w:eastAsia="en-AU"/>
        </w:rPr>
      </w:pPr>
      <w:r>
        <w:rPr>
          <w:lang w:eastAsia="en-AU"/>
        </w:rPr>
        <w:t>approve Enrolment management plans for independent public schools.</w:t>
      </w:r>
    </w:p>
    <w:p w14:paraId="75DA4278" w14:textId="77777777" w:rsidR="006D29CB" w:rsidRDefault="006D29CB" w:rsidP="006D29CB">
      <w:pPr>
        <w:pStyle w:val="Heading2"/>
      </w:pPr>
      <w:bookmarkStart w:id="16" w:name="_Toc133487626"/>
      <w:r>
        <w:t>Deputy Chief Executive Regional Services</w:t>
      </w:r>
      <w:bookmarkEnd w:id="16"/>
    </w:p>
    <w:p w14:paraId="5134DD72" w14:textId="77777777" w:rsidR="006D29CB" w:rsidRDefault="006D29CB" w:rsidP="00B15578">
      <w:pPr>
        <w:spacing w:after="120"/>
        <w:rPr>
          <w:lang w:eastAsia="en-AU"/>
        </w:rPr>
      </w:pPr>
      <w:r>
        <w:rPr>
          <w:lang w:eastAsia="en-AU"/>
        </w:rPr>
        <w:t>The Deputy Chief Executive Regional Services will:</w:t>
      </w:r>
    </w:p>
    <w:p w14:paraId="74202EF6" w14:textId="77777777" w:rsidR="006D29CB" w:rsidRDefault="006D29CB" w:rsidP="00B15578">
      <w:pPr>
        <w:pStyle w:val="ListParagraph"/>
        <w:numPr>
          <w:ilvl w:val="0"/>
          <w:numId w:val="13"/>
        </w:numPr>
        <w:spacing w:after="200"/>
        <w:ind w:left="567" w:hanging="283"/>
        <w:rPr>
          <w:lang w:eastAsia="en-AU"/>
        </w:rPr>
      </w:pPr>
      <w:r>
        <w:rPr>
          <w:lang w:eastAsia="en-AU"/>
        </w:rPr>
        <w:t>endorse Enrolment management plans for independent public schools.</w:t>
      </w:r>
    </w:p>
    <w:p w14:paraId="11B67753" w14:textId="77777777" w:rsidR="006D29CB" w:rsidRDefault="006D29CB" w:rsidP="006D29CB">
      <w:pPr>
        <w:pStyle w:val="Heading2"/>
      </w:pPr>
      <w:bookmarkStart w:id="17" w:name="_Toc133487627"/>
      <w:r>
        <w:t>Senior Directors Education</w:t>
      </w:r>
      <w:bookmarkEnd w:id="17"/>
    </w:p>
    <w:p w14:paraId="200C6A9E" w14:textId="77777777" w:rsidR="006D29CB" w:rsidRDefault="006D29CB" w:rsidP="00B15578">
      <w:pPr>
        <w:spacing w:after="120"/>
        <w:rPr>
          <w:lang w:eastAsia="en-AU"/>
        </w:rPr>
      </w:pPr>
      <w:r>
        <w:rPr>
          <w:lang w:eastAsia="en-AU"/>
        </w:rPr>
        <w:t>Senior Directors Education will:</w:t>
      </w:r>
    </w:p>
    <w:p w14:paraId="17630379" w14:textId="77777777" w:rsidR="006D29CB" w:rsidRDefault="006D29CB" w:rsidP="00B15578">
      <w:pPr>
        <w:pStyle w:val="ListParagraph"/>
        <w:numPr>
          <w:ilvl w:val="0"/>
          <w:numId w:val="14"/>
        </w:numPr>
        <w:ind w:left="567" w:hanging="283"/>
        <w:rPr>
          <w:lang w:eastAsia="en-AU"/>
        </w:rPr>
      </w:pPr>
      <w:r>
        <w:rPr>
          <w:lang w:eastAsia="en-AU"/>
        </w:rPr>
        <w:t>ensure principals adhere to the requirements of these guidelines</w:t>
      </w:r>
    </w:p>
    <w:p w14:paraId="4C88E4CA" w14:textId="77777777" w:rsidR="006D29CB" w:rsidRDefault="006D29CB" w:rsidP="00B15578">
      <w:pPr>
        <w:pStyle w:val="ListParagraph"/>
        <w:numPr>
          <w:ilvl w:val="0"/>
          <w:numId w:val="14"/>
        </w:numPr>
        <w:ind w:left="567" w:hanging="283"/>
        <w:rPr>
          <w:lang w:eastAsia="en-AU"/>
        </w:rPr>
      </w:pPr>
      <w:r>
        <w:rPr>
          <w:lang w:eastAsia="en-AU"/>
        </w:rPr>
        <w:t>maintain an awareness of school infrastructure demands in their region and assist principals to develop Enrolment management plans as required</w:t>
      </w:r>
    </w:p>
    <w:p w14:paraId="3ABDFD30" w14:textId="77777777" w:rsidR="006D29CB" w:rsidRDefault="006D29CB" w:rsidP="00B15578">
      <w:pPr>
        <w:pStyle w:val="ListParagraph"/>
        <w:numPr>
          <w:ilvl w:val="0"/>
          <w:numId w:val="14"/>
        </w:numPr>
        <w:ind w:left="567" w:hanging="283"/>
        <w:rPr>
          <w:lang w:eastAsia="en-AU"/>
        </w:rPr>
      </w:pPr>
      <w:r>
        <w:rPr>
          <w:lang w:eastAsia="en-AU"/>
        </w:rPr>
        <w:t>review priority enrolment decisions where an appeal is submitted</w:t>
      </w:r>
    </w:p>
    <w:p w14:paraId="25A6F22E" w14:textId="77777777" w:rsidR="006D29CB" w:rsidRDefault="006D29CB" w:rsidP="00B15578">
      <w:pPr>
        <w:pStyle w:val="ListParagraph"/>
        <w:numPr>
          <w:ilvl w:val="0"/>
          <w:numId w:val="14"/>
        </w:numPr>
        <w:ind w:left="567" w:hanging="283"/>
        <w:rPr>
          <w:lang w:eastAsia="en-AU"/>
        </w:rPr>
      </w:pPr>
      <w:r>
        <w:rPr>
          <w:lang w:eastAsia="en-AU"/>
        </w:rPr>
        <w:t>endorse Enrolment management plans for independent public schools</w:t>
      </w:r>
    </w:p>
    <w:p w14:paraId="10A59D17" w14:textId="77777777" w:rsidR="006D29CB" w:rsidRDefault="006D29CB" w:rsidP="00B15578">
      <w:pPr>
        <w:pStyle w:val="ListParagraph"/>
        <w:numPr>
          <w:ilvl w:val="0"/>
          <w:numId w:val="14"/>
        </w:numPr>
        <w:ind w:left="567" w:hanging="283"/>
        <w:rPr>
          <w:lang w:eastAsia="en-AU"/>
        </w:rPr>
      </w:pPr>
      <w:r>
        <w:rPr>
          <w:lang w:eastAsia="en-AU"/>
        </w:rPr>
        <w:t>approve Enrolment management plans for government schools.</w:t>
      </w:r>
    </w:p>
    <w:p w14:paraId="3C882EAF" w14:textId="77777777" w:rsidR="006D29CB" w:rsidRDefault="006D29CB" w:rsidP="006D29CB">
      <w:pPr>
        <w:pStyle w:val="Heading2"/>
      </w:pPr>
      <w:bookmarkStart w:id="18" w:name="_Toc133487628"/>
      <w:r>
        <w:t>School Operations</w:t>
      </w:r>
      <w:bookmarkEnd w:id="18"/>
    </w:p>
    <w:p w14:paraId="4F73B34F" w14:textId="77777777" w:rsidR="006D29CB" w:rsidRDefault="006D29CB" w:rsidP="00B15578">
      <w:pPr>
        <w:spacing w:after="120"/>
        <w:rPr>
          <w:lang w:eastAsia="en-AU"/>
        </w:rPr>
      </w:pPr>
      <w:r>
        <w:rPr>
          <w:lang w:eastAsia="en-AU"/>
        </w:rPr>
        <w:t>School Operations will:</w:t>
      </w:r>
    </w:p>
    <w:p w14:paraId="24B2BF55" w14:textId="4E700A0D" w:rsidR="006D29CB" w:rsidRDefault="006D29CB" w:rsidP="00B15578">
      <w:pPr>
        <w:pStyle w:val="ListParagraph"/>
        <w:numPr>
          <w:ilvl w:val="0"/>
          <w:numId w:val="15"/>
        </w:numPr>
        <w:spacing w:after="200"/>
        <w:ind w:left="567" w:hanging="283"/>
        <w:rPr>
          <w:lang w:eastAsia="en-AU"/>
        </w:rPr>
      </w:pPr>
      <w:r w:rsidRPr="009C2AE1">
        <w:rPr>
          <w:lang w:eastAsia="en-AU"/>
        </w:rPr>
        <w:t>maintain priority enrolment area maps and make these available to schools and the public.</w:t>
      </w:r>
    </w:p>
    <w:p w14:paraId="3B3E67F8" w14:textId="637FFD6F" w:rsidR="00B15578" w:rsidRDefault="00B15578" w:rsidP="00B15578">
      <w:pPr>
        <w:spacing w:after="0"/>
        <w:rPr>
          <w:lang w:eastAsia="en-AU"/>
        </w:rPr>
      </w:pPr>
      <w:r>
        <w:rPr>
          <w:lang w:eastAsia="en-AU"/>
        </w:rPr>
        <w:br w:type="page"/>
      </w:r>
    </w:p>
    <w:p w14:paraId="06388EDC" w14:textId="77777777" w:rsidR="006D29CB" w:rsidRDefault="006D29CB" w:rsidP="006D29CB">
      <w:pPr>
        <w:pStyle w:val="Heading2"/>
      </w:pPr>
      <w:bookmarkStart w:id="19" w:name="_Toc133487629"/>
      <w:r>
        <w:t>Principals</w:t>
      </w:r>
      <w:bookmarkEnd w:id="19"/>
    </w:p>
    <w:p w14:paraId="42CD3675" w14:textId="77777777" w:rsidR="006D29CB" w:rsidRDefault="006D29CB" w:rsidP="00B15578">
      <w:pPr>
        <w:spacing w:after="120"/>
        <w:rPr>
          <w:lang w:eastAsia="en-AU"/>
        </w:rPr>
      </w:pPr>
      <w:r>
        <w:rPr>
          <w:lang w:eastAsia="en-AU"/>
        </w:rPr>
        <w:t>Principals will:</w:t>
      </w:r>
    </w:p>
    <w:p w14:paraId="55AF0A9B" w14:textId="77777777" w:rsidR="006D29CB" w:rsidRDefault="006D29CB" w:rsidP="00B15578">
      <w:pPr>
        <w:pStyle w:val="ListParagraph"/>
        <w:numPr>
          <w:ilvl w:val="0"/>
          <w:numId w:val="15"/>
        </w:numPr>
        <w:ind w:left="567" w:hanging="283"/>
        <w:rPr>
          <w:lang w:eastAsia="en-AU"/>
        </w:rPr>
      </w:pPr>
      <w:r>
        <w:rPr>
          <w:lang w:eastAsia="en-AU"/>
        </w:rPr>
        <w:t>manage enrolments within their school to ensure sufficient operational capacity is available for eligible students who live within the priority enrolment area</w:t>
      </w:r>
    </w:p>
    <w:p w14:paraId="3736CFEC" w14:textId="77777777" w:rsidR="006D29CB" w:rsidRDefault="006D29CB" w:rsidP="00B15578">
      <w:pPr>
        <w:pStyle w:val="ListParagraph"/>
        <w:numPr>
          <w:ilvl w:val="0"/>
          <w:numId w:val="15"/>
        </w:numPr>
        <w:spacing w:after="200"/>
        <w:ind w:left="567" w:hanging="283"/>
        <w:rPr>
          <w:lang w:eastAsia="en-AU"/>
        </w:rPr>
      </w:pPr>
      <w:r>
        <w:rPr>
          <w:lang w:eastAsia="en-AU"/>
        </w:rPr>
        <w:t>develop and implement an approved Enrolment management plan when the school reaches 85% operational capacity.</w:t>
      </w:r>
    </w:p>
    <w:p w14:paraId="4CD374FD" w14:textId="77777777" w:rsidR="006D29CB" w:rsidRDefault="006D29CB" w:rsidP="006D29CB">
      <w:pPr>
        <w:pStyle w:val="Heading2"/>
      </w:pPr>
      <w:bookmarkStart w:id="20" w:name="_Toc133487630"/>
      <w:r>
        <w:t>Senior Director Infrastructure Planning and Investments</w:t>
      </w:r>
      <w:bookmarkEnd w:id="20"/>
    </w:p>
    <w:p w14:paraId="673BE919" w14:textId="77777777" w:rsidR="006D29CB" w:rsidRPr="00AD4312" w:rsidRDefault="006D29CB" w:rsidP="00B15578">
      <w:pPr>
        <w:spacing w:after="120"/>
        <w:rPr>
          <w:lang w:eastAsia="en-AU"/>
        </w:rPr>
      </w:pPr>
      <w:r>
        <w:rPr>
          <w:lang w:eastAsia="en-AU"/>
        </w:rPr>
        <w:t>The Senior Director Infrastructure Planning and Investments will:</w:t>
      </w:r>
    </w:p>
    <w:p w14:paraId="006A4019" w14:textId="77777777" w:rsidR="006D29CB" w:rsidRDefault="006D29CB" w:rsidP="00B15578">
      <w:pPr>
        <w:pStyle w:val="ListParagraph"/>
        <w:numPr>
          <w:ilvl w:val="0"/>
          <w:numId w:val="15"/>
        </w:numPr>
        <w:ind w:left="567" w:hanging="283"/>
        <w:rPr>
          <w:lang w:eastAsia="en-AU"/>
        </w:rPr>
      </w:pPr>
      <w:r>
        <w:rPr>
          <w:lang w:eastAsia="en-AU"/>
        </w:rPr>
        <w:t>collaborate with the relevant Senior Director Education and principals to develop infrastructure solutions for schools as required</w:t>
      </w:r>
    </w:p>
    <w:p w14:paraId="0729B4A9" w14:textId="77777777" w:rsidR="006D29CB" w:rsidRDefault="006D29CB" w:rsidP="00B15578">
      <w:pPr>
        <w:pStyle w:val="ListParagraph"/>
        <w:numPr>
          <w:ilvl w:val="0"/>
          <w:numId w:val="15"/>
        </w:numPr>
        <w:spacing w:after="200"/>
        <w:ind w:left="567" w:hanging="283"/>
        <w:rPr>
          <w:lang w:eastAsia="en-AU"/>
        </w:rPr>
      </w:pPr>
      <w:r>
        <w:rPr>
          <w:lang w:eastAsia="en-AU"/>
        </w:rPr>
        <w:t>lead the review of the operational capacity of all NT government schools.</w:t>
      </w:r>
    </w:p>
    <w:p w14:paraId="3213B5D9" w14:textId="77777777" w:rsidR="000A1793" w:rsidRDefault="000A1793" w:rsidP="000A1793">
      <w:pPr>
        <w:pStyle w:val="Heading1"/>
        <w:rPr>
          <w:lang w:eastAsia="en-AU"/>
        </w:rPr>
      </w:pPr>
      <w:bookmarkStart w:id="21" w:name="_Toc133487631"/>
      <w:r>
        <w:rPr>
          <w:lang w:eastAsia="en-AU"/>
        </w:rPr>
        <w:t>Definitions</w:t>
      </w:r>
      <w:bookmarkEnd w:id="21"/>
    </w:p>
    <w:tbl>
      <w:tblPr>
        <w:tblStyle w:val="NTGtab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328"/>
      </w:tblGrid>
      <w:tr w:rsidR="000A1793" w14:paraId="524901B6" w14:textId="77777777" w:rsidTr="00EA4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tcBorders>
            <w:tcMar>
              <w:top w:w="57" w:type="dxa"/>
              <w:bottom w:w="57" w:type="dxa"/>
            </w:tcMar>
          </w:tcPr>
          <w:p w14:paraId="393416E8" w14:textId="77777777" w:rsidR="000A1793" w:rsidRDefault="000A1793" w:rsidP="00EA47B5">
            <w:pPr>
              <w:spacing w:before="0" w:after="0"/>
              <w:rPr>
                <w:lang w:eastAsia="en-AU"/>
              </w:rPr>
            </w:pPr>
            <w:r>
              <w:rPr>
                <w:lang w:eastAsia="en-AU"/>
              </w:rPr>
              <w:t>Term</w:t>
            </w:r>
          </w:p>
        </w:tc>
        <w:tc>
          <w:tcPr>
            <w:tcW w:w="8328" w:type="dxa"/>
            <w:tcBorders>
              <w:top w:val="single" w:sz="4" w:space="0" w:color="auto"/>
              <w:bottom w:val="single" w:sz="4" w:space="0" w:color="auto"/>
            </w:tcBorders>
            <w:tcMar>
              <w:top w:w="57" w:type="dxa"/>
              <w:bottom w:w="57" w:type="dxa"/>
            </w:tcMar>
          </w:tcPr>
          <w:p w14:paraId="1E5F8A4A" w14:textId="77777777" w:rsidR="000A1793" w:rsidRDefault="000A1793" w:rsidP="00EA47B5">
            <w:pPr>
              <w:spacing w:before="0" w:after="0"/>
              <w:cnfStyle w:val="100000000000" w:firstRow="1" w:lastRow="0" w:firstColumn="0" w:lastColumn="0" w:oddVBand="0" w:evenVBand="0" w:oddHBand="0" w:evenHBand="0" w:firstRowFirstColumn="0" w:firstRowLastColumn="0" w:lastRowFirstColumn="0" w:lastRowLastColumn="0"/>
              <w:rPr>
                <w:lang w:eastAsia="en-AU"/>
              </w:rPr>
            </w:pPr>
            <w:r>
              <w:rPr>
                <w:lang w:eastAsia="en-AU"/>
              </w:rPr>
              <w:t>Definition</w:t>
            </w:r>
          </w:p>
        </w:tc>
      </w:tr>
      <w:tr w:rsidR="000A1793" w14:paraId="360B0330" w14:textId="77777777" w:rsidTr="00EA47B5">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Mar>
              <w:top w:w="57" w:type="dxa"/>
              <w:bottom w:w="57" w:type="dxa"/>
            </w:tcMar>
          </w:tcPr>
          <w:p w14:paraId="55D3923C" w14:textId="77777777" w:rsidR="000A1793" w:rsidRDefault="000A1793" w:rsidP="00EA47B5">
            <w:pPr>
              <w:spacing w:before="0" w:after="0"/>
              <w:rPr>
                <w:lang w:eastAsia="en-AU"/>
              </w:rPr>
            </w:pPr>
            <w:r>
              <w:rPr>
                <w:lang w:eastAsia="en-AU"/>
              </w:rPr>
              <w:t>Contingency</w:t>
            </w:r>
          </w:p>
        </w:tc>
        <w:tc>
          <w:tcPr>
            <w:tcW w:w="8328" w:type="dxa"/>
            <w:tcBorders>
              <w:top w:val="single" w:sz="4" w:space="0" w:color="auto"/>
            </w:tcBorders>
            <w:tcMar>
              <w:top w:w="57" w:type="dxa"/>
              <w:bottom w:w="57" w:type="dxa"/>
            </w:tcMar>
          </w:tcPr>
          <w:p w14:paraId="309DEFF3" w14:textId="052FFBB7" w:rsidR="000A1793" w:rsidRDefault="000A1793" w:rsidP="00EA47B5">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A</w:t>
            </w:r>
            <w:r w:rsidRPr="009C2AE1">
              <w:rPr>
                <w:lang w:eastAsia="en-AU"/>
              </w:rPr>
              <w:t xml:space="preserve"> percentage of the school’s operational capacity that is set aside for students residing in the school’s priority enrolment area. The contingency is established and applied as part of a school’s Enrolment </w:t>
            </w:r>
            <w:r w:rsidR="00AC25FF">
              <w:rPr>
                <w:lang w:eastAsia="en-AU"/>
              </w:rPr>
              <w:t>m</w:t>
            </w:r>
            <w:r w:rsidRPr="009C2AE1">
              <w:rPr>
                <w:lang w:eastAsia="en-AU"/>
              </w:rPr>
              <w:t xml:space="preserve">anagement </w:t>
            </w:r>
            <w:r w:rsidR="00AC25FF">
              <w:rPr>
                <w:lang w:eastAsia="en-AU"/>
              </w:rPr>
              <w:t>p</w:t>
            </w:r>
            <w:r w:rsidRPr="009C2AE1">
              <w:rPr>
                <w:lang w:eastAsia="en-AU"/>
              </w:rPr>
              <w:t xml:space="preserve">lan and is to be set at a minimum of </w:t>
            </w:r>
            <w:r>
              <w:rPr>
                <w:lang w:eastAsia="en-AU"/>
              </w:rPr>
              <w:t>5%.</w:t>
            </w:r>
          </w:p>
        </w:tc>
      </w:tr>
      <w:tr w:rsidR="000A1793" w14:paraId="16E2C941" w14:textId="77777777" w:rsidTr="00EA4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op w:w="57" w:type="dxa"/>
              <w:bottom w:w="57" w:type="dxa"/>
            </w:tcMar>
          </w:tcPr>
          <w:p w14:paraId="5F860DF8" w14:textId="77777777" w:rsidR="000A1793" w:rsidRDefault="000A1793" w:rsidP="00EA47B5">
            <w:pPr>
              <w:spacing w:before="0" w:after="0"/>
              <w:rPr>
                <w:lang w:eastAsia="en-AU"/>
              </w:rPr>
            </w:pPr>
            <w:r>
              <w:rPr>
                <w:lang w:eastAsia="en-AU"/>
              </w:rPr>
              <w:t>Daily care and control of a child</w:t>
            </w:r>
          </w:p>
        </w:tc>
        <w:tc>
          <w:tcPr>
            <w:tcW w:w="8328" w:type="dxa"/>
            <w:tcMar>
              <w:top w:w="57" w:type="dxa"/>
              <w:bottom w:w="57" w:type="dxa"/>
            </w:tcMar>
          </w:tcPr>
          <w:p w14:paraId="34D2D283" w14:textId="51C12943" w:rsidR="000A1793" w:rsidRDefault="000A1793" w:rsidP="00EA47B5">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I</w:t>
            </w:r>
            <w:r w:rsidRPr="009C2AE1">
              <w:rPr>
                <w:lang w:eastAsia="en-AU"/>
              </w:rPr>
              <w:t>n regards to the definition of parent</w:t>
            </w:r>
            <w:r>
              <w:rPr>
                <w:lang w:eastAsia="en-AU"/>
              </w:rPr>
              <w:t>,</w:t>
            </w:r>
            <w:r w:rsidRPr="009C2AE1">
              <w:rPr>
                <w:lang w:eastAsia="en-AU"/>
              </w:rPr>
              <w:t xml:space="preserve"> refers to a person who is entitled to exercise all the powers and rights, and has all the responsibilities, in relation to the day</w:t>
            </w:r>
            <w:r w:rsidR="009A581C">
              <w:rPr>
                <w:lang w:eastAsia="en-AU"/>
              </w:rPr>
              <w:t xml:space="preserve"> </w:t>
            </w:r>
            <w:r w:rsidRPr="009C2AE1">
              <w:rPr>
                <w:lang w:eastAsia="en-AU"/>
              </w:rPr>
              <w:t>to</w:t>
            </w:r>
            <w:r w:rsidR="009A581C">
              <w:rPr>
                <w:lang w:eastAsia="en-AU"/>
              </w:rPr>
              <w:t xml:space="preserve"> </w:t>
            </w:r>
            <w:r w:rsidRPr="009C2AE1">
              <w:rPr>
                <w:lang w:eastAsia="en-AU"/>
              </w:rPr>
              <w:t>day care and control of the child</w:t>
            </w:r>
            <w:r>
              <w:rPr>
                <w:lang w:eastAsia="en-AU"/>
              </w:rPr>
              <w:t>.</w:t>
            </w:r>
          </w:p>
        </w:tc>
      </w:tr>
      <w:tr w:rsidR="000A1793" w14:paraId="3C64F028" w14:textId="77777777" w:rsidTr="00EA47B5">
        <w:tc>
          <w:tcPr>
            <w:cnfStyle w:val="001000000000" w:firstRow="0" w:lastRow="0" w:firstColumn="1" w:lastColumn="0" w:oddVBand="0" w:evenVBand="0" w:oddHBand="0" w:evenHBand="0" w:firstRowFirstColumn="0" w:firstRowLastColumn="0" w:lastRowFirstColumn="0" w:lastRowLastColumn="0"/>
            <w:tcW w:w="1980" w:type="dxa"/>
            <w:tcMar>
              <w:top w:w="57" w:type="dxa"/>
              <w:bottom w:w="57" w:type="dxa"/>
            </w:tcMar>
          </w:tcPr>
          <w:p w14:paraId="154F780A" w14:textId="77777777" w:rsidR="000A1793" w:rsidRDefault="000A1793" w:rsidP="00EA47B5">
            <w:pPr>
              <w:spacing w:before="0" w:after="0"/>
              <w:rPr>
                <w:lang w:eastAsia="en-AU"/>
              </w:rPr>
            </w:pPr>
            <w:r>
              <w:rPr>
                <w:lang w:eastAsia="en-AU"/>
              </w:rPr>
              <w:t>Eligible</w:t>
            </w:r>
          </w:p>
        </w:tc>
        <w:tc>
          <w:tcPr>
            <w:tcW w:w="8328" w:type="dxa"/>
            <w:tcMar>
              <w:top w:w="57" w:type="dxa"/>
              <w:bottom w:w="57" w:type="dxa"/>
            </w:tcMar>
          </w:tcPr>
          <w:p w14:paraId="24BCDEAB" w14:textId="77777777" w:rsidR="000A1793" w:rsidRDefault="000A1793" w:rsidP="00BD679D">
            <w:pPr>
              <w:spacing w:before="0" w:after="60"/>
              <w:cnfStyle w:val="000000000000" w:firstRow="0" w:lastRow="0" w:firstColumn="0" w:lastColumn="0" w:oddVBand="0" w:evenVBand="0" w:oddHBand="0" w:evenHBand="0" w:firstRowFirstColumn="0" w:firstRowLastColumn="0" w:lastRowFirstColumn="0" w:lastRowLastColumn="0"/>
              <w:rPr>
                <w:lang w:eastAsia="en-AU"/>
              </w:rPr>
            </w:pPr>
            <w:r>
              <w:rPr>
                <w:lang w:eastAsia="en-AU"/>
              </w:rPr>
              <w:t>Children who:</w:t>
            </w:r>
          </w:p>
          <w:p w14:paraId="7CB70116" w14:textId="2D317598" w:rsidR="000A1793" w:rsidRDefault="000A1793" w:rsidP="00BD679D">
            <w:pPr>
              <w:pStyle w:val="ListParagraph"/>
              <w:numPr>
                <w:ilvl w:val="0"/>
                <w:numId w:val="27"/>
              </w:numPr>
              <w:spacing w:before="0" w:after="60"/>
              <w:ind w:left="320"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have Australian citizenship, permanent residency or hold a relevant visa</w:t>
            </w:r>
          </w:p>
          <w:p w14:paraId="13B1A753" w14:textId="77777777" w:rsidR="000A1793" w:rsidRDefault="000A1793" w:rsidP="00BD679D">
            <w:pPr>
              <w:pStyle w:val="ListParagraph"/>
              <w:numPr>
                <w:ilvl w:val="0"/>
                <w:numId w:val="27"/>
              </w:numPr>
              <w:spacing w:before="0" w:after="60"/>
              <w:ind w:left="320"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reside in the NT</w:t>
            </w:r>
          </w:p>
          <w:p w14:paraId="216CD839" w14:textId="77777777" w:rsidR="000A1793" w:rsidRDefault="000A1793" w:rsidP="00BD679D">
            <w:pPr>
              <w:pStyle w:val="ListParagraph"/>
              <w:numPr>
                <w:ilvl w:val="0"/>
                <w:numId w:val="27"/>
              </w:numPr>
              <w:spacing w:before="0" w:after="60"/>
              <w:ind w:left="320"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meet the age of entry requirements for either:</w:t>
            </w:r>
          </w:p>
          <w:p w14:paraId="67AFB79B" w14:textId="77777777" w:rsidR="000A1793" w:rsidRDefault="000A1793" w:rsidP="00BD679D">
            <w:pPr>
              <w:pStyle w:val="ListParagraph"/>
              <w:numPr>
                <w:ilvl w:val="0"/>
                <w:numId w:val="30"/>
              </w:numPr>
              <w:spacing w:before="0" w:after="60"/>
              <w:ind w:left="604"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pre-compulsory school age</w:t>
            </w:r>
          </w:p>
          <w:p w14:paraId="5B23984A" w14:textId="77777777" w:rsidR="000A1793" w:rsidRDefault="000A1793" w:rsidP="00BD679D">
            <w:pPr>
              <w:pStyle w:val="ListParagraph"/>
              <w:numPr>
                <w:ilvl w:val="0"/>
                <w:numId w:val="30"/>
              </w:numPr>
              <w:spacing w:before="0" w:after="60"/>
              <w:ind w:left="604"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compulsory school age or compulsory participation phase age requirements between the ages of 6 and 17 years</w:t>
            </w:r>
          </w:p>
          <w:p w14:paraId="7F9626B2" w14:textId="77777777" w:rsidR="000A1793" w:rsidRDefault="000A1793" w:rsidP="00BD679D">
            <w:pPr>
              <w:pStyle w:val="ListParagraph"/>
              <w:numPr>
                <w:ilvl w:val="0"/>
                <w:numId w:val="27"/>
              </w:numPr>
              <w:spacing w:before="0" w:after="60"/>
              <w:ind w:left="320"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meet the mature age enrolment requirements</w:t>
            </w:r>
          </w:p>
          <w:p w14:paraId="3E57765F" w14:textId="5AD42917" w:rsidR="000A1793" w:rsidRDefault="000A1793" w:rsidP="00BD679D">
            <w:pPr>
              <w:pStyle w:val="ListParagraph"/>
              <w:numPr>
                <w:ilvl w:val="0"/>
                <w:numId w:val="27"/>
              </w:numPr>
              <w:spacing w:before="0" w:after="0"/>
              <w:ind w:left="320"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have not been expelled by the Minister</w:t>
            </w:r>
            <w:r w:rsidR="00EA47B5">
              <w:rPr>
                <w:lang w:eastAsia="en-AU"/>
              </w:rPr>
              <w:t>,</w:t>
            </w:r>
            <w:r>
              <w:rPr>
                <w:lang w:eastAsia="en-AU"/>
              </w:rPr>
              <w:t xml:space="preserve"> refer to the Expulsion guidelines.</w:t>
            </w:r>
          </w:p>
        </w:tc>
      </w:tr>
      <w:tr w:rsidR="000A1793" w14:paraId="4888C601" w14:textId="77777777" w:rsidTr="00EA4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op w:w="57" w:type="dxa"/>
              <w:bottom w:w="57" w:type="dxa"/>
            </w:tcMar>
          </w:tcPr>
          <w:p w14:paraId="075DF99D" w14:textId="77777777" w:rsidR="000A1793" w:rsidRDefault="000A1793" w:rsidP="00EA47B5">
            <w:pPr>
              <w:spacing w:before="0" w:after="0"/>
              <w:rPr>
                <w:lang w:eastAsia="en-AU"/>
              </w:rPr>
            </w:pPr>
            <w:r>
              <w:rPr>
                <w:lang w:eastAsia="en-AU"/>
              </w:rPr>
              <w:t>Enrolment management plan</w:t>
            </w:r>
          </w:p>
        </w:tc>
        <w:tc>
          <w:tcPr>
            <w:tcW w:w="8328" w:type="dxa"/>
            <w:tcMar>
              <w:top w:w="57" w:type="dxa"/>
              <w:bottom w:w="57" w:type="dxa"/>
            </w:tcMar>
          </w:tcPr>
          <w:p w14:paraId="3B3DAFA9" w14:textId="77777777" w:rsidR="000A1793" w:rsidRDefault="000A1793" w:rsidP="00EA47B5">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D</w:t>
            </w:r>
            <w:r w:rsidRPr="009C2AE1">
              <w:rPr>
                <w:lang w:eastAsia="en-AU"/>
              </w:rPr>
              <w:t xml:space="preserve">eveloped when a school is approaching or has reached </w:t>
            </w:r>
            <w:r>
              <w:rPr>
                <w:lang w:eastAsia="en-AU"/>
              </w:rPr>
              <w:t>85%</w:t>
            </w:r>
            <w:r w:rsidRPr="009C2AE1">
              <w:rPr>
                <w:lang w:eastAsia="en-AU"/>
              </w:rPr>
              <w:t xml:space="preserve"> of its operational capacity</w:t>
            </w:r>
            <w:r>
              <w:rPr>
                <w:lang w:eastAsia="en-AU"/>
              </w:rPr>
              <w:t>.</w:t>
            </w:r>
          </w:p>
        </w:tc>
      </w:tr>
      <w:tr w:rsidR="000A1793" w14:paraId="566FFC62" w14:textId="77777777" w:rsidTr="00EA47B5">
        <w:tc>
          <w:tcPr>
            <w:cnfStyle w:val="001000000000" w:firstRow="0" w:lastRow="0" w:firstColumn="1" w:lastColumn="0" w:oddVBand="0" w:evenVBand="0" w:oddHBand="0" w:evenHBand="0" w:firstRowFirstColumn="0" w:firstRowLastColumn="0" w:lastRowFirstColumn="0" w:lastRowLastColumn="0"/>
            <w:tcW w:w="1980" w:type="dxa"/>
            <w:tcMar>
              <w:top w:w="57" w:type="dxa"/>
              <w:bottom w:w="57" w:type="dxa"/>
            </w:tcMar>
          </w:tcPr>
          <w:p w14:paraId="4220E583" w14:textId="77777777" w:rsidR="000A1793" w:rsidRDefault="000A1793" w:rsidP="00EA47B5">
            <w:pPr>
              <w:spacing w:before="0" w:after="0"/>
              <w:rPr>
                <w:lang w:eastAsia="en-AU"/>
              </w:rPr>
            </w:pPr>
            <w:r>
              <w:rPr>
                <w:lang w:eastAsia="en-AU"/>
              </w:rPr>
              <w:t>Operational capacity</w:t>
            </w:r>
          </w:p>
        </w:tc>
        <w:tc>
          <w:tcPr>
            <w:tcW w:w="8328" w:type="dxa"/>
            <w:tcMar>
              <w:top w:w="57" w:type="dxa"/>
              <w:bottom w:w="57" w:type="dxa"/>
            </w:tcMar>
          </w:tcPr>
          <w:p w14:paraId="0311A191" w14:textId="77777777" w:rsidR="000A1793" w:rsidRDefault="000A1793" w:rsidP="00EA47B5">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T</w:t>
            </w:r>
            <w:r w:rsidRPr="009C2AE1">
              <w:rPr>
                <w:lang w:eastAsia="en-AU"/>
              </w:rPr>
              <w:t>otal number of students that the school facilities and infrastructure can support, taking into consideration all programs offered by the school, while maximising the effective use of teaching, learning and ancillary spaces. It is calculated using a formula and periodically reviewed and agreed to by the principal</w:t>
            </w:r>
            <w:r>
              <w:rPr>
                <w:lang w:eastAsia="en-AU"/>
              </w:rPr>
              <w:t>.</w:t>
            </w:r>
          </w:p>
        </w:tc>
      </w:tr>
      <w:tr w:rsidR="00AC25FF" w14:paraId="153AD24C" w14:textId="77777777" w:rsidTr="00EA4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op w:w="57" w:type="dxa"/>
              <w:bottom w:w="57" w:type="dxa"/>
            </w:tcMar>
          </w:tcPr>
          <w:p w14:paraId="21322B19" w14:textId="77777777" w:rsidR="00AC25FF" w:rsidRDefault="00AC25FF" w:rsidP="00EA47B5">
            <w:pPr>
              <w:spacing w:before="0" w:after="0"/>
              <w:rPr>
                <w:lang w:eastAsia="en-AU"/>
              </w:rPr>
            </w:pPr>
            <w:r>
              <w:rPr>
                <w:lang w:eastAsia="en-AU"/>
              </w:rPr>
              <w:t>Parent</w:t>
            </w:r>
          </w:p>
        </w:tc>
        <w:tc>
          <w:tcPr>
            <w:tcW w:w="8328" w:type="dxa"/>
            <w:tcMar>
              <w:top w:w="57" w:type="dxa"/>
              <w:bottom w:w="57" w:type="dxa"/>
            </w:tcMar>
          </w:tcPr>
          <w:p w14:paraId="1CAC335A" w14:textId="085A68D1" w:rsidR="00AC25FF" w:rsidRPr="00AC25FF" w:rsidRDefault="00AC25FF" w:rsidP="00EA47B5">
            <w:pPr>
              <w:spacing w:before="0" w:after="0"/>
              <w:cnfStyle w:val="000000010000" w:firstRow="0" w:lastRow="0" w:firstColumn="0" w:lastColumn="0" w:oddVBand="0" w:evenVBand="0" w:oddHBand="0" w:evenHBand="1" w:firstRowFirstColumn="0" w:firstRowLastColumn="0" w:lastRowFirstColumn="0" w:lastRowLastColumn="0"/>
            </w:pPr>
            <w:r w:rsidRPr="00AC25FF">
              <w:t>A child’s father, mother or any other person who has parental responsibility for that child, including a person who is regarded as a parent of the child under Aboriginal customary law or tradition. The definition of a parent does not include a person standing in place of the parent on a temporary basis.</w:t>
            </w:r>
          </w:p>
        </w:tc>
      </w:tr>
      <w:tr w:rsidR="00AC25FF" w14:paraId="38966375" w14:textId="77777777" w:rsidTr="00EA47B5">
        <w:tc>
          <w:tcPr>
            <w:cnfStyle w:val="001000000000" w:firstRow="0" w:lastRow="0" w:firstColumn="1" w:lastColumn="0" w:oddVBand="0" w:evenVBand="0" w:oddHBand="0" w:evenHBand="0" w:firstRowFirstColumn="0" w:firstRowLastColumn="0" w:lastRowFirstColumn="0" w:lastRowLastColumn="0"/>
            <w:tcW w:w="1980" w:type="dxa"/>
            <w:tcMar>
              <w:top w:w="57" w:type="dxa"/>
              <w:bottom w:w="57" w:type="dxa"/>
            </w:tcMar>
          </w:tcPr>
          <w:p w14:paraId="0CA275D8" w14:textId="77777777" w:rsidR="00AC25FF" w:rsidRDefault="00AC25FF" w:rsidP="00EA47B5">
            <w:pPr>
              <w:spacing w:before="0" w:after="0"/>
              <w:rPr>
                <w:lang w:eastAsia="en-AU"/>
              </w:rPr>
            </w:pPr>
            <w:r>
              <w:rPr>
                <w:lang w:eastAsia="en-AU"/>
              </w:rPr>
              <w:t>Parental responsibility</w:t>
            </w:r>
          </w:p>
        </w:tc>
        <w:tc>
          <w:tcPr>
            <w:tcW w:w="8328" w:type="dxa"/>
            <w:tcMar>
              <w:top w:w="57" w:type="dxa"/>
              <w:bottom w:w="57" w:type="dxa"/>
            </w:tcMar>
          </w:tcPr>
          <w:p w14:paraId="4F8F96D7" w14:textId="77777777" w:rsidR="00AC25FF" w:rsidRDefault="00AC25FF" w:rsidP="00BD679D">
            <w:pPr>
              <w:spacing w:before="0" w:after="60"/>
              <w:cnfStyle w:val="000000000000" w:firstRow="0" w:lastRow="0" w:firstColumn="0" w:lastColumn="0" w:oddVBand="0" w:evenVBand="0" w:oddHBand="0" w:evenHBand="0" w:firstRowFirstColumn="0" w:firstRowLastColumn="0" w:lastRowFirstColumn="0" w:lastRowLastColumn="0"/>
              <w:rPr>
                <w:lang w:eastAsia="en-AU"/>
              </w:rPr>
            </w:pPr>
            <w:r>
              <w:rPr>
                <w:lang w:eastAsia="en-AU"/>
              </w:rPr>
              <w:t>A person who has:</w:t>
            </w:r>
          </w:p>
          <w:p w14:paraId="529A98DC" w14:textId="77777777" w:rsidR="00AC25FF" w:rsidRDefault="00AC25FF" w:rsidP="005B256A">
            <w:pPr>
              <w:spacing w:before="0" w:after="60"/>
              <w:ind w:left="462" w:hanging="425"/>
              <w:cnfStyle w:val="000000000000" w:firstRow="0" w:lastRow="0" w:firstColumn="0" w:lastColumn="0" w:oddVBand="0" w:evenVBand="0" w:oddHBand="0" w:evenHBand="0" w:firstRowFirstColumn="0" w:firstRowLastColumn="0" w:lastRowFirstColumn="0" w:lastRowLastColumn="0"/>
              <w:rPr>
                <w:lang w:eastAsia="en-AU"/>
              </w:rPr>
            </w:pPr>
            <w:r>
              <w:rPr>
                <w:lang w:eastAsia="en-AU"/>
              </w:rPr>
              <w:t>(a)</w:t>
            </w:r>
            <w:r>
              <w:rPr>
                <w:lang w:eastAsia="en-AU"/>
              </w:rPr>
              <w:tab/>
              <w:t>daily care and control of the child</w:t>
            </w:r>
          </w:p>
          <w:p w14:paraId="0FE71933" w14:textId="5A9CD722" w:rsidR="00AC25FF" w:rsidRDefault="00AC25FF" w:rsidP="005B256A">
            <w:pPr>
              <w:spacing w:before="0" w:after="60"/>
              <w:ind w:left="462" w:hanging="425"/>
              <w:cnfStyle w:val="000000000000" w:firstRow="0" w:lastRow="0" w:firstColumn="0" w:lastColumn="0" w:oddVBand="0" w:evenVBand="0" w:oddHBand="0" w:evenHBand="0" w:firstRowFirstColumn="0" w:firstRowLastColumn="0" w:lastRowFirstColumn="0" w:lastRowLastColumn="0"/>
              <w:rPr>
                <w:lang w:eastAsia="en-AU"/>
              </w:rPr>
            </w:pPr>
            <w:r>
              <w:rPr>
                <w:lang w:eastAsia="en-AU"/>
              </w:rPr>
              <w:t>(b)</w:t>
            </w:r>
            <w:r>
              <w:rPr>
                <w:lang w:eastAsia="en-AU"/>
              </w:rPr>
              <w:tab/>
              <w:t>is entitled to exercise all the powers and rights, and has all the responsibilities, in relation to the long-term care and development of the child or</w:t>
            </w:r>
          </w:p>
          <w:p w14:paraId="2FBE74DF" w14:textId="77777777" w:rsidR="00AC25FF" w:rsidRDefault="00AC25FF" w:rsidP="005B256A">
            <w:pPr>
              <w:spacing w:before="0" w:after="0"/>
              <w:ind w:left="462" w:hanging="425"/>
              <w:cnfStyle w:val="000000000000" w:firstRow="0" w:lastRow="0" w:firstColumn="0" w:lastColumn="0" w:oddVBand="0" w:evenVBand="0" w:oddHBand="0" w:evenHBand="0" w:firstRowFirstColumn="0" w:firstRowLastColumn="0" w:lastRowFirstColumn="0" w:lastRowLastColumn="0"/>
              <w:rPr>
                <w:lang w:eastAsia="en-AU"/>
              </w:rPr>
            </w:pPr>
            <w:r>
              <w:rPr>
                <w:lang w:eastAsia="en-AU"/>
              </w:rPr>
              <w:t>(c)</w:t>
            </w:r>
            <w:r>
              <w:rPr>
                <w:lang w:eastAsia="en-AU"/>
              </w:rPr>
              <w:tab/>
              <w:t>has daily care and control of the child and the entitlement and responsibilities at (b) and includes a person who has been given the above responsibilities under another state or territory law.</w:t>
            </w:r>
          </w:p>
        </w:tc>
      </w:tr>
      <w:tr w:rsidR="00AC25FF" w14:paraId="293F0956" w14:textId="77777777" w:rsidTr="00EA4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op w:w="57" w:type="dxa"/>
              <w:bottom w:w="57" w:type="dxa"/>
            </w:tcMar>
          </w:tcPr>
          <w:p w14:paraId="7C724E2D" w14:textId="77777777" w:rsidR="00AC25FF" w:rsidRDefault="00AC25FF" w:rsidP="00EA47B5">
            <w:pPr>
              <w:spacing w:before="0" w:after="0"/>
              <w:rPr>
                <w:lang w:eastAsia="en-AU"/>
              </w:rPr>
            </w:pPr>
            <w:r>
              <w:rPr>
                <w:lang w:eastAsia="en-AU"/>
              </w:rPr>
              <w:t>Priority enrolment area</w:t>
            </w:r>
          </w:p>
        </w:tc>
        <w:tc>
          <w:tcPr>
            <w:tcW w:w="8328" w:type="dxa"/>
            <w:tcMar>
              <w:top w:w="57" w:type="dxa"/>
              <w:bottom w:w="57" w:type="dxa"/>
            </w:tcMar>
          </w:tcPr>
          <w:p w14:paraId="482E09E9" w14:textId="77777777" w:rsidR="00AC25FF" w:rsidRDefault="00AC25FF" w:rsidP="00EA47B5">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T</w:t>
            </w:r>
            <w:r w:rsidRPr="009C2AE1">
              <w:rPr>
                <w:lang w:eastAsia="en-AU"/>
              </w:rPr>
              <w:t>he geographical area surrounding a school that includes residential properties. Children residing within the priority enrolment area have priority of placement within the school over children who live outside the priority enrolment area</w:t>
            </w:r>
            <w:r>
              <w:rPr>
                <w:lang w:eastAsia="en-AU"/>
              </w:rPr>
              <w:t>.</w:t>
            </w:r>
          </w:p>
        </w:tc>
      </w:tr>
      <w:tr w:rsidR="00AC25FF" w14:paraId="7E6CAAB0" w14:textId="77777777" w:rsidTr="00EA47B5">
        <w:tc>
          <w:tcPr>
            <w:cnfStyle w:val="001000000000" w:firstRow="0" w:lastRow="0" w:firstColumn="1" w:lastColumn="0" w:oddVBand="0" w:evenVBand="0" w:oddHBand="0" w:evenHBand="0" w:firstRowFirstColumn="0" w:firstRowLastColumn="0" w:lastRowFirstColumn="0" w:lastRowLastColumn="0"/>
            <w:tcW w:w="1980" w:type="dxa"/>
            <w:tcMar>
              <w:top w:w="57" w:type="dxa"/>
              <w:bottom w:w="57" w:type="dxa"/>
            </w:tcMar>
          </w:tcPr>
          <w:p w14:paraId="7255EBFA" w14:textId="77777777" w:rsidR="00AC25FF" w:rsidRDefault="00AC25FF" w:rsidP="00EA47B5">
            <w:pPr>
              <w:spacing w:before="0" w:after="0"/>
              <w:rPr>
                <w:lang w:eastAsia="en-AU"/>
              </w:rPr>
            </w:pPr>
            <w:r>
              <w:rPr>
                <w:lang w:eastAsia="en-AU"/>
              </w:rPr>
              <w:t>Proof of residence</w:t>
            </w:r>
          </w:p>
        </w:tc>
        <w:tc>
          <w:tcPr>
            <w:tcW w:w="8328" w:type="dxa"/>
            <w:tcMar>
              <w:top w:w="57" w:type="dxa"/>
              <w:bottom w:w="57" w:type="dxa"/>
            </w:tcMar>
          </w:tcPr>
          <w:p w14:paraId="654AB773" w14:textId="77777777" w:rsidR="00AC25FF" w:rsidRDefault="00AC25FF" w:rsidP="00EA47B5">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R</w:t>
            </w:r>
            <w:r w:rsidRPr="009C2AE1">
              <w:rPr>
                <w:lang w:eastAsia="en-AU"/>
              </w:rPr>
              <w:t xml:space="preserve">equired to support an application for enrolment when a school has an Enrolment </w:t>
            </w:r>
            <w:r>
              <w:rPr>
                <w:lang w:eastAsia="en-AU"/>
              </w:rPr>
              <w:t>m</w:t>
            </w:r>
            <w:r w:rsidRPr="009C2AE1">
              <w:rPr>
                <w:lang w:eastAsia="en-AU"/>
              </w:rPr>
              <w:t xml:space="preserve">anagement </w:t>
            </w:r>
            <w:r>
              <w:rPr>
                <w:lang w:eastAsia="en-AU"/>
              </w:rPr>
              <w:t>p</w:t>
            </w:r>
            <w:r w:rsidRPr="009C2AE1">
              <w:rPr>
                <w:lang w:eastAsia="en-AU"/>
              </w:rPr>
              <w:t xml:space="preserve">lan in force. Proof of residence must display the actual residential address of the student </w:t>
            </w:r>
            <w:r>
              <w:rPr>
                <w:lang w:eastAsia="en-AU"/>
              </w:rPr>
              <w:t xml:space="preserve">such as </w:t>
            </w:r>
            <w:r w:rsidRPr="009C2AE1">
              <w:rPr>
                <w:lang w:eastAsia="en-AU"/>
              </w:rPr>
              <w:t xml:space="preserve">a </w:t>
            </w:r>
            <w:r>
              <w:rPr>
                <w:lang w:eastAsia="en-AU"/>
              </w:rPr>
              <w:t xml:space="preserve">current </w:t>
            </w:r>
            <w:r w:rsidRPr="009C2AE1">
              <w:rPr>
                <w:lang w:eastAsia="en-AU"/>
              </w:rPr>
              <w:t>telephone bill, power bill or rental agreement. A document indicating a post office box is not considered adequate proof of residence</w:t>
            </w:r>
            <w:r>
              <w:rPr>
                <w:lang w:eastAsia="en-AU"/>
              </w:rPr>
              <w:t>.</w:t>
            </w:r>
          </w:p>
        </w:tc>
      </w:tr>
    </w:tbl>
    <w:p w14:paraId="2B048E31" w14:textId="794F97C0" w:rsidR="007F76A4" w:rsidRDefault="007F76A4" w:rsidP="007F76A4">
      <w:pPr>
        <w:pStyle w:val="Heading1"/>
        <w:rPr>
          <w:lang w:eastAsia="en-AU"/>
        </w:rPr>
      </w:pPr>
      <w:bookmarkStart w:id="22" w:name="_Toc133487632"/>
      <w:r>
        <w:rPr>
          <w:lang w:eastAsia="en-AU"/>
        </w:rPr>
        <w:t xml:space="preserve">Related </w:t>
      </w:r>
      <w:r w:rsidR="00AC25FF">
        <w:rPr>
          <w:lang w:eastAsia="en-AU"/>
        </w:rPr>
        <w:t>legislation, p</w:t>
      </w:r>
      <w:r>
        <w:rPr>
          <w:lang w:eastAsia="en-AU"/>
        </w:rPr>
        <w:t>olicy and documents</w:t>
      </w:r>
      <w:bookmarkEnd w:id="22"/>
    </w:p>
    <w:p w14:paraId="7587CA84" w14:textId="77777777" w:rsidR="00AC25FF" w:rsidRDefault="00AC25FF" w:rsidP="00AC25FF">
      <w:pPr>
        <w:pStyle w:val="Heading2"/>
      </w:pPr>
      <w:bookmarkStart w:id="23" w:name="_Toc133487633"/>
      <w:r>
        <w:t>Legislation</w:t>
      </w:r>
      <w:bookmarkEnd w:id="23"/>
    </w:p>
    <w:p w14:paraId="75711BEB" w14:textId="646F8E08" w:rsidR="00AC25FF" w:rsidRPr="000A62AD" w:rsidRDefault="00AC25FF" w:rsidP="00EA47B5">
      <w:pPr>
        <w:pStyle w:val="ListParagraph"/>
        <w:numPr>
          <w:ilvl w:val="0"/>
          <w:numId w:val="36"/>
        </w:numPr>
        <w:spacing w:after="200"/>
        <w:ind w:left="567" w:hanging="283"/>
        <w:rPr>
          <w:lang w:eastAsia="en-AU"/>
        </w:rPr>
      </w:pPr>
      <w:r w:rsidRPr="000A62AD">
        <w:t>Disability Standards for Education 2005 (</w:t>
      </w:r>
      <w:proofErr w:type="spellStart"/>
      <w:r w:rsidRPr="000A62AD">
        <w:t>Cth</w:t>
      </w:r>
      <w:proofErr w:type="spellEnd"/>
      <w:r w:rsidRPr="000A62AD">
        <w:t>)</w:t>
      </w:r>
      <w:r>
        <w:rPr>
          <w:lang w:eastAsia="en-AU"/>
        </w:rPr>
        <w:t xml:space="preserve"> - </w:t>
      </w:r>
      <w:hyperlink r:id="rId15" w:history="1">
        <w:r w:rsidRPr="00E96593">
          <w:rPr>
            <w:rStyle w:val="Hyperlink"/>
            <w:lang w:eastAsia="en-AU"/>
          </w:rPr>
          <w:t>https://www.education.gov.au/disability-standards-education-2005</w:t>
        </w:r>
      </w:hyperlink>
    </w:p>
    <w:p w14:paraId="0F48EADA" w14:textId="26A8B149" w:rsidR="00AC25FF" w:rsidRPr="00EA47B5" w:rsidRDefault="00AC25FF" w:rsidP="00EA47B5">
      <w:pPr>
        <w:pStyle w:val="ListParagraph"/>
        <w:numPr>
          <w:ilvl w:val="0"/>
          <w:numId w:val="36"/>
        </w:numPr>
        <w:spacing w:after="200"/>
        <w:ind w:left="567" w:hanging="283"/>
        <w:rPr>
          <w:lang w:eastAsia="en-AU"/>
        </w:rPr>
      </w:pPr>
      <w:r w:rsidRPr="000A62AD">
        <w:rPr>
          <w:i/>
        </w:rPr>
        <w:t xml:space="preserve">Education Act </w:t>
      </w:r>
      <w:r w:rsidRPr="00EA47B5">
        <w:rPr>
          <w:i/>
        </w:rPr>
        <w:t>2015</w:t>
      </w:r>
      <w:r w:rsidRPr="00EA47B5">
        <w:rPr>
          <w:lang w:eastAsia="en-AU"/>
        </w:rPr>
        <w:t xml:space="preserve"> - </w:t>
      </w:r>
      <w:hyperlink r:id="rId16" w:history="1">
        <w:r w:rsidRPr="00EA47B5">
          <w:rPr>
            <w:rStyle w:val="Hyperlink"/>
            <w:lang w:eastAsia="en-AU"/>
          </w:rPr>
          <w:t>https://legislation.nt.gov.au/Legislation/EDUCATION-ACT-2015</w:t>
        </w:r>
      </w:hyperlink>
    </w:p>
    <w:p w14:paraId="28E0B357" w14:textId="30A5F1F8" w:rsidR="00AC25FF" w:rsidRPr="00AC25FF" w:rsidRDefault="00AC25FF" w:rsidP="00EA47B5">
      <w:pPr>
        <w:pStyle w:val="ListParagraph"/>
        <w:numPr>
          <w:ilvl w:val="0"/>
          <w:numId w:val="36"/>
        </w:numPr>
        <w:spacing w:after="200"/>
        <w:ind w:left="567" w:hanging="283"/>
      </w:pPr>
      <w:r w:rsidRPr="000A62AD">
        <w:t>Education Regulations 2015</w:t>
      </w:r>
      <w:r>
        <w:t xml:space="preserve"> – </w:t>
      </w:r>
      <w:hyperlink r:id="rId17" w:history="1">
        <w:r w:rsidRPr="00AD6A36">
          <w:rPr>
            <w:rStyle w:val="Hyperlink"/>
          </w:rPr>
          <w:t>https://legislation.nt.gov.au/Legislation/EDUCATION-REGULATIONS-2015</w:t>
        </w:r>
      </w:hyperlink>
    </w:p>
    <w:p w14:paraId="3648A22F" w14:textId="028F7F35" w:rsidR="007F76A4" w:rsidRDefault="007F76A4" w:rsidP="00AC25FF">
      <w:pPr>
        <w:pStyle w:val="Heading2"/>
      </w:pPr>
      <w:bookmarkStart w:id="24" w:name="_Toc133487634"/>
      <w:r>
        <w:t>Policy</w:t>
      </w:r>
      <w:r w:rsidR="00AC25FF">
        <w:t xml:space="preserve"> and </w:t>
      </w:r>
      <w:r w:rsidR="006C3D9F">
        <w:t>documents</w:t>
      </w:r>
      <w:bookmarkEnd w:id="24"/>
    </w:p>
    <w:p w14:paraId="300866A1" w14:textId="694096A0" w:rsidR="007F76A4" w:rsidRDefault="00B577F9" w:rsidP="00EA47B5">
      <w:pPr>
        <w:pStyle w:val="ListParagraph"/>
        <w:numPr>
          <w:ilvl w:val="0"/>
          <w:numId w:val="35"/>
        </w:numPr>
        <w:spacing w:after="200"/>
        <w:ind w:left="567" w:hanging="283"/>
        <w:rPr>
          <w:lang w:eastAsia="en-AU"/>
        </w:rPr>
      </w:pPr>
      <w:r w:rsidRPr="000A62AD">
        <w:t>Enrolment policy, guidelines and procedures</w:t>
      </w:r>
      <w:r>
        <w:rPr>
          <w:lang w:eastAsia="en-AU"/>
        </w:rPr>
        <w:t xml:space="preserve"> - </w:t>
      </w:r>
      <w:hyperlink r:id="rId18" w:history="1">
        <w:r w:rsidRPr="00E96593">
          <w:rPr>
            <w:rStyle w:val="Hyperlink"/>
            <w:lang w:eastAsia="en-AU"/>
          </w:rPr>
          <w:t>https://education.nt.gov.au/policies/student-enrolment/enrolment</w:t>
        </w:r>
      </w:hyperlink>
    </w:p>
    <w:p w14:paraId="75C793EF" w14:textId="6DDF68AA" w:rsidR="007F76A4" w:rsidRDefault="00B577F9" w:rsidP="00EA47B5">
      <w:pPr>
        <w:pStyle w:val="ListParagraph"/>
        <w:numPr>
          <w:ilvl w:val="0"/>
          <w:numId w:val="35"/>
        </w:numPr>
        <w:spacing w:after="200"/>
        <w:ind w:left="567" w:hanging="283"/>
        <w:rPr>
          <w:lang w:eastAsia="en-AU"/>
        </w:rPr>
      </w:pPr>
      <w:r w:rsidRPr="000A62AD">
        <w:t>Expulsion guidelines</w:t>
      </w:r>
      <w:r>
        <w:rPr>
          <w:lang w:eastAsia="en-AU"/>
        </w:rPr>
        <w:t xml:space="preserve"> - </w:t>
      </w:r>
      <w:hyperlink r:id="rId19" w:history="1">
        <w:r w:rsidRPr="00E96593">
          <w:rPr>
            <w:rStyle w:val="Hyperlink"/>
            <w:lang w:eastAsia="en-AU"/>
          </w:rPr>
          <w:t>https://education.nt.gov.au/policies/health-safety/behaviour-and-wellbeing</w:t>
        </w:r>
      </w:hyperlink>
    </w:p>
    <w:p w14:paraId="51C40E1F" w14:textId="2EBF3B38" w:rsidR="00C910B1" w:rsidRDefault="00B577F9" w:rsidP="00EA47B5">
      <w:pPr>
        <w:pStyle w:val="ListParagraph"/>
        <w:numPr>
          <w:ilvl w:val="0"/>
          <w:numId w:val="37"/>
        </w:numPr>
        <w:spacing w:after="200"/>
        <w:ind w:left="567" w:hanging="283"/>
        <w:rPr>
          <w:lang w:eastAsia="en-AU"/>
        </w:rPr>
      </w:pPr>
      <w:r w:rsidRPr="000A62AD">
        <w:t>Enrolment management plan template</w:t>
      </w:r>
      <w:r>
        <w:rPr>
          <w:lang w:eastAsia="en-AU"/>
        </w:rPr>
        <w:t xml:space="preserve"> - </w:t>
      </w:r>
      <w:hyperlink r:id="rId20" w:history="1">
        <w:r w:rsidRPr="00E96593">
          <w:rPr>
            <w:rStyle w:val="Hyperlink"/>
            <w:lang w:eastAsia="en-AU"/>
          </w:rPr>
          <w:t>https://education.nt.gov.au/policies/student-enrolment/enrolment</w:t>
        </w:r>
      </w:hyperlink>
    </w:p>
    <w:p w14:paraId="6C451A1B" w14:textId="66046600" w:rsidR="006D29CB" w:rsidRDefault="006D29CB">
      <w:pPr>
        <w:rPr>
          <w:lang w:eastAsia="en-AU"/>
        </w:rPr>
      </w:pPr>
      <w:r>
        <w:rPr>
          <w:lang w:eastAsia="en-AU"/>
        </w:rPr>
        <w:br w:type="page"/>
      </w:r>
    </w:p>
    <w:p w14:paraId="0C821C29" w14:textId="77777777" w:rsidR="00FE5B5A" w:rsidRDefault="00FE5B5A" w:rsidP="00FE5B5A">
      <w:pPr>
        <w:rPr>
          <w:lang w:eastAsia="en-AU"/>
        </w:rPr>
      </w:pPr>
    </w:p>
    <w:tbl>
      <w:tblPr>
        <w:tblStyle w:val="NTGtable1"/>
        <w:tblW w:w="10348" w:type="dxa"/>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2410"/>
        <w:gridCol w:w="7938"/>
      </w:tblGrid>
      <w:tr w:rsidR="00FE5B5A" w14:paraId="3047DE95" w14:textId="77777777" w:rsidTr="001076F6">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767EF801" w14:textId="77777777" w:rsidR="00FE5B5A" w:rsidRPr="0054507C" w:rsidRDefault="00FE5B5A" w:rsidP="007B7306">
            <w:pPr>
              <w:spacing w:before="0" w:after="0"/>
              <w:rPr>
                <w:b/>
              </w:rPr>
            </w:pPr>
            <w:r w:rsidRPr="0054507C">
              <w:rPr>
                <w:b/>
              </w:rPr>
              <w:t>Document title</w:t>
            </w:r>
          </w:p>
        </w:tc>
        <w:tc>
          <w:tcPr>
            <w:tcW w:w="7938" w:type="dxa"/>
            <w:tcMar>
              <w:top w:w="57" w:type="dxa"/>
              <w:bottom w:w="57" w:type="dxa"/>
            </w:tcMar>
          </w:tcPr>
          <w:p w14:paraId="7FFD3785" w14:textId="39D27EA1" w:rsidR="00FE5B5A" w:rsidRPr="006145BB" w:rsidRDefault="000E07A9" w:rsidP="007B7306">
            <w:pPr>
              <w:spacing w:before="0" w:after="0"/>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A33566601201497BB755133785B7095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2126A">
                  <w:t>Enrolment management and priority enrolment – guidelines</w:t>
                </w:r>
              </w:sdtContent>
            </w:sdt>
          </w:p>
        </w:tc>
      </w:tr>
      <w:tr w:rsidR="00FE5B5A" w14:paraId="37645F7C" w14:textId="77777777" w:rsidTr="001076F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5032B7F2" w14:textId="77777777" w:rsidR="00FE5B5A" w:rsidRPr="0054507C" w:rsidRDefault="00FE5B5A" w:rsidP="007B7306">
            <w:pPr>
              <w:spacing w:before="0" w:after="0"/>
              <w:rPr>
                <w:b/>
              </w:rPr>
            </w:pPr>
            <w:r w:rsidRPr="0054507C">
              <w:rPr>
                <w:b/>
              </w:rPr>
              <w:t>Contact details</w:t>
            </w:r>
          </w:p>
        </w:tc>
        <w:tc>
          <w:tcPr>
            <w:tcW w:w="7938" w:type="dxa"/>
            <w:tcMar>
              <w:top w:w="57" w:type="dxa"/>
              <w:bottom w:w="57" w:type="dxa"/>
            </w:tcMar>
          </w:tcPr>
          <w:p w14:paraId="44C79322" w14:textId="6E48F163" w:rsidR="00FE5B5A" w:rsidRPr="006145BB" w:rsidRDefault="00E2126A" w:rsidP="007B7306">
            <w:pPr>
              <w:spacing w:before="0" w:after="0"/>
              <w:cnfStyle w:val="000000010000" w:firstRow="0" w:lastRow="0" w:firstColumn="0" w:lastColumn="0" w:oddVBand="0" w:evenVBand="0" w:oddHBand="0" w:evenHBand="1" w:firstRowFirstColumn="0" w:firstRowLastColumn="0" w:lastRowFirstColumn="0" w:lastRowLastColumn="0"/>
            </w:pPr>
            <w:r>
              <w:t xml:space="preserve">Regional Services, School Operations, </w:t>
            </w:r>
            <w:hyperlink r:id="rId21" w:history="1">
              <w:r w:rsidRPr="00C93AA4">
                <w:rPr>
                  <w:rStyle w:val="Hyperlink"/>
                </w:rPr>
                <w:t>schoolops@education.nt.gov.au</w:t>
              </w:r>
            </w:hyperlink>
          </w:p>
        </w:tc>
      </w:tr>
      <w:tr w:rsidR="00FE5B5A" w14:paraId="353E9297" w14:textId="77777777" w:rsidTr="001076F6">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20AFF39D" w14:textId="77777777" w:rsidR="00FE5B5A" w:rsidRPr="0054507C" w:rsidRDefault="00FE5B5A" w:rsidP="007B7306">
            <w:pPr>
              <w:spacing w:before="0" w:after="0"/>
              <w:rPr>
                <w:b/>
              </w:rPr>
            </w:pPr>
            <w:r w:rsidRPr="0054507C">
              <w:rPr>
                <w:b/>
              </w:rPr>
              <w:t>Approved by</w:t>
            </w:r>
          </w:p>
        </w:tc>
        <w:tc>
          <w:tcPr>
            <w:tcW w:w="7938" w:type="dxa"/>
            <w:tcMar>
              <w:top w:w="57" w:type="dxa"/>
              <w:bottom w:w="57" w:type="dxa"/>
            </w:tcMar>
          </w:tcPr>
          <w:p w14:paraId="1921802A" w14:textId="7D7D9ABB" w:rsidR="00FE5B5A" w:rsidRPr="006145BB" w:rsidRDefault="00767BBB" w:rsidP="007B7306">
            <w:pPr>
              <w:spacing w:before="0" w:after="0"/>
              <w:cnfStyle w:val="000000000000" w:firstRow="0" w:lastRow="0" w:firstColumn="0" w:lastColumn="0" w:oddVBand="0" w:evenVBand="0" w:oddHBand="0" w:evenHBand="0" w:firstRowFirstColumn="0" w:firstRowLastColumn="0" w:lastRowFirstColumn="0" w:lastRowLastColumn="0"/>
            </w:pPr>
            <w:r>
              <w:t>Deputy Chief Executive Regional Services</w:t>
            </w:r>
          </w:p>
        </w:tc>
      </w:tr>
      <w:tr w:rsidR="00FE5B5A" w14:paraId="625B9B01" w14:textId="77777777" w:rsidTr="001076F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3C8A81B3" w14:textId="77777777" w:rsidR="00FE5B5A" w:rsidRPr="0054507C" w:rsidRDefault="00FE5B5A" w:rsidP="007B7306">
            <w:pPr>
              <w:spacing w:before="0" w:after="0"/>
              <w:rPr>
                <w:b/>
              </w:rPr>
            </w:pPr>
            <w:r w:rsidRPr="0054507C">
              <w:rPr>
                <w:b/>
              </w:rPr>
              <w:t>Date approved</w:t>
            </w:r>
          </w:p>
        </w:tc>
        <w:tc>
          <w:tcPr>
            <w:tcW w:w="7938" w:type="dxa"/>
            <w:tcMar>
              <w:top w:w="57" w:type="dxa"/>
              <w:bottom w:w="57" w:type="dxa"/>
            </w:tcMar>
          </w:tcPr>
          <w:p w14:paraId="289E7783" w14:textId="22278647" w:rsidR="00FE5B5A" w:rsidRPr="006145BB" w:rsidRDefault="00EA47B5" w:rsidP="007B7306">
            <w:pPr>
              <w:spacing w:before="0" w:after="0"/>
              <w:cnfStyle w:val="000000010000" w:firstRow="0" w:lastRow="0" w:firstColumn="0" w:lastColumn="0" w:oddVBand="0" w:evenVBand="0" w:oddHBand="0" w:evenHBand="1" w:firstRowFirstColumn="0" w:firstRowLastColumn="0" w:lastRowFirstColumn="0" w:lastRowLastColumn="0"/>
            </w:pPr>
            <w:r>
              <w:t>6 April 2023</w:t>
            </w:r>
          </w:p>
        </w:tc>
      </w:tr>
      <w:tr w:rsidR="00FE5B5A" w14:paraId="45C8D0A9" w14:textId="77777777" w:rsidTr="001076F6">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2E697752" w14:textId="77777777" w:rsidR="00FE5B5A" w:rsidRPr="0054507C" w:rsidRDefault="00FE5B5A" w:rsidP="007B7306">
            <w:pPr>
              <w:spacing w:before="0" w:after="0"/>
              <w:rPr>
                <w:b/>
              </w:rPr>
            </w:pPr>
            <w:r w:rsidRPr="0054507C">
              <w:rPr>
                <w:b/>
              </w:rPr>
              <w:t>TRM number</w:t>
            </w:r>
          </w:p>
        </w:tc>
        <w:tc>
          <w:tcPr>
            <w:tcW w:w="7938" w:type="dxa"/>
            <w:tcMar>
              <w:top w:w="57" w:type="dxa"/>
              <w:bottom w:w="57" w:type="dxa"/>
            </w:tcMar>
          </w:tcPr>
          <w:p w14:paraId="1F1362FA" w14:textId="4F448A26" w:rsidR="00FE5B5A" w:rsidRPr="006145BB" w:rsidRDefault="00E2126A" w:rsidP="007B7306">
            <w:pPr>
              <w:spacing w:before="0" w:after="0"/>
              <w:cnfStyle w:val="000000000000" w:firstRow="0" w:lastRow="0" w:firstColumn="0" w:lastColumn="0" w:oddVBand="0" w:evenVBand="0" w:oddHBand="0" w:evenHBand="0" w:firstRowFirstColumn="0" w:firstRowLastColumn="0" w:lastRowFirstColumn="0" w:lastRowLastColumn="0"/>
            </w:pPr>
            <w:r>
              <w:t>50:D22:105437</w:t>
            </w:r>
          </w:p>
        </w:tc>
      </w:tr>
    </w:tbl>
    <w:p w14:paraId="43F9B3F1" w14:textId="77777777" w:rsidR="00FE5B5A" w:rsidRDefault="00FE5B5A" w:rsidP="00FE5B5A">
      <w:pPr>
        <w:rPr>
          <w:lang w:eastAsia="en-AU"/>
        </w:rPr>
      </w:pPr>
    </w:p>
    <w:tbl>
      <w:tblPr>
        <w:tblStyle w:val="NTGtable1"/>
        <w:tblW w:w="10343" w:type="dxa"/>
        <w:tblBorders>
          <w:top w:val="single" w:sz="4" w:space="0" w:color="auto"/>
          <w:left w:val="single" w:sz="4" w:space="0" w:color="auto"/>
          <w:bottom w:val="single" w:sz="4" w:space="0" w:color="auto"/>
          <w:right w:val="single" w:sz="4" w:space="0" w:color="auto"/>
        </w:tblBorders>
        <w:tblLayout w:type="fixed"/>
        <w:tblLook w:val="0120" w:firstRow="1" w:lastRow="0" w:firstColumn="0" w:lastColumn="1" w:noHBand="0" w:noVBand="0"/>
      </w:tblPr>
      <w:tblGrid>
        <w:gridCol w:w="1129"/>
        <w:gridCol w:w="2268"/>
        <w:gridCol w:w="2552"/>
        <w:gridCol w:w="4394"/>
      </w:tblGrid>
      <w:tr w:rsidR="00FE5B5A" w:rsidRPr="00E87DE1" w14:paraId="7BC7CD39" w14:textId="77777777" w:rsidTr="001076F6">
        <w:trPr>
          <w:cnfStyle w:val="100000000000" w:firstRow="1" w:lastRow="0" w:firstColumn="0" w:lastColumn="0" w:oddVBand="0" w:evenVBand="0" w:oddHBand="0" w:evenHBand="0" w:firstRowFirstColumn="0" w:firstRowLastColumn="0" w:lastRowFirstColumn="0" w:lastRowLastColumn="0"/>
          <w:trHeight w:val="227"/>
        </w:trPr>
        <w:tc>
          <w:tcPr>
            <w:tcW w:w="1129" w:type="dxa"/>
            <w:tcBorders>
              <w:top w:val="single" w:sz="4" w:space="0" w:color="auto"/>
              <w:bottom w:val="single" w:sz="4" w:space="0" w:color="auto"/>
            </w:tcBorders>
            <w:tcMar>
              <w:top w:w="57" w:type="dxa"/>
              <w:bottom w:w="57" w:type="dxa"/>
            </w:tcMar>
          </w:tcPr>
          <w:p w14:paraId="5D790881" w14:textId="77777777" w:rsidR="00FE5B5A" w:rsidRPr="00E87DE1" w:rsidRDefault="00FE5B5A" w:rsidP="007B7306">
            <w:pPr>
              <w:spacing w:before="0" w:after="0"/>
            </w:pPr>
            <w:r w:rsidRPr="00E87DE1">
              <w:rPr>
                <w:w w:val="105"/>
              </w:rPr>
              <w:t>Version</w:t>
            </w:r>
          </w:p>
        </w:tc>
        <w:tc>
          <w:tcPr>
            <w:tcW w:w="2268" w:type="dxa"/>
            <w:tcBorders>
              <w:top w:val="single" w:sz="4" w:space="0" w:color="auto"/>
              <w:bottom w:val="single" w:sz="4" w:space="0" w:color="auto"/>
            </w:tcBorders>
            <w:tcMar>
              <w:top w:w="57" w:type="dxa"/>
              <w:bottom w:w="57" w:type="dxa"/>
            </w:tcMar>
          </w:tcPr>
          <w:p w14:paraId="0748228B" w14:textId="77777777" w:rsidR="00FE5B5A" w:rsidRPr="00E87DE1" w:rsidRDefault="00FE5B5A" w:rsidP="007B7306">
            <w:pPr>
              <w:spacing w:before="0" w:after="0"/>
            </w:pPr>
            <w:r w:rsidRPr="00E87DE1">
              <w:rPr>
                <w:w w:val="105"/>
              </w:rPr>
              <w:t>Date</w:t>
            </w:r>
          </w:p>
        </w:tc>
        <w:tc>
          <w:tcPr>
            <w:tcW w:w="2552" w:type="dxa"/>
            <w:tcBorders>
              <w:top w:val="single" w:sz="4" w:space="0" w:color="auto"/>
              <w:bottom w:val="single" w:sz="4" w:space="0" w:color="auto"/>
            </w:tcBorders>
            <w:tcMar>
              <w:top w:w="57" w:type="dxa"/>
              <w:bottom w:w="57" w:type="dxa"/>
            </w:tcMar>
          </w:tcPr>
          <w:p w14:paraId="7561F4A0" w14:textId="77777777" w:rsidR="00FE5B5A" w:rsidRPr="00E87DE1" w:rsidRDefault="00FE5B5A" w:rsidP="007B7306">
            <w:pPr>
              <w:spacing w:before="0" w:after="0"/>
            </w:pPr>
            <w:r w:rsidRPr="00E87DE1">
              <w:rPr>
                <w:w w:val="105"/>
              </w:rPr>
              <w:t>Author</w:t>
            </w:r>
          </w:p>
        </w:tc>
        <w:tc>
          <w:tcPr>
            <w:tcW w:w="4394" w:type="dxa"/>
            <w:tcBorders>
              <w:top w:val="single" w:sz="4" w:space="0" w:color="auto"/>
              <w:bottom w:val="single" w:sz="4" w:space="0" w:color="auto"/>
            </w:tcBorders>
            <w:tcMar>
              <w:top w:w="57" w:type="dxa"/>
              <w:bottom w:w="57" w:type="dxa"/>
            </w:tcMar>
          </w:tcPr>
          <w:p w14:paraId="49F29EED" w14:textId="77777777" w:rsidR="00FE5B5A" w:rsidRPr="00E87DE1" w:rsidRDefault="00FE5B5A" w:rsidP="007B7306">
            <w:pPr>
              <w:spacing w:before="0" w:after="0"/>
            </w:pPr>
            <w:r w:rsidRPr="00E87DE1">
              <w:t>Changes made</w:t>
            </w:r>
          </w:p>
        </w:tc>
      </w:tr>
      <w:tr w:rsidR="00FE5B5A" w:rsidRPr="00E87DE1" w14:paraId="5E71A2FF" w14:textId="77777777" w:rsidTr="001076F6">
        <w:trPr>
          <w:trHeight w:val="227"/>
        </w:trPr>
        <w:tc>
          <w:tcPr>
            <w:tcW w:w="1129" w:type="dxa"/>
            <w:tcBorders>
              <w:top w:val="single" w:sz="4" w:space="0" w:color="auto"/>
            </w:tcBorders>
            <w:tcMar>
              <w:top w:w="57" w:type="dxa"/>
              <w:bottom w:w="57" w:type="dxa"/>
            </w:tcMar>
          </w:tcPr>
          <w:p w14:paraId="3B190FD3" w14:textId="01E81A12" w:rsidR="00FE5B5A" w:rsidRPr="006145BB" w:rsidRDefault="00E2126A" w:rsidP="007B7306">
            <w:pPr>
              <w:spacing w:before="0" w:after="0"/>
            </w:pPr>
            <w:r>
              <w:t>1</w:t>
            </w:r>
          </w:p>
        </w:tc>
        <w:tc>
          <w:tcPr>
            <w:tcW w:w="2268" w:type="dxa"/>
            <w:tcBorders>
              <w:top w:val="single" w:sz="4" w:space="0" w:color="auto"/>
            </w:tcBorders>
            <w:tcMar>
              <w:top w:w="57" w:type="dxa"/>
              <w:bottom w:w="57" w:type="dxa"/>
            </w:tcMar>
          </w:tcPr>
          <w:p w14:paraId="4B80DEE7" w14:textId="4EBA9F70" w:rsidR="00FE5B5A" w:rsidRPr="006145BB" w:rsidRDefault="00E2126A" w:rsidP="007B7306">
            <w:pPr>
              <w:spacing w:before="0" w:after="0"/>
            </w:pPr>
            <w:r>
              <w:t>June 2016</w:t>
            </w:r>
          </w:p>
        </w:tc>
        <w:tc>
          <w:tcPr>
            <w:tcW w:w="2552" w:type="dxa"/>
            <w:tcBorders>
              <w:top w:val="single" w:sz="4" w:space="0" w:color="auto"/>
            </w:tcBorders>
            <w:tcMar>
              <w:top w:w="57" w:type="dxa"/>
              <w:bottom w:w="57" w:type="dxa"/>
            </w:tcMar>
          </w:tcPr>
          <w:p w14:paraId="29F4282C" w14:textId="118F831B" w:rsidR="00FE5B5A" w:rsidRPr="006145BB" w:rsidRDefault="00E2126A" w:rsidP="007B7306">
            <w:pPr>
              <w:spacing w:before="0" w:after="0"/>
            </w:pPr>
            <w:r>
              <w:t>School Support Services</w:t>
            </w:r>
          </w:p>
        </w:tc>
        <w:tc>
          <w:tcPr>
            <w:tcW w:w="4394" w:type="dxa"/>
            <w:tcBorders>
              <w:top w:val="single" w:sz="4" w:space="0" w:color="auto"/>
            </w:tcBorders>
            <w:tcMar>
              <w:top w:w="57" w:type="dxa"/>
              <w:bottom w:w="57" w:type="dxa"/>
            </w:tcMar>
          </w:tcPr>
          <w:p w14:paraId="16B5FB2D" w14:textId="43A58CC3" w:rsidR="00FE5B5A" w:rsidRPr="006145BB" w:rsidRDefault="006C3D9F" w:rsidP="007B7306">
            <w:pPr>
              <w:spacing w:before="0" w:after="0"/>
            </w:pPr>
            <w:r>
              <w:t>EDOC2016/20454</w:t>
            </w:r>
          </w:p>
        </w:tc>
      </w:tr>
      <w:tr w:rsidR="00E2126A" w:rsidRPr="00E87DE1" w14:paraId="54AB4080" w14:textId="77777777" w:rsidTr="001076F6">
        <w:trPr>
          <w:cnfStyle w:val="000000010000" w:firstRow="0" w:lastRow="0" w:firstColumn="0" w:lastColumn="0" w:oddVBand="0" w:evenVBand="0" w:oddHBand="0" w:evenHBand="1" w:firstRowFirstColumn="0" w:firstRowLastColumn="0" w:lastRowFirstColumn="0" w:lastRowLastColumn="0"/>
          <w:trHeight w:val="227"/>
        </w:trPr>
        <w:tc>
          <w:tcPr>
            <w:tcW w:w="1129" w:type="dxa"/>
            <w:tcMar>
              <w:top w:w="57" w:type="dxa"/>
              <w:bottom w:w="57" w:type="dxa"/>
            </w:tcMar>
          </w:tcPr>
          <w:p w14:paraId="4886EC93" w14:textId="665966C9" w:rsidR="00E2126A" w:rsidRPr="006145BB" w:rsidRDefault="00E2126A" w:rsidP="007B7306">
            <w:pPr>
              <w:spacing w:before="0" w:after="0"/>
            </w:pPr>
            <w:r>
              <w:t>2</w:t>
            </w:r>
          </w:p>
        </w:tc>
        <w:tc>
          <w:tcPr>
            <w:tcW w:w="2268" w:type="dxa"/>
            <w:tcMar>
              <w:top w:w="57" w:type="dxa"/>
              <w:bottom w:w="57" w:type="dxa"/>
            </w:tcMar>
          </w:tcPr>
          <w:p w14:paraId="7B2E985E" w14:textId="55E34A9A" w:rsidR="00E2126A" w:rsidRPr="006145BB" w:rsidRDefault="00EA47B5" w:rsidP="007B7306">
            <w:pPr>
              <w:spacing w:before="0" w:after="0"/>
            </w:pPr>
            <w:r>
              <w:t>April</w:t>
            </w:r>
            <w:r w:rsidR="006C3D9F">
              <w:t xml:space="preserve"> 2023</w:t>
            </w:r>
          </w:p>
        </w:tc>
        <w:tc>
          <w:tcPr>
            <w:tcW w:w="2552" w:type="dxa"/>
            <w:tcMar>
              <w:top w:w="57" w:type="dxa"/>
              <w:bottom w:w="57" w:type="dxa"/>
            </w:tcMar>
          </w:tcPr>
          <w:p w14:paraId="45984D9A" w14:textId="20702353" w:rsidR="00E2126A" w:rsidRPr="006145BB" w:rsidRDefault="00E2126A" w:rsidP="007B7306">
            <w:pPr>
              <w:spacing w:before="0" w:after="0"/>
            </w:pPr>
            <w:r>
              <w:t>Quality Standards and Regulation – Operational Policy</w:t>
            </w:r>
          </w:p>
        </w:tc>
        <w:tc>
          <w:tcPr>
            <w:tcW w:w="4394" w:type="dxa"/>
            <w:tcMar>
              <w:top w:w="57" w:type="dxa"/>
              <w:bottom w:w="57" w:type="dxa"/>
            </w:tcMar>
          </w:tcPr>
          <w:p w14:paraId="7EE5E5BB" w14:textId="0907E4AC" w:rsidR="00E2126A" w:rsidRPr="006145BB" w:rsidRDefault="00E2126A" w:rsidP="007B7306">
            <w:pPr>
              <w:spacing w:before="0" w:after="0"/>
            </w:pPr>
            <w:r w:rsidRPr="00000C1C">
              <w:t xml:space="preserve">Administrative amendments to </w:t>
            </w:r>
            <w:r>
              <w:t xml:space="preserve">align roles and responsibilities to the </w:t>
            </w:r>
            <w:r w:rsidRPr="00000C1C">
              <w:t>structural alignment in effect from 1 July 2022, including NTG template</w:t>
            </w:r>
            <w:r>
              <w:t xml:space="preserve"> and </w:t>
            </w:r>
            <w:r w:rsidRPr="00000C1C">
              <w:t>minor formatting</w:t>
            </w:r>
          </w:p>
        </w:tc>
      </w:tr>
    </w:tbl>
    <w:p w14:paraId="2FA8ADF9" w14:textId="77777777" w:rsidR="00FE5B5A" w:rsidRDefault="00FE5B5A" w:rsidP="00FE5B5A">
      <w:pPr>
        <w:rPr>
          <w:lang w:eastAsia="en-AU"/>
        </w:rPr>
      </w:pPr>
    </w:p>
    <w:sectPr w:rsidR="00FE5B5A" w:rsidSect="006D29CB">
      <w:footerReference w:type="default" r:id="rId22"/>
      <w:headerReference w:type="first" r:id="rId23"/>
      <w:pgSz w:w="11906" w:h="16838" w:code="9"/>
      <w:pgMar w:top="794" w:right="794" w:bottom="794" w:left="79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6D457" w14:textId="77777777" w:rsidR="007F3846" w:rsidRDefault="007F3846">
      <w:r>
        <w:separator/>
      </w:r>
    </w:p>
  </w:endnote>
  <w:endnote w:type="continuationSeparator" w:id="0">
    <w:p w14:paraId="12D0FA62" w14:textId="77777777" w:rsidR="007F3846" w:rsidRDefault="007F3846">
      <w:r>
        <w:continuationSeparator/>
      </w:r>
    </w:p>
  </w:endnote>
  <w:endnote w:type="continuationNotice" w:id="1">
    <w:p w14:paraId="1D0427C8" w14:textId="77777777" w:rsidR="007F3846" w:rsidRDefault="007F38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ACA9" w14:textId="77777777" w:rsidR="00B577F9" w:rsidRPr="00F538BD" w:rsidRDefault="00B577F9"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35F1" w14:textId="77777777" w:rsidR="00B577F9" w:rsidRPr="00F538BD" w:rsidRDefault="00B577F9"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5FF0" w14:textId="77777777" w:rsidR="00B577F9" w:rsidRDefault="00B577F9"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577F9" w:rsidRPr="00132658" w14:paraId="686C837F" w14:textId="77777777" w:rsidTr="002C34E5">
      <w:trPr>
        <w:cantSplit/>
        <w:trHeight w:hRule="exact" w:val="850"/>
        <w:tblHeader/>
      </w:trPr>
      <w:tc>
        <w:tcPr>
          <w:tcW w:w="10318" w:type="dxa"/>
          <w:vAlign w:val="bottom"/>
        </w:tcPr>
        <w:p w14:paraId="50B5585F" w14:textId="68647856" w:rsidR="00B577F9" w:rsidRDefault="00B577F9" w:rsidP="00CB6A67">
          <w:pPr>
            <w:spacing w:after="0"/>
            <w:rPr>
              <w:rStyle w:val="PageNumber"/>
              <w:b/>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p>
        <w:p w14:paraId="0DA15A91" w14:textId="0553C535" w:rsidR="00B577F9" w:rsidRDefault="00B577F9" w:rsidP="00CB6A67">
          <w:pPr>
            <w:spacing w:after="0"/>
            <w:rPr>
              <w:rStyle w:val="PageNumber"/>
            </w:rPr>
          </w:pPr>
          <w:r>
            <w:rPr>
              <w:rStyle w:val="PageNumber"/>
            </w:rPr>
            <w:t xml:space="preserve">Published </w:t>
          </w:r>
          <w:r w:rsidR="006D29CB">
            <w:rPr>
              <w:rStyle w:val="PageNumber"/>
            </w:rPr>
            <w:t>April</w:t>
          </w:r>
          <w:r w:rsidR="000A1793">
            <w:rPr>
              <w:rStyle w:val="PageNumber"/>
            </w:rPr>
            <w:t xml:space="preserve"> 2023</w:t>
          </w:r>
        </w:p>
        <w:p w14:paraId="6369AF07" w14:textId="5DB897B8" w:rsidR="00B577F9" w:rsidRPr="00AC4488" w:rsidRDefault="00B577F9"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25FD84D1" w14:textId="77777777" w:rsidR="00B577F9" w:rsidRDefault="00B577F9" w:rsidP="001852AF">
    <w:pPr>
      <w:pStyle w:val="Hidden"/>
      <w:ind w:firstLine="0"/>
    </w:pPr>
  </w:p>
  <w:p w14:paraId="09DD0C10" w14:textId="77777777" w:rsidR="00B577F9" w:rsidRPr="001852AF" w:rsidRDefault="00B577F9"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CFA42" w14:textId="77777777" w:rsidR="007F3846" w:rsidRDefault="007F3846">
      <w:r>
        <w:separator/>
      </w:r>
    </w:p>
  </w:footnote>
  <w:footnote w:type="continuationSeparator" w:id="0">
    <w:p w14:paraId="60A30C15" w14:textId="77777777" w:rsidR="007F3846" w:rsidRDefault="007F3846">
      <w:r>
        <w:continuationSeparator/>
      </w:r>
    </w:p>
  </w:footnote>
  <w:footnote w:type="continuationNotice" w:id="1">
    <w:p w14:paraId="03A03CA8" w14:textId="77777777" w:rsidR="007F3846" w:rsidRDefault="007F38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E870" w14:textId="2E2B255A" w:rsidR="00B577F9" w:rsidRPr="008E0345" w:rsidRDefault="000E07A9"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B577F9">
          <w:t>Enrolment management and priority enrolment –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204E" w14:textId="77777777" w:rsidR="00B577F9" w:rsidRDefault="00B577F9"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ACB5" w14:textId="77777777" w:rsidR="00B577F9" w:rsidRPr="00274F1C" w:rsidRDefault="00B577F9"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1B5CE539" w:rsidR="00B577F9" w:rsidRPr="00964B22" w:rsidRDefault="00B577F9" w:rsidP="008E0345">
        <w:pPr>
          <w:pStyle w:val="Header"/>
          <w:rPr>
            <w:b/>
          </w:rPr>
        </w:pPr>
        <w:r>
          <w:t>Enrolment management and priority enrolment –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0498"/>
    <w:multiLevelType w:val="hybridMultilevel"/>
    <w:tmpl w:val="B742E7AA"/>
    <w:lvl w:ilvl="0" w:tplc="1F8CA102">
      <w:start w:val="1"/>
      <w:numFmt w:val="bullet"/>
      <w:lvlText w:val="-"/>
      <w:lvlJc w:val="left"/>
      <w:pPr>
        <w:ind w:left="388" w:hanging="360"/>
      </w:pPr>
      <w:rPr>
        <w:rFonts w:ascii="Lato" w:hAnsi="Lato" w:hint="default"/>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C5A0F89"/>
    <w:multiLevelType w:val="hybridMultilevel"/>
    <w:tmpl w:val="70FA9C02"/>
    <w:lvl w:ilvl="0" w:tplc="A61062F4">
      <w:numFmt w:val="bullet"/>
      <w:lvlText w:val="•"/>
      <w:lvlJc w:val="left"/>
      <w:pPr>
        <w:ind w:left="416" w:hanging="360"/>
      </w:pPr>
      <w:rPr>
        <w:rFonts w:ascii="Lato" w:eastAsia="Calibri" w:hAnsi="Lato" w:cs="Times New Roman"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A932C82"/>
    <w:multiLevelType w:val="hybridMultilevel"/>
    <w:tmpl w:val="753AC798"/>
    <w:lvl w:ilvl="0" w:tplc="B5A2B6E6">
      <w:start w:val="1"/>
      <w:numFmt w:val="bullet"/>
      <w:lvlText w:val="-"/>
      <w:lvlJc w:val="left"/>
      <w:pPr>
        <w:ind w:left="1069" w:hanging="360"/>
      </w:pPr>
      <w:rPr>
        <w:rFonts w:ascii="Lato" w:hAnsi="Lato"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09B1DD2"/>
    <w:multiLevelType w:val="hybridMultilevel"/>
    <w:tmpl w:val="4FCA5D2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23867B5"/>
    <w:multiLevelType w:val="hybridMultilevel"/>
    <w:tmpl w:val="BA502146"/>
    <w:lvl w:ilvl="0" w:tplc="590A706C">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8910009"/>
    <w:multiLevelType w:val="hybridMultilevel"/>
    <w:tmpl w:val="FAEE0B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2FAA54C1"/>
    <w:multiLevelType w:val="hybridMultilevel"/>
    <w:tmpl w:val="E2382F06"/>
    <w:lvl w:ilvl="0" w:tplc="A61062F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5106DEB"/>
    <w:multiLevelType w:val="multilevel"/>
    <w:tmpl w:val="211A55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705783A"/>
    <w:multiLevelType w:val="hybridMultilevel"/>
    <w:tmpl w:val="B7DCFF84"/>
    <w:lvl w:ilvl="0" w:tplc="A61062F4">
      <w:numFmt w:val="bullet"/>
      <w:lvlText w:val="•"/>
      <w:lvlJc w:val="left"/>
      <w:pPr>
        <w:ind w:left="416" w:hanging="360"/>
      </w:pPr>
      <w:rPr>
        <w:rFonts w:ascii="Lato" w:eastAsia="Calibri" w:hAnsi="Lato" w:cs="Times New Roman"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9"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4D7303"/>
    <w:multiLevelType w:val="hybridMultilevel"/>
    <w:tmpl w:val="C9D444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44552E4F"/>
    <w:multiLevelType w:val="hybridMultilevel"/>
    <w:tmpl w:val="65DE6450"/>
    <w:lvl w:ilvl="0" w:tplc="FA3675B0">
      <w:start w:val="1"/>
      <w:numFmt w:val="bullet"/>
      <w:lvlText w:val=""/>
      <w:lvlJc w:val="left"/>
      <w:pPr>
        <w:ind w:left="1212" w:hanging="360"/>
      </w:pPr>
      <w:rPr>
        <w:rFonts w:ascii="Symbol" w:hAnsi="Symbol" w:hint="default"/>
      </w:rPr>
    </w:lvl>
    <w:lvl w:ilvl="1" w:tplc="0C090003" w:tentative="1">
      <w:start w:val="1"/>
      <w:numFmt w:val="bullet"/>
      <w:lvlText w:val="o"/>
      <w:lvlJc w:val="left"/>
      <w:pPr>
        <w:ind w:left="2264" w:hanging="360"/>
      </w:pPr>
      <w:rPr>
        <w:rFonts w:ascii="Courier New" w:hAnsi="Courier New" w:cs="Courier New" w:hint="default"/>
      </w:rPr>
    </w:lvl>
    <w:lvl w:ilvl="2" w:tplc="0C090005" w:tentative="1">
      <w:start w:val="1"/>
      <w:numFmt w:val="bullet"/>
      <w:lvlText w:val=""/>
      <w:lvlJc w:val="left"/>
      <w:pPr>
        <w:ind w:left="2984" w:hanging="360"/>
      </w:pPr>
      <w:rPr>
        <w:rFonts w:ascii="Wingdings" w:hAnsi="Wingdings" w:hint="default"/>
      </w:rPr>
    </w:lvl>
    <w:lvl w:ilvl="3" w:tplc="0C090001" w:tentative="1">
      <w:start w:val="1"/>
      <w:numFmt w:val="bullet"/>
      <w:lvlText w:val=""/>
      <w:lvlJc w:val="left"/>
      <w:pPr>
        <w:ind w:left="3704" w:hanging="360"/>
      </w:pPr>
      <w:rPr>
        <w:rFonts w:ascii="Symbol" w:hAnsi="Symbol" w:hint="default"/>
      </w:rPr>
    </w:lvl>
    <w:lvl w:ilvl="4" w:tplc="0C090003" w:tentative="1">
      <w:start w:val="1"/>
      <w:numFmt w:val="bullet"/>
      <w:lvlText w:val="o"/>
      <w:lvlJc w:val="left"/>
      <w:pPr>
        <w:ind w:left="4424" w:hanging="360"/>
      </w:pPr>
      <w:rPr>
        <w:rFonts w:ascii="Courier New" w:hAnsi="Courier New" w:cs="Courier New" w:hint="default"/>
      </w:rPr>
    </w:lvl>
    <w:lvl w:ilvl="5" w:tplc="0C090005" w:tentative="1">
      <w:start w:val="1"/>
      <w:numFmt w:val="bullet"/>
      <w:lvlText w:val=""/>
      <w:lvlJc w:val="left"/>
      <w:pPr>
        <w:ind w:left="5144" w:hanging="360"/>
      </w:pPr>
      <w:rPr>
        <w:rFonts w:ascii="Wingdings" w:hAnsi="Wingdings" w:hint="default"/>
      </w:rPr>
    </w:lvl>
    <w:lvl w:ilvl="6" w:tplc="0C090001" w:tentative="1">
      <w:start w:val="1"/>
      <w:numFmt w:val="bullet"/>
      <w:lvlText w:val=""/>
      <w:lvlJc w:val="left"/>
      <w:pPr>
        <w:ind w:left="5864" w:hanging="360"/>
      </w:pPr>
      <w:rPr>
        <w:rFonts w:ascii="Symbol" w:hAnsi="Symbol" w:hint="default"/>
      </w:rPr>
    </w:lvl>
    <w:lvl w:ilvl="7" w:tplc="0C090003" w:tentative="1">
      <w:start w:val="1"/>
      <w:numFmt w:val="bullet"/>
      <w:lvlText w:val="o"/>
      <w:lvlJc w:val="left"/>
      <w:pPr>
        <w:ind w:left="6584" w:hanging="360"/>
      </w:pPr>
      <w:rPr>
        <w:rFonts w:ascii="Courier New" w:hAnsi="Courier New" w:cs="Courier New" w:hint="default"/>
      </w:rPr>
    </w:lvl>
    <w:lvl w:ilvl="8" w:tplc="0C090005" w:tentative="1">
      <w:start w:val="1"/>
      <w:numFmt w:val="bullet"/>
      <w:lvlText w:val=""/>
      <w:lvlJc w:val="left"/>
      <w:pPr>
        <w:ind w:left="7304" w:hanging="360"/>
      </w:pPr>
      <w:rPr>
        <w:rFonts w:ascii="Wingdings" w:hAnsi="Wingdings" w:hint="default"/>
      </w:r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4E445591"/>
    <w:multiLevelType w:val="hybridMultilevel"/>
    <w:tmpl w:val="32DA42A2"/>
    <w:lvl w:ilvl="0" w:tplc="FA78896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6DA2CAE"/>
    <w:multiLevelType w:val="multilevel"/>
    <w:tmpl w:val="3E5E177A"/>
    <w:name w:val="NTG Table Bullet List332222222222222"/>
    <w:numStyleLink w:val="Tablenumberlist"/>
  </w:abstractNum>
  <w:abstractNum w:abstractNumId="40" w15:restartNumberingAfterBreak="0">
    <w:nsid w:val="583359D9"/>
    <w:multiLevelType w:val="multilevel"/>
    <w:tmpl w:val="3E5E177A"/>
    <w:name w:val="NTG Table Bullet List332222222"/>
    <w:numStyleLink w:val="Tablenumberlist"/>
  </w:abstractNum>
  <w:abstractNum w:abstractNumId="41" w15:restartNumberingAfterBreak="0">
    <w:nsid w:val="59B53F66"/>
    <w:multiLevelType w:val="hybridMultilevel"/>
    <w:tmpl w:val="E286EFF4"/>
    <w:lvl w:ilvl="0" w:tplc="A61062F4">
      <w:numFmt w:val="bullet"/>
      <w:lvlText w:val="•"/>
      <w:lvlJc w:val="left"/>
      <w:pPr>
        <w:ind w:left="416" w:hanging="360"/>
      </w:pPr>
      <w:rPr>
        <w:rFonts w:ascii="Lato" w:eastAsia="Calibri" w:hAnsi="Lato" w:cs="Times New Roman"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BB50834"/>
    <w:multiLevelType w:val="hybridMultilevel"/>
    <w:tmpl w:val="805E007E"/>
    <w:lvl w:ilvl="0" w:tplc="A61062F4">
      <w:numFmt w:val="bullet"/>
      <w:lvlText w:val="•"/>
      <w:lvlJc w:val="left"/>
      <w:pPr>
        <w:ind w:left="388" w:hanging="360"/>
      </w:pPr>
      <w:rPr>
        <w:rFonts w:ascii="Lato" w:eastAsia="Calibri" w:hAnsi="Lato" w:cs="Times New Roman" w:hint="default"/>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44" w15:restartNumberingAfterBreak="0">
    <w:nsid w:val="5CBD1A7F"/>
    <w:multiLevelType w:val="hybridMultilevel"/>
    <w:tmpl w:val="5FA82BB4"/>
    <w:lvl w:ilvl="0" w:tplc="A61062F4">
      <w:numFmt w:val="bullet"/>
      <w:lvlText w:val="•"/>
      <w:lvlJc w:val="left"/>
      <w:pPr>
        <w:ind w:left="416" w:hanging="360"/>
      </w:pPr>
      <w:rPr>
        <w:rFonts w:ascii="Lato" w:eastAsia="Calibri" w:hAnsi="Lato" w:cs="Times New Roman"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5" w15:restartNumberingAfterBreak="0">
    <w:nsid w:val="5D444259"/>
    <w:multiLevelType w:val="multilevel"/>
    <w:tmpl w:val="0C78A7AC"/>
    <w:name w:val="NTG Table Bullet List332222"/>
    <w:numStyleLink w:val="Tablebulletlist"/>
  </w:abstractNum>
  <w:abstractNum w:abstractNumId="46" w15:restartNumberingAfterBreak="0">
    <w:nsid w:val="5FB56F37"/>
    <w:multiLevelType w:val="hybridMultilevel"/>
    <w:tmpl w:val="CCB614CE"/>
    <w:lvl w:ilvl="0" w:tplc="B5A2B6E6">
      <w:start w:val="1"/>
      <w:numFmt w:val="bullet"/>
      <w:lvlText w:val="-"/>
      <w:lvlJc w:val="left"/>
      <w:pPr>
        <w:ind w:left="1069" w:hanging="360"/>
      </w:pPr>
      <w:rPr>
        <w:rFonts w:ascii="Lato" w:hAnsi="Lato"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7" w15:restartNumberingAfterBreak="0">
    <w:nsid w:val="618B6F23"/>
    <w:multiLevelType w:val="hybridMultilevel"/>
    <w:tmpl w:val="D2940214"/>
    <w:lvl w:ilvl="0" w:tplc="A61062F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21161D4"/>
    <w:multiLevelType w:val="hybridMultilevel"/>
    <w:tmpl w:val="8A36B51A"/>
    <w:lvl w:ilvl="0" w:tplc="A61062F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3205AC"/>
    <w:multiLevelType w:val="hybridMultilevel"/>
    <w:tmpl w:val="040C7B58"/>
    <w:lvl w:ilvl="0" w:tplc="0C090001">
      <w:start w:val="1"/>
      <w:numFmt w:val="bullet"/>
      <w:lvlText w:val=""/>
      <w:lvlJc w:val="left"/>
      <w:pPr>
        <w:ind w:left="388" w:hanging="360"/>
      </w:pPr>
      <w:rPr>
        <w:rFonts w:ascii="Symbol" w:hAnsi="Symbol" w:hint="default"/>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50" w15:restartNumberingAfterBreak="0">
    <w:nsid w:val="69262556"/>
    <w:multiLevelType w:val="multilevel"/>
    <w:tmpl w:val="3E5E177A"/>
    <w:name w:val="NTG Table Bullet List3322222222222222"/>
    <w:numStyleLink w:val="Tablenumberlist"/>
  </w:abstractNum>
  <w:abstractNum w:abstractNumId="51" w15:restartNumberingAfterBreak="0">
    <w:nsid w:val="719A7C4F"/>
    <w:multiLevelType w:val="hybridMultilevel"/>
    <w:tmpl w:val="649041EA"/>
    <w:lvl w:ilvl="0" w:tplc="1F8CA102">
      <w:start w:val="1"/>
      <w:numFmt w:val="bullet"/>
      <w:lvlText w:val="-"/>
      <w:lvlJc w:val="left"/>
      <w:pPr>
        <w:ind w:left="720" w:hanging="360"/>
      </w:pPr>
      <w:rPr>
        <w:rFonts w:ascii="Lato" w:hAnsi="Lato"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453664D"/>
    <w:multiLevelType w:val="multilevel"/>
    <w:tmpl w:val="0C78A7AC"/>
    <w:name w:val="NTG Table Bullet List3322222222222222222"/>
    <w:numStyleLink w:val="Tablebulletlist"/>
  </w:abstractNum>
  <w:abstractNum w:abstractNumId="53" w15:restartNumberingAfterBreak="0">
    <w:nsid w:val="76141D1E"/>
    <w:multiLevelType w:val="multilevel"/>
    <w:tmpl w:val="0C78A7AC"/>
    <w:name w:val="NTG Table Bullet List332222222222"/>
    <w:numStyleLink w:val="Tablebulletlist"/>
  </w:abstractNum>
  <w:abstractNum w:abstractNumId="54"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5" w15:restartNumberingAfterBreak="0">
    <w:nsid w:val="7A765281"/>
    <w:multiLevelType w:val="hybridMultilevel"/>
    <w:tmpl w:val="63E840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7" w15:restartNumberingAfterBreak="0">
    <w:nsid w:val="7F61028A"/>
    <w:multiLevelType w:val="hybridMultilevel"/>
    <w:tmpl w:val="229410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54"/>
  </w:num>
  <w:num w:numId="4">
    <w:abstractNumId w:val="34"/>
  </w:num>
  <w:num w:numId="5">
    <w:abstractNumId w:val="21"/>
  </w:num>
  <w:num w:numId="6">
    <w:abstractNumId w:val="9"/>
  </w:num>
  <w:num w:numId="7">
    <w:abstractNumId w:val="37"/>
  </w:num>
  <w:num w:numId="8">
    <w:abstractNumId w:val="19"/>
  </w:num>
  <w:num w:numId="9">
    <w:abstractNumId w:val="29"/>
  </w:num>
  <w:num w:numId="10">
    <w:abstractNumId w:val="43"/>
  </w:num>
  <w:num w:numId="11">
    <w:abstractNumId w:val="30"/>
  </w:num>
  <w:num w:numId="12">
    <w:abstractNumId w:val="2"/>
  </w:num>
  <w:num w:numId="13">
    <w:abstractNumId w:val="44"/>
  </w:num>
  <w:num w:numId="14">
    <w:abstractNumId w:val="41"/>
  </w:num>
  <w:num w:numId="15">
    <w:abstractNumId w:val="28"/>
  </w:num>
  <w:num w:numId="16">
    <w:abstractNumId w:val="55"/>
  </w:num>
  <w:num w:numId="17">
    <w:abstractNumId w:val="57"/>
  </w:num>
  <w:num w:numId="18">
    <w:abstractNumId w:val="2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9"/>
  </w:num>
  <w:num w:numId="28">
    <w:abstractNumId w:val="51"/>
  </w:num>
  <w:num w:numId="29">
    <w:abstractNumId w:val="14"/>
  </w:num>
  <w:num w:numId="30">
    <w:abstractNumId w:val="0"/>
  </w:num>
  <w:num w:numId="31">
    <w:abstractNumId w:val="10"/>
  </w:num>
  <w:num w:numId="32">
    <w:abstractNumId w:val="46"/>
  </w:num>
  <w:num w:numId="33">
    <w:abstractNumId w:val="16"/>
  </w:num>
  <w:num w:numId="34">
    <w:abstractNumId w:val="32"/>
  </w:num>
  <w:num w:numId="35">
    <w:abstractNumId w:val="48"/>
  </w:num>
  <w:num w:numId="36">
    <w:abstractNumId w:val="24"/>
  </w:num>
  <w:num w:numId="37">
    <w:abstractNumId w:val="47"/>
  </w:num>
  <w:num w:numId="38">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DDF"/>
    <w:rsid w:val="00002D89"/>
    <w:rsid w:val="0000322D"/>
    <w:rsid w:val="00007670"/>
    <w:rsid w:val="00010036"/>
    <w:rsid w:val="00010665"/>
    <w:rsid w:val="00013ACA"/>
    <w:rsid w:val="0002393A"/>
    <w:rsid w:val="00027DB8"/>
    <w:rsid w:val="000307A7"/>
    <w:rsid w:val="00031A96"/>
    <w:rsid w:val="00040BF3"/>
    <w:rsid w:val="0004577F"/>
    <w:rsid w:val="00046C59"/>
    <w:rsid w:val="00051362"/>
    <w:rsid w:val="00051F45"/>
    <w:rsid w:val="00052953"/>
    <w:rsid w:val="0005341A"/>
    <w:rsid w:val="000539D0"/>
    <w:rsid w:val="00056DEF"/>
    <w:rsid w:val="000720BE"/>
    <w:rsid w:val="0007259C"/>
    <w:rsid w:val="00074573"/>
    <w:rsid w:val="00080202"/>
    <w:rsid w:val="00080DCD"/>
    <w:rsid w:val="00080E22"/>
    <w:rsid w:val="00082573"/>
    <w:rsid w:val="000840A3"/>
    <w:rsid w:val="00085062"/>
    <w:rsid w:val="00086A5F"/>
    <w:rsid w:val="00090E14"/>
    <w:rsid w:val="000911EF"/>
    <w:rsid w:val="000956F5"/>
    <w:rsid w:val="000962C5"/>
    <w:rsid w:val="000A04AF"/>
    <w:rsid w:val="000A1793"/>
    <w:rsid w:val="000A385C"/>
    <w:rsid w:val="000A4317"/>
    <w:rsid w:val="000A559C"/>
    <w:rsid w:val="000A62AD"/>
    <w:rsid w:val="000B2CA1"/>
    <w:rsid w:val="000D1F29"/>
    <w:rsid w:val="000D633D"/>
    <w:rsid w:val="000E07A9"/>
    <w:rsid w:val="000E0962"/>
    <w:rsid w:val="000E342B"/>
    <w:rsid w:val="000E38FB"/>
    <w:rsid w:val="000E5018"/>
    <w:rsid w:val="000E5DD2"/>
    <w:rsid w:val="000F2958"/>
    <w:rsid w:val="000F4805"/>
    <w:rsid w:val="00104E7F"/>
    <w:rsid w:val="001076F6"/>
    <w:rsid w:val="001117D8"/>
    <w:rsid w:val="001137EC"/>
    <w:rsid w:val="001152F5"/>
    <w:rsid w:val="00117743"/>
    <w:rsid w:val="00117F5B"/>
    <w:rsid w:val="00132658"/>
    <w:rsid w:val="00147DED"/>
    <w:rsid w:val="00150DC0"/>
    <w:rsid w:val="00151DC3"/>
    <w:rsid w:val="00156CD4"/>
    <w:rsid w:val="00161CC6"/>
    <w:rsid w:val="00164A3E"/>
    <w:rsid w:val="00166FF6"/>
    <w:rsid w:val="00172C77"/>
    <w:rsid w:val="00176123"/>
    <w:rsid w:val="00181620"/>
    <w:rsid w:val="00183BA4"/>
    <w:rsid w:val="001852AF"/>
    <w:rsid w:val="001957AD"/>
    <w:rsid w:val="001A21F0"/>
    <w:rsid w:val="001A2B7F"/>
    <w:rsid w:val="001A3AFD"/>
    <w:rsid w:val="001A496C"/>
    <w:rsid w:val="001A6304"/>
    <w:rsid w:val="001B2B6C"/>
    <w:rsid w:val="001B49AD"/>
    <w:rsid w:val="001C6658"/>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30031"/>
    <w:rsid w:val="00235C01"/>
    <w:rsid w:val="00236878"/>
    <w:rsid w:val="0024674D"/>
    <w:rsid w:val="00247343"/>
    <w:rsid w:val="00265C56"/>
    <w:rsid w:val="002716CD"/>
    <w:rsid w:val="00274D4B"/>
    <w:rsid w:val="002806F5"/>
    <w:rsid w:val="00281577"/>
    <w:rsid w:val="002926BC"/>
    <w:rsid w:val="00293A72"/>
    <w:rsid w:val="002A0160"/>
    <w:rsid w:val="002A30C3"/>
    <w:rsid w:val="002A6F6A"/>
    <w:rsid w:val="002A7712"/>
    <w:rsid w:val="002A7D1D"/>
    <w:rsid w:val="002B38F7"/>
    <w:rsid w:val="002B5591"/>
    <w:rsid w:val="002B6AA4"/>
    <w:rsid w:val="002C1FE9"/>
    <w:rsid w:val="002C34E5"/>
    <w:rsid w:val="002D15FA"/>
    <w:rsid w:val="002D318E"/>
    <w:rsid w:val="002D3A57"/>
    <w:rsid w:val="002D7D05"/>
    <w:rsid w:val="002E0F6E"/>
    <w:rsid w:val="002E20C8"/>
    <w:rsid w:val="002E4290"/>
    <w:rsid w:val="002E5B94"/>
    <w:rsid w:val="002E66A6"/>
    <w:rsid w:val="002F0DB1"/>
    <w:rsid w:val="002F2885"/>
    <w:rsid w:val="002F32D0"/>
    <w:rsid w:val="002F3CF1"/>
    <w:rsid w:val="002F45A1"/>
    <w:rsid w:val="003037F9"/>
    <w:rsid w:val="0030583E"/>
    <w:rsid w:val="00307FE1"/>
    <w:rsid w:val="003164BA"/>
    <w:rsid w:val="003223FE"/>
    <w:rsid w:val="003258E6"/>
    <w:rsid w:val="00342283"/>
    <w:rsid w:val="00343A87"/>
    <w:rsid w:val="00344A36"/>
    <w:rsid w:val="003456F4"/>
    <w:rsid w:val="003477B6"/>
    <w:rsid w:val="00347FB6"/>
    <w:rsid w:val="003504FD"/>
    <w:rsid w:val="00350881"/>
    <w:rsid w:val="00357D55"/>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6341"/>
    <w:rsid w:val="003B173F"/>
    <w:rsid w:val="003B67FD"/>
    <w:rsid w:val="003B6A61"/>
    <w:rsid w:val="003C2F3F"/>
    <w:rsid w:val="003D42C0"/>
    <w:rsid w:val="003D5B29"/>
    <w:rsid w:val="003D6D7E"/>
    <w:rsid w:val="003D7818"/>
    <w:rsid w:val="003E2445"/>
    <w:rsid w:val="003E3BB2"/>
    <w:rsid w:val="003F4AA5"/>
    <w:rsid w:val="003F5B58"/>
    <w:rsid w:val="0040222A"/>
    <w:rsid w:val="004047BC"/>
    <w:rsid w:val="00406497"/>
    <w:rsid w:val="004100F7"/>
    <w:rsid w:val="00414CB3"/>
    <w:rsid w:val="0041563D"/>
    <w:rsid w:val="00420CF5"/>
    <w:rsid w:val="00422874"/>
    <w:rsid w:val="00426E25"/>
    <w:rsid w:val="00427D9C"/>
    <w:rsid w:val="00427E7E"/>
    <w:rsid w:val="004433AE"/>
    <w:rsid w:val="00443B6E"/>
    <w:rsid w:val="00451786"/>
    <w:rsid w:val="004521CB"/>
    <w:rsid w:val="0045420A"/>
    <w:rsid w:val="004554D4"/>
    <w:rsid w:val="00461744"/>
    <w:rsid w:val="00464766"/>
    <w:rsid w:val="00466185"/>
    <w:rsid w:val="004668A7"/>
    <w:rsid w:val="00466D96"/>
    <w:rsid w:val="00467747"/>
    <w:rsid w:val="00473C98"/>
    <w:rsid w:val="00474232"/>
    <w:rsid w:val="00474965"/>
    <w:rsid w:val="00482DF8"/>
    <w:rsid w:val="004864DE"/>
    <w:rsid w:val="00494BE5"/>
    <w:rsid w:val="004A0EBA"/>
    <w:rsid w:val="004A2538"/>
    <w:rsid w:val="004B0C15"/>
    <w:rsid w:val="004B35EA"/>
    <w:rsid w:val="004B3704"/>
    <w:rsid w:val="004B69E4"/>
    <w:rsid w:val="004B7373"/>
    <w:rsid w:val="004C2BF4"/>
    <w:rsid w:val="004C6C39"/>
    <w:rsid w:val="004D075F"/>
    <w:rsid w:val="004D1B76"/>
    <w:rsid w:val="004D23C2"/>
    <w:rsid w:val="004D33F0"/>
    <w:rsid w:val="004D344E"/>
    <w:rsid w:val="004E019E"/>
    <w:rsid w:val="004E06EC"/>
    <w:rsid w:val="004E2CB7"/>
    <w:rsid w:val="004F016A"/>
    <w:rsid w:val="004F2206"/>
    <w:rsid w:val="00500F94"/>
    <w:rsid w:val="00501C88"/>
    <w:rsid w:val="00502FB3"/>
    <w:rsid w:val="00503DE9"/>
    <w:rsid w:val="0050530C"/>
    <w:rsid w:val="00505DEA"/>
    <w:rsid w:val="00507782"/>
    <w:rsid w:val="00512A04"/>
    <w:rsid w:val="005249F5"/>
    <w:rsid w:val="00525A43"/>
    <w:rsid w:val="005260F7"/>
    <w:rsid w:val="00542247"/>
    <w:rsid w:val="00543BD1"/>
    <w:rsid w:val="0054507C"/>
    <w:rsid w:val="00546D7E"/>
    <w:rsid w:val="00556113"/>
    <w:rsid w:val="00564C12"/>
    <w:rsid w:val="005654B8"/>
    <w:rsid w:val="0057377F"/>
    <w:rsid w:val="005762CC"/>
    <w:rsid w:val="00582D3D"/>
    <w:rsid w:val="00595386"/>
    <w:rsid w:val="005A3621"/>
    <w:rsid w:val="005A3C55"/>
    <w:rsid w:val="005A4AC0"/>
    <w:rsid w:val="005A5FDF"/>
    <w:rsid w:val="005B0FB7"/>
    <w:rsid w:val="005B122A"/>
    <w:rsid w:val="005B256A"/>
    <w:rsid w:val="005B5AC2"/>
    <w:rsid w:val="005B782E"/>
    <w:rsid w:val="005C1D6B"/>
    <w:rsid w:val="005C2833"/>
    <w:rsid w:val="005C5C70"/>
    <w:rsid w:val="005C7A9A"/>
    <w:rsid w:val="005D3964"/>
    <w:rsid w:val="005E144D"/>
    <w:rsid w:val="005E1500"/>
    <w:rsid w:val="005E3A43"/>
    <w:rsid w:val="005E51A4"/>
    <w:rsid w:val="005E69FB"/>
    <w:rsid w:val="005F77C7"/>
    <w:rsid w:val="0060030B"/>
    <w:rsid w:val="006145BB"/>
    <w:rsid w:val="00620675"/>
    <w:rsid w:val="00622910"/>
    <w:rsid w:val="006433C3"/>
    <w:rsid w:val="00650F5B"/>
    <w:rsid w:val="00652DC0"/>
    <w:rsid w:val="0065644F"/>
    <w:rsid w:val="00660584"/>
    <w:rsid w:val="006670D7"/>
    <w:rsid w:val="006719EA"/>
    <w:rsid w:val="00671F13"/>
    <w:rsid w:val="0067400A"/>
    <w:rsid w:val="006747E0"/>
    <w:rsid w:val="006847AD"/>
    <w:rsid w:val="00690862"/>
    <w:rsid w:val="00690B7D"/>
    <w:rsid w:val="0069114B"/>
    <w:rsid w:val="00692BEE"/>
    <w:rsid w:val="006A756A"/>
    <w:rsid w:val="006B6035"/>
    <w:rsid w:val="006C0C2E"/>
    <w:rsid w:val="006C396A"/>
    <w:rsid w:val="006C3D9F"/>
    <w:rsid w:val="006C4E55"/>
    <w:rsid w:val="006D1ADA"/>
    <w:rsid w:val="006D29CB"/>
    <w:rsid w:val="006D66F7"/>
    <w:rsid w:val="006D6723"/>
    <w:rsid w:val="006E3B5D"/>
    <w:rsid w:val="006F338F"/>
    <w:rsid w:val="006F7B16"/>
    <w:rsid w:val="00702D61"/>
    <w:rsid w:val="00705C9D"/>
    <w:rsid w:val="00705F13"/>
    <w:rsid w:val="00714F1D"/>
    <w:rsid w:val="00715225"/>
    <w:rsid w:val="00720CC6"/>
    <w:rsid w:val="00722DDB"/>
    <w:rsid w:val="00723CCB"/>
    <w:rsid w:val="00724205"/>
    <w:rsid w:val="00724728"/>
    <w:rsid w:val="00724F98"/>
    <w:rsid w:val="00730B9B"/>
    <w:rsid w:val="0073182E"/>
    <w:rsid w:val="007332FF"/>
    <w:rsid w:val="0073461F"/>
    <w:rsid w:val="0073520D"/>
    <w:rsid w:val="007372B0"/>
    <w:rsid w:val="007408F5"/>
    <w:rsid w:val="00741EAE"/>
    <w:rsid w:val="00743E19"/>
    <w:rsid w:val="0075413F"/>
    <w:rsid w:val="00755248"/>
    <w:rsid w:val="0076190B"/>
    <w:rsid w:val="0076355D"/>
    <w:rsid w:val="00763A2D"/>
    <w:rsid w:val="00767BBB"/>
    <w:rsid w:val="007761D8"/>
    <w:rsid w:val="00777795"/>
    <w:rsid w:val="00783A57"/>
    <w:rsid w:val="00784C92"/>
    <w:rsid w:val="007859CD"/>
    <w:rsid w:val="007907E4"/>
    <w:rsid w:val="00796461"/>
    <w:rsid w:val="007A6A4F"/>
    <w:rsid w:val="007B03F5"/>
    <w:rsid w:val="007B59D3"/>
    <w:rsid w:val="007B5C09"/>
    <w:rsid w:val="007B5DA2"/>
    <w:rsid w:val="007B7306"/>
    <w:rsid w:val="007C0966"/>
    <w:rsid w:val="007C19E7"/>
    <w:rsid w:val="007C320E"/>
    <w:rsid w:val="007C5CFD"/>
    <w:rsid w:val="007C6D9F"/>
    <w:rsid w:val="007D4893"/>
    <w:rsid w:val="007D7697"/>
    <w:rsid w:val="007E70CF"/>
    <w:rsid w:val="007E74A4"/>
    <w:rsid w:val="007F1778"/>
    <w:rsid w:val="007F263F"/>
    <w:rsid w:val="007F3846"/>
    <w:rsid w:val="007F40F1"/>
    <w:rsid w:val="007F46EA"/>
    <w:rsid w:val="007F50E3"/>
    <w:rsid w:val="007F5579"/>
    <w:rsid w:val="007F76A4"/>
    <w:rsid w:val="008002E8"/>
    <w:rsid w:val="0080766E"/>
    <w:rsid w:val="008105BE"/>
    <w:rsid w:val="00811169"/>
    <w:rsid w:val="008148F6"/>
    <w:rsid w:val="00815297"/>
    <w:rsid w:val="00817BA1"/>
    <w:rsid w:val="00823022"/>
    <w:rsid w:val="0082634E"/>
    <w:rsid w:val="008313C4"/>
    <w:rsid w:val="00835434"/>
    <w:rsid w:val="008358C0"/>
    <w:rsid w:val="00842838"/>
    <w:rsid w:val="0084626F"/>
    <w:rsid w:val="00847140"/>
    <w:rsid w:val="00854EC1"/>
    <w:rsid w:val="0085797F"/>
    <w:rsid w:val="00860804"/>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8F1E34"/>
    <w:rsid w:val="00902B13"/>
    <w:rsid w:val="00911941"/>
    <w:rsid w:val="009138A0"/>
    <w:rsid w:val="00925F0F"/>
    <w:rsid w:val="00930C91"/>
    <w:rsid w:val="00932F6B"/>
    <w:rsid w:val="00933DC0"/>
    <w:rsid w:val="009376D9"/>
    <w:rsid w:val="00937B31"/>
    <w:rsid w:val="009436FF"/>
    <w:rsid w:val="0094483E"/>
    <w:rsid w:val="009468BC"/>
    <w:rsid w:val="009616DF"/>
    <w:rsid w:val="00964B22"/>
    <w:rsid w:val="0096542F"/>
    <w:rsid w:val="00967FA7"/>
    <w:rsid w:val="00971645"/>
    <w:rsid w:val="009737A3"/>
    <w:rsid w:val="00974C3D"/>
    <w:rsid w:val="00977919"/>
    <w:rsid w:val="00983000"/>
    <w:rsid w:val="009870FA"/>
    <w:rsid w:val="009921C3"/>
    <w:rsid w:val="0099551D"/>
    <w:rsid w:val="009A581C"/>
    <w:rsid w:val="009A5897"/>
    <w:rsid w:val="009A5F24"/>
    <w:rsid w:val="009B0B3E"/>
    <w:rsid w:val="009B1913"/>
    <w:rsid w:val="009B3F9B"/>
    <w:rsid w:val="009B65CB"/>
    <w:rsid w:val="009B6657"/>
    <w:rsid w:val="009B7C35"/>
    <w:rsid w:val="009C198E"/>
    <w:rsid w:val="009C21F1"/>
    <w:rsid w:val="009C2AE1"/>
    <w:rsid w:val="009C46C5"/>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71E1C"/>
    <w:rsid w:val="00A8610B"/>
    <w:rsid w:val="00A86CD3"/>
    <w:rsid w:val="00A925EC"/>
    <w:rsid w:val="00A929AA"/>
    <w:rsid w:val="00A92B6B"/>
    <w:rsid w:val="00A955A9"/>
    <w:rsid w:val="00AA541E"/>
    <w:rsid w:val="00AB7FFA"/>
    <w:rsid w:val="00AC25FF"/>
    <w:rsid w:val="00AD0DA4"/>
    <w:rsid w:val="00AD4169"/>
    <w:rsid w:val="00AD4312"/>
    <w:rsid w:val="00AE25C6"/>
    <w:rsid w:val="00AE306C"/>
    <w:rsid w:val="00AF28C1"/>
    <w:rsid w:val="00AF5F76"/>
    <w:rsid w:val="00B02EF1"/>
    <w:rsid w:val="00B07C97"/>
    <w:rsid w:val="00B07EA1"/>
    <w:rsid w:val="00B11C67"/>
    <w:rsid w:val="00B15578"/>
    <w:rsid w:val="00B15754"/>
    <w:rsid w:val="00B15A27"/>
    <w:rsid w:val="00B2046E"/>
    <w:rsid w:val="00B20E8B"/>
    <w:rsid w:val="00B257E1"/>
    <w:rsid w:val="00B2599A"/>
    <w:rsid w:val="00B27AC4"/>
    <w:rsid w:val="00B343CC"/>
    <w:rsid w:val="00B43C75"/>
    <w:rsid w:val="00B44EA3"/>
    <w:rsid w:val="00B47ABC"/>
    <w:rsid w:val="00B5084A"/>
    <w:rsid w:val="00B577F9"/>
    <w:rsid w:val="00B606A1"/>
    <w:rsid w:val="00B614F7"/>
    <w:rsid w:val="00B61B26"/>
    <w:rsid w:val="00B675B2"/>
    <w:rsid w:val="00B67E17"/>
    <w:rsid w:val="00B81261"/>
    <w:rsid w:val="00B8223E"/>
    <w:rsid w:val="00B832AE"/>
    <w:rsid w:val="00B83E5C"/>
    <w:rsid w:val="00B86678"/>
    <w:rsid w:val="00B92F9B"/>
    <w:rsid w:val="00B941B3"/>
    <w:rsid w:val="00B96513"/>
    <w:rsid w:val="00BA1D47"/>
    <w:rsid w:val="00BA66F0"/>
    <w:rsid w:val="00BB0B01"/>
    <w:rsid w:val="00BB2239"/>
    <w:rsid w:val="00BB2AE7"/>
    <w:rsid w:val="00BB6464"/>
    <w:rsid w:val="00BC1BB8"/>
    <w:rsid w:val="00BD30F9"/>
    <w:rsid w:val="00BD679D"/>
    <w:rsid w:val="00BD7FE1"/>
    <w:rsid w:val="00BE37CA"/>
    <w:rsid w:val="00BE6144"/>
    <w:rsid w:val="00BE635A"/>
    <w:rsid w:val="00BF17E9"/>
    <w:rsid w:val="00BF2ABB"/>
    <w:rsid w:val="00BF5099"/>
    <w:rsid w:val="00BF5345"/>
    <w:rsid w:val="00C10F10"/>
    <w:rsid w:val="00C144D1"/>
    <w:rsid w:val="00C15D4D"/>
    <w:rsid w:val="00C175DC"/>
    <w:rsid w:val="00C25BDB"/>
    <w:rsid w:val="00C30171"/>
    <w:rsid w:val="00C309D8"/>
    <w:rsid w:val="00C43519"/>
    <w:rsid w:val="00C51537"/>
    <w:rsid w:val="00C52BC3"/>
    <w:rsid w:val="00C61AFA"/>
    <w:rsid w:val="00C61D64"/>
    <w:rsid w:val="00C62099"/>
    <w:rsid w:val="00C64EA3"/>
    <w:rsid w:val="00C72867"/>
    <w:rsid w:val="00C75E81"/>
    <w:rsid w:val="00C75F52"/>
    <w:rsid w:val="00C800F1"/>
    <w:rsid w:val="00C80EE0"/>
    <w:rsid w:val="00C86533"/>
    <w:rsid w:val="00C86609"/>
    <w:rsid w:val="00C910B1"/>
    <w:rsid w:val="00C92B4C"/>
    <w:rsid w:val="00C954F6"/>
    <w:rsid w:val="00CA6BC5"/>
    <w:rsid w:val="00CB6A67"/>
    <w:rsid w:val="00CB7EB1"/>
    <w:rsid w:val="00CC61CD"/>
    <w:rsid w:val="00CD3F6F"/>
    <w:rsid w:val="00CD5011"/>
    <w:rsid w:val="00CE640F"/>
    <w:rsid w:val="00CE7248"/>
    <w:rsid w:val="00CE76BC"/>
    <w:rsid w:val="00CF3D92"/>
    <w:rsid w:val="00CF540E"/>
    <w:rsid w:val="00D02F07"/>
    <w:rsid w:val="00D23346"/>
    <w:rsid w:val="00D27EBE"/>
    <w:rsid w:val="00D36A18"/>
    <w:rsid w:val="00D36A49"/>
    <w:rsid w:val="00D517C6"/>
    <w:rsid w:val="00D53B4C"/>
    <w:rsid w:val="00D567C5"/>
    <w:rsid w:val="00D64806"/>
    <w:rsid w:val="00D71D84"/>
    <w:rsid w:val="00D72464"/>
    <w:rsid w:val="00D724C9"/>
    <w:rsid w:val="00D768EB"/>
    <w:rsid w:val="00D8219B"/>
    <w:rsid w:val="00D82D1E"/>
    <w:rsid w:val="00D832D9"/>
    <w:rsid w:val="00D90F00"/>
    <w:rsid w:val="00D94F6B"/>
    <w:rsid w:val="00D96463"/>
    <w:rsid w:val="00D975C0"/>
    <w:rsid w:val="00DA195B"/>
    <w:rsid w:val="00DA5285"/>
    <w:rsid w:val="00DB078D"/>
    <w:rsid w:val="00DB191D"/>
    <w:rsid w:val="00DB4F91"/>
    <w:rsid w:val="00DB5BBC"/>
    <w:rsid w:val="00DC1EF7"/>
    <w:rsid w:val="00DC1F0F"/>
    <w:rsid w:val="00DC3117"/>
    <w:rsid w:val="00DC5DD9"/>
    <w:rsid w:val="00DC6D2D"/>
    <w:rsid w:val="00DD64C2"/>
    <w:rsid w:val="00DE33B5"/>
    <w:rsid w:val="00DE5E18"/>
    <w:rsid w:val="00DE6E01"/>
    <w:rsid w:val="00DF0487"/>
    <w:rsid w:val="00DF1C5B"/>
    <w:rsid w:val="00DF5EA4"/>
    <w:rsid w:val="00E02681"/>
    <w:rsid w:val="00E02792"/>
    <w:rsid w:val="00E034D8"/>
    <w:rsid w:val="00E04CC0"/>
    <w:rsid w:val="00E15816"/>
    <w:rsid w:val="00E160D5"/>
    <w:rsid w:val="00E2126A"/>
    <w:rsid w:val="00E239FF"/>
    <w:rsid w:val="00E27D7B"/>
    <w:rsid w:val="00E30556"/>
    <w:rsid w:val="00E30981"/>
    <w:rsid w:val="00E32C7B"/>
    <w:rsid w:val="00E33136"/>
    <w:rsid w:val="00E34D7C"/>
    <w:rsid w:val="00E36C7E"/>
    <w:rsid w:val="00E3723D"/>
    <w:rsid w:val="00E44C89"/>
    <w:rsid w:val="00E470F6"/>
    <w:rsid w:val="00E55075"/>
    <w:rsid w:val="00E61BA2"/>
    <w:rsid w:val="00E63864"/>
    <w:rsid w:val="00E6403F"/>
    <w:rsid w:val="00E64725"/>
    <w:rsid w:val="00E666E7"/>
    <w:rsid w:val="00E700CA"/>
    <w:rsid w:val="00E75449"/>
    <w:rsid w:val="00E75F40"/>
    <w:rsid w:val="00E770C4"/>
    <w:rsid w:val="00E84C5A"/>
    <w:rsid w:val="00E861DB"/>
    <w:rsid w:val="00E93406"/>
    <w:rsid w:val="00E956C5"/>
    <w:rsid w:val="00E9579A"/>
    <w:rsid w:val="00E95C39"/>
    <w:rsid w:val="00EA2C39"/>
    <w:rsid w:val="00EA47B5"/>
    <w:rsid w:val="00EA4F9D"/>
    <w:rsid w:val="00EB0A3C"/>
    <w:rsid w:val="00EB0A96"/>
    <w:rsid w:val="00EB77F9"/>
    <w:rsid w:val="00EC5769"/>
    <w:rsid w:val="00EC7D00"/>
    <w:rsid w:val="00ED0304"/>
    <w:rsid w:val="00ED087C"/>
    <w:rsid w:val="00EE38FA"/>
    <w:rsid w:val="00EE3E2C"/>
    <w:rsid w:val="00EE5D23"/>
    <w:rsid w:val="00EE750D"/>
    <w:rsid w:val="00EF3CA4"/>
    <w:rsid w:val="00EF5E1F"/>
    <w:rsid w:val="00EF7859"/>
    <w:rsid w:val="00F014DA"/>
    <w:rsid w:val="00F01BE6"/>
    <w:rsid w:val="00F02591"/>
    <w:rsid w:val="00F14273"/>
    <w:rsid w:val="00F1467A"/>
    <w:rsid w:val="00F24CB0"/>
    <w:rsid w:val="00F24F21"/>
    <w:rsid w:val="00F30056"/>
    <w:rsid w:val="00F4157B"/>
    <w:rsid w:val="00F47AED"/>
    <w:rsid w:val="00F5696E"/>
    <w:rsid w:val="00F60EFF"/>
    <w:rsid w:val="00F67D2D"/>
    <w:rsid w:val="00F80B83"/>
    <w:rsid w:val="00F860CC"/>
    <w:rsid w:val="00F90858"/>
    <w:rsid w:val="00F94398"/>
    <w:rsid w:val="00F97FAB"/>
    <w:rsid w:val="00FA4629"/>
    <w:rsid w:val="00FB0845"/>
    <w:rsid w:val="00FB2B56"/>
    <w:rsid w:val="00FB4297"/>
    <w:rsid w:val="00FB4E3A"/>
    <w:rsid w:val="00FC12BF"/>
    <w:rsid w:val="00FC1A7C"/>
    <w:rsid w:val="00FC2C60"/>
    <w:rsid w:val="00FC64AB"/>
    <w:rsid w:val="00FD3E6F"/>
    <w:rsid w:val="00FD51B9"/>
    <w:rsid w:val="00FE2A39"/>
    <w:rsid w:val="00FE2EF6"/>
    <w:rsid w:val="00FE3F44"/>
    <w:rsid w:val="00FE5B5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UnresolvedMention">
    <w:name w:val="Unresolved Mention"/>
    <w:basedOn w:val="DefaultParagraphFont"/>
    <w:uiPriority w:val="99"/>
    <w:semiHidden/>
    <w:unhideWhenUsed/>
    <w:rsid w:val="00E2126A"/>
    <w:rPr>
      <w:color w:val="605E5C"/>
      <w:shd w:val="clear" w:color="auto" w:fill="E1DFDD"/>
    </w:rPr>
  </w:style>
  <w:style w:type="character" w:styleId="CommentReference">
    <w:name w:val="annotation reference"/>
    <w:basedOn w:val="DefaultParagraphFont"/>
    <w:uiPriority w:val="99"/>
    <w:semiHidden/>
    <w:unhideWhenUsed/>
    <w:rsid w:val="00C910B1"/>
    <w:rPr>
      <w:sz w:val="16"/>
      <w:szCs w:val="16"/>
    </w:rPr>
  </w:style>
  <w:style w:type="paragraph" w:styleId="CommentText">
    <w:name w:val="annotation text"/>
    <w:basedOn w:val="Normal"/>
    <w:link w:val="CommentTextChar"/>
    <w:uiPriority w:val="99"/>
    <w:semiHidden/>
    <w:unhideWhenUsed/>
    <w:rsid w:val="00C910B1"/>
    <w:rPr>
      <w:sz w:val="20"/>
      <w:szCs w:val="20"/>
    </w:rPr>
  </w:style>
  <w:style w:type="character" w:customStyle="1" w:styleId="CommentTextChar">
    <w:name w:val="Comment Text Char"/>
    <w:basedOn w:val="DefaultParagraphFont"/>
    <w:link w:val="CommentText"/>
    <w:uiPriority w:val="99"/>
    <w:semiHidden/>
    <w:rsid w:val="00C910B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910B1"/>
    <w:rPr>
      <w:b/>
      <w:bCs/>
    </w:rPr>
  </w:style>
  <w:style w:type="character" w:customStyle="1" w:styleId="CommentSubjectChar">
    <w:name w:val="Comment Subject Char"/>
    <w:basedOn w:val="CommentTextChar"/>
    <w:link w:val="CommentSubject"/>
    <w:uiPriority w:val="99"/>
    <w:semiHidden/>
    <w:rsid w:val="00C910B1"/>
    <w:rPr>
      <w:rFonts w:ascii="Lato" w:hAnsi="Lato"/>
      <w:b/>
      <w:bCs/>
      <w:sz w:val="20"/>
      <w:szCs w:val="20"/>
    </w:rPr>
  </w:style>
  <w:style w:type="paragraph" w:styleId="BalloonText">
    <w:name w:val="Balloon Text"/>
    <w:basedOn w:val="Normal"/>
    <w:link w:val="BalloonTextChar"/>
    <w:uiPriority w:val="99"/>
    <w:semiHidden/>
    <w:unhideWhenUsed/>
    <w:rsid w:val="00C910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B1"/>
    <w:rPr>
      <w:rFonts w:ascii="Segoe UI" w:hAnsi="Segoe UI" w:cs="Segoe UI"/>
      <w:sz w:val="18"/>
      <w:szCs w:val="18"/>
    </w:rPr>
  </w:style>
  <w:style w:type="table" w:customStyle="1" w:styleId="TableGrid1">
    <w:name w:val="Table Grid1"/>
    <w:basedOn w:val="TableNormal"/>
    <w:next w:val="TableGrid"/>
    <w:uiPriority w:val="39"/>
    <w:rsid w:val="00B44EA3"/>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77F9"/>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ducation.nt.gov.au/policies/student-enrolment/enrolmen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schoolops@education.nt.gov.au"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legislation.nt.gov.au/Legislation/EDUCATION-REGULATIONS-201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legislation.nt.gov.au/Legislation/EDUCATION-ACT-2015" TargetMode="External"/><Relationship Id="rId20" Type="http://schemas.openxmlformats.org/officeDocument/2006/relationships/hyperlink" Target="https://education.nt.gov.au/policies/student-enrolment/enrol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ducation.gov.au/disability-standards-education-2005"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education.nt.gov.au/policies/health-safety/behaviour-and-wellbein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finn\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A33566601201497BB755133785B70952"/>
        <w:category>
          <w:name w:val="General"/>
          <w:gallery w:val="placeholder"/>
        </w:category>
        <w:types>
          <w:type w:val="bbPlcHdr"/>
        </w:types>
        <w:behaviors>
          <w:behavior w:val="content"/>
        </w:behaviors>
        <w:guid w:val="{75944C42-A348-45F8-ACAC-68FD747FC97D}"/>
      </w:docPartPr>
      <w:docPartBody>
        <w:p w:rsidR="001127C9" w:rsidRDefault="00536110" w:rsidP="00536110">
          <w:pPr>
            <w:pStyle w:val="A33566601201497BB755133785B70952"/>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61758"/>
    <w:rsid w:val="000937E8"/>
    <w:rsid w:val="001127C9"/>
    <w:rsid w:val="001A1344"/>
    <w:rsid w:val="0034160D"/>
    <w:rsid w:val="0051099F"/>
    <w:rsid w:val="00536110"/>
    <w:rsid w:val="006517ED"/>
    <w:rsid w:val="00713047"/>
    <w:rsid w:val="007640F9"/>
    <w:rsid w:val="007727FF"/>
    <w:rsid w:val="008301D8"/>
    <w:rsid w:val="008F1D51"/>
    <w:rsid w:val="00A860BC"/>
    <w:rsid w:val="00B72629"/>
    <w:rsid w:val="00BE6C8C"/>
    <w:rsid w:val="00C35A46"/>
    <w:rsid w:val="00C40363"/>
    <w:rsid w:val="00D00F64"/>
    <w:rsid w:val="00F22BD7"/>
    <w:rsid w:val="00F60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110"/>
    <w:rPr>
      <w:color w:val="808080"/>
    </w:rPr>
  </w:style>
  <w:style w:type="paragraph" w:customStyle="1" w:styleId="D08C95842F7E49DC90C916378C63A554">
    <w:name w:val="D08C95842F7E49DC90C916378C63A554"/>
  </w:style>
  <w:style w:type="paragraph" w:customStyle="1" w:styleId="7F59C6C1D97947EC8DDC41453AA36E2E">
    <w:name w:val="7F59C6C1D97947EC8DDC41453AA36E2E"/>
  </w:style>
  <w:style w:type="paragraph" w:customStyle="1" w:styleId="A33566601201497BB755133785B70952">
    <w:name w:val="A33566601201497BB755133785B70952"/>
    <w:rsid w:val="00536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0C4D3-D7E0-489B-A72C-2CB28BB1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37</TotalTime>
  <Pages>10</Pages>
  <Words>3000</Words>
  <Characters>17105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Enrolment management and priority enrolment – guidelines</vt:lpstr>
    </vt:vector>
  </TitlesOfParts>
  <Company>Education</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management and priority enrolment – guidelines</dc:title>
  <dc:creator>Northern Territory Government</dc:creator>
  <cp:lastModifiedBy>Missy Frey</cp:lastModifiedBy>
  <cp:revision>19</cp:revision>
  <cp:lastPrinted>2023-04-27T01:24:00Z</cp:lastPrinted>
  <dcterms:created xsi:type="dcterms:W3CDTF">2023-04-26T05:13:00Z</dcterms:created>
  <dcterms:modified xsi:type="dcterms:W3CDTF">2023-04-27T02:03:00Z</dcterms:modified>
</cp:coreProperties>
</file>