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F428D" w14:textId="77777777" w:rsidR="00465F77" w:rsidRDefault="00B02C22" w:rsidP="00B02C22">
      <w:pPr>
        <w:rPr>
          <w:lang w:val="en-US"/>
        </w:rPr>
      </w:pPr>
      <w:bookmarkStart w:id="0" w:name="_GoBack"/>
      <w:bookmarkEnd w:id="0"/>
      <w:r w:rsidRPr="00162482">
        <w:rPr>
          <w:lang w:val="en-US"/>
        </w:rPr>
        <w:t>This document should be read in conjunction with</w:t>
      </w:r>
      <w:r w:rsidR="00465F77">
        <w:rPr>
          <w:lang w:val="en-US"/>
        </w:rPr>
        <w:t>:</w:t>
      </w:r>
    </w:p>
    <w:p w14:paraId="65CD0F56" w14:textId="532700EA" w:rsidR="00B02C22" w:rsidRDefault="00664AB0" w:rsidP="00465F77">
      <w:pPr>
        <w:pStyle w:val="ListParagraph"/>
        <w:numPr>
          <w:ilvl w:val="0"/>
          <w:numId w:val="38"/>
        </w:numPr>
        <w:spacing w:after="0"/>
        <w:ind w:left="426"/>
        <w:rPr>
          <w:rStyle w:val="Hyperlink"/>
          <w:rFonts w:cs="Arial"/>
          <w:bCs/>
          <w:sz w:val="24"/>
          <w:lang w:val="en-US"/>
        </w:rPr>
      </w:pPr>
      <w:hyperlink r:id="rId9" w:history="1">
        <w:r w:rsidR="00B02C22" w:rsidRPr="00465F77">
          <w:rPr>
            <w:rStyle w:val="Hyperlink"/>
            <w:noProof/>
            <w:lang w:eastAsia="en-AU"/>
          </w:rPr>
          <w:t>Enrolment</w:t>
        </w:r>
        <w:r w:rsidR="00B02C22">
          <w:rPr>
            <w:rStyle w:val="Hyperlink"/>
            <w:rFonts w:cs="Arial"/>
            <w:bCs/>
            <w:sz w:val="24"/>
            <w:lang w:val="en-US"/>
          </w:rPr>
          <w:t xml:space="preserve"> P</w:t>
        </w:r>
        <w:r w:rsidR="00B02C22" w:rsidRPr="00EA552F">
          <w:rPr>
            <w:rStyle w:val="Hyperlink"/>
            <w:rFonts w:cs="Arial"/>
            <w:bCs/>
            <w:sz w:val="24"/>
            <w:lang w:val="en-US"/>
          </w:rPr>
          <w:t>olicy</w:t>
        </w:r>
      </w:hyperlink>
      <w:r w:rsidR="001F2C56">
        <w:rPr>
          <w:rStyle w:val="Hyperlink"/>
          <w:rFonts w:cs="Arial"/>
          <w:bCs/>
          <w:sz w:val="24"/>
          <w:lang w:val="en-US"/>
        </w:rPr>
        <w:t xml:space="preserve"> and Guidelines</w:t>
      </w:r>
    </w:p>
    <w:p w14:paraId="060501B4" w14:textId="287B5CD5" w:rsidR="00465F77" w:rsidRDefault="00664AB0" w:rsidP="00465F77">
      <w:pPr>
        <w:pStyle w:val="ListParagraph"/>
        <w:numPr>
          <w:ilvl w:val="0"/>
          <w:numId w:val="38"/>
        </w:numPr>
        <w:spacing w:after="0"/>
        <w:ind w:left="426"/>
        <w:rPr>
          <w:noProof/>
          <w:lang w:eastAsia="en-AU"/>
        </w:rPr>
      </w:pPr>
      <w:hyperlink r:id="rId10" w:history="1">
        <w:r w:rsidR="00465F77" w:rsidRPr="00F5326B">
          <w:rPr>
            <w:rStyle w:val="Hyperlink"/>
            <w:noProof/>
            <w:lang w:eastAsia="en-AU"/>
          </w:rPr>
          <w:t>Students with Disability Policy</w:t>
        </w:r>
      </w:hyperlink>
      <w:r w:rsidR="001F2C56">
        <w:rPr>
          <w:rStyle w:val="Hyperlink"/>
          <w:noProof/>
          <w:lang w:eastAsia="en-AU"/>
        </w:rPr>
        <w:t xml:space="preserve"> and Guidelines</w:t>
      </w:r>
    </w:p>
    <w:p w14:paraId="3CCB2D17" w14:textId="7C38DA93" w:rsidR="00465F77" w:rsidRDefault="00664AB0" w:rsidP="00465F77">
      <w:pPr>
        <w:pStyle w:val="ListParagraph"/>
        <w:numPr>
          <w:ilvl w:val="0"/>
          <w:numId w:val="38"/>
        </w:numPr>
        <w:spacing w:after="0"/>
        <w:ind w:left="426"/>
        <w:rPr>
          <w:lang w:val="en-US"/>
        </w:rPr>
      </w:pPr>
      <w:hyperlink r:id="rId11" w:history="1">
        <w:r w:rsidR="00465F77" w:rsidRPr="00465F77">
          <w:rPr>
            <w:rStyle w:val="Hyperlink"/>
            <w:lang w:val="en-US"/>
          </w:rPr>
          <w:t>Diagnosis Assessment Guidelines</w:t>
        </w:r>
      </w:hyperlink>
      <w:r w:rsidR="00465F77">
        <w:rPr>
          <w:lang w:val="en-US"/>
        </w:rPr>
        <w:t>.</w:t>
      </w:r>
    </w:p>
    <w:p w14:paraId="4BD88147" w14:textId="447DF93C" w:rsidR="00B02C22" w:rsidRDefault="00465F77" w:rsidP="00465F77">
      <w:pPr>
        <w:pStyle w:val="Heading1"/>
        <w:numPr>
          <w:ilvl w:val="0"/>
          <w:numId w:val="9"/>
        </w:numPr>
        <w:spacing w:before="360"/>
        <w:ind w:left="425" w:hanging="425"/>
        <w:rPr>
          <w:lang w:val="en-US"/>
        </w:rPr>
      </w:pPr>
      <w:r w:rsidRPr="00465F77">
        <w:rPr>
          <w:noProof/>
          <w:lang w:eastAsia="en-AU"/>
        </w:rPr>
        <w:t>Introduction</w:t>
      </w:r>
    </w:p>
    <w:p w14:paraId="4BE46A37" w14:textId="3F740501" w:rsidR="00B02C22" w:rsidRPr="00465F77" w:rsidRDefault="00B02C22" w:rsidP="00465F77">
      <w:pPr>
        <w:ind w:left="426"/>
      </w:pPr>
      <w:r w:rsidRPr="00465F77">
        <w:t xml:space="preserve">The Department of Education (the department) operates a number of </w:t>
      </w:r>
      <w:r w:rsidR="00465F77" w:rsidRPr="00465F77">
        <w:t xml:space="preserve">Special Schools and Special Centres to </w:t>
      </w:r>
      <w:r w:rsidRPr="00465F77">
        <w:t xml:space="preserve">cater for students with intellectual disability and/or additional complex needs. A list of current Special Schools and Special Centres is provided at </w:t>
      </w:r>
      <w:r w:rsidR="00070771">
        <w:t>Appendix</w:t>
      </w:r>
      <w:r w:rsidRPr="00465F77">
        <w:t xml:space="preserve"> A.</w:t>
      </w:r>
    </w:p>
    <w:p w14:paraId="14CBAFA0" w14:textId="77777777" w:rsidR="00B02C22" w:rsidRPr="00465F77" w:rsidRDefault="00B02C22" w:rsidP="00465F77">
      <w:pPr>
        <w:ind w:left="426"/>
      </w:pPr>
      <w:r w:rsidRPr="00465F77">
        <w:t>These guidelines provide clear and consistent eligibility criteria and verification processes for the enrolment of students in Special Schools and Special Centres through the provision of:</w:t>
      </w:r>
    </w:p>
    <w:p w14:paraId="651D5953" w14:textId="77777777" w:rsidR="00B02C22" w:rsidRPr="00B02C22" w:rsidRDefault="00B02C22" w:rsidP="00465F77">
      <w:pPr>
        <w:pStyle w:val="ListParagraph"/>
        <w:numPr>
          <w:ilvl w:val="0"/>
          <w:numId w:val="10"/>
        </w:numPr>
        <w:spacing w:after="0"/>
        <w:ind w:left="851" w:hanging="425"/>
        <w:contextualSpacing/>
        <w:rPr>
          <w:lang w:val="en-US"/>
        </w:rPr>
      </w:pPr>
      <w:r w:rsidRPr="00B02C22">
        <w:rPr>
          <w:lang w:val="en-US"/>
        </w:rPr>
        <w:t xml:space="preserve">Special School and Special Centre </w:t>
      </w:r>
      <w:r w:rsidRPr="00465F77">
        <w:rPr>
          <w:color w:val="000000"/>
        </w:rPr>
        <w:t>placements</w:t>
      </w:r>
    </w:p>
    <w:p w14:paraId="31F8BAF1" w14:textId="77777777" w:rsidR="00B02C22" w:rsidRPr="00B02C22" w:rsidRDefault="00B02C22" w:rsidP="00465F77">
      <w:pPr>
        <w:pStyle w:val="ListParagraph"/>
        <w:numPr>
          <w:ilvl w:val="0"/>
          <w:numId w:val="10"/>
        </w:numPr>
        <w:spacing w:after="200"/>
        <w:ind w:left="850" w:hanging="425"/>
        <w:contextualSpacing/>
        <w:rPr>
          <w:lang w:val="en-US"/>
        </w:rPr>
      </w:pPr>
      <w:r w:rsidRPr="00B02C22">
        <w:rPr>
          <w:lang w:val="en-US"/>
        </w:rPr>
        <w:t xml:space="preserve">Special School and Special Centre functional </w:t>
      </w:r>
      <w:r w:rsidRPr="00465F77">
        <w:rPr>
          <w:color w:val="000000"/>
        </w:rPr>
        <w:t>placements</w:t>
      </w:r>
      <w:r w:rsidRPr="00B02C22">
        <w:rPr>
          <w:lang w:val="en-US"/>
        </w:rPr>
        <w:t>.</w:t>
      </w:r>
    </w:p>
    <w:p w14:paraId="2E2877B5" w14:textId="77777777" w:rsidR="00B02C22" w:rsidRPr="00162482" w:rsidRDefault="00B02C22" w:rsidP="00465F77">
      <w:pPr>
        <w:ind w:left="426"/>
        <w:rPr>
          <w:lang w:val="en-US"/>
        </w:rPr>
      </w:pPr>
      <w:r w:rsidRPr="00162482">
        <w:rPr>
          <w:lang w:val="en-US"/>
        </w:rPr>
        <w:t xml:space="preserve">The eligibility criteria and verification processes ensure that the wellbeing and educational needs of each student are carefully considered and assessed prior to the student’s placement or functional placement in a Special </w:t>
      </w:r>
      <w:r w:rsidRPr="00465F77">
        <w:t>School</w:t>
      </w:r>
      <w:r w:rsidRPr="00162482">
        <w:rPr>
          <w:lang w:val="en-US"/>
        </w:rPr>
        <w:t xml:space="preserve"> or Special Centre.</w:t>
      </w:r>
    </w:p>
    <w:p w14:paraId="61853185" w14:textId="4D3C1314" w:rsidR="00B02C22" w:rsidRPr="00162482" w:rsidRDefault="00465F77" w:rsidP="00465F77">
      <w:pPr>
        <w:ind w:left="426"/>
        <w:rPr>
          <w:lang w:val="en-US"/>
        </w:rPr>
      </w:pPr>
      <w:r>
        <w:rPr>
          <w:lang w:val="en-US"/>
        </w:rPr>
        <w:t>Parents have</w:t>
      </w:r>
      <w:r w:rsidR="00B02C22" w:rsidRPr="00162482">
        <w:rPr>
          <w:lang w:val="en-US"/>
        </w:rPr>
        <w:t xml:space="preserve"> the right to appeal a decision where a student has been deemed ineligible for a placement or functional placement in a Special School or Special Centre. </w:t>
      </w:r>
    </w:p>
    <w:p w14:paraId="4DC9A231" w14:textId="51446608" w:rsidR="00B02C22" w:rsidRPr="00465F77" w:rsidRDefault="00465F77" w:rsidP="00465F77">
      <w:pPr>
        <w:pStyle w:val="Heading1"/>
        <w:numPr>
          <w:ilvl w:val="0"/>
          <w:numId w:val="9"/>
        </w:numPr>
        <w:spacing w:before="360"/>
        <w:ind w:left="425" w:hanging="425"/>
        <w:rPr>
          <w:noProof/>
          <w:lang w:eastAsia="en-AU"/>
        </w:rPr>
      </w:pPr>
      <w:r w:rsidRPr="00465F77">
        <w:rPr>
          <w:noProof/>
          <w:lang w:eastAsia="en-AU"/>
        </w:rPr>
        <w:t>Definitions</w:t>
      </w:r>
    </w:p>
    <w:p w14:paraId="4B601AB3" w14:textId="77777777" w:rsidR="00B02C22" w:rsidRPr="00162482" w:rsidRDefault="00B02C22" w:rsidP="00465F77">
      <w:pPr>
        <w:ind w:left="426"/>
        <w:rPr>
          <w:lang w:val="en-US"/>
        </w:rPr>
      </w:pPr>
      <w:r w:rsidRPr="00465F77">
        <w:rPr>
          <w:b/>
          <w:bCs/>
          <w:iCs/>
          <w:lang w:val="en-US"/>
        </w:rPr>
        <w:t>Appeal</w:t>
      </w:r>
      <w:r w:rsidRPr="00465F77">
        <w:rPr>
          <w:lang w:val="en-US"/>
        </w:rPr>
        <w:t xml:space="preserve"> </w:t>
      </w:r>
      <w:r w:rsidRPr="00162482">
        <w:rPr>
          <w:lang w:val="en-US"/>
        </w:rPr>
        <w:t>is a review process that can be</w:t>
      </w:r>
      <w:r w:rsidRPr="00465F77">
        <w:rPr>
          <w:lang w:val="en-US"/>
        </w:rPr>
        <w:t xml:space="preserve"> </w:t>
      </w:r>
      <w:r w:rsidRPr="00162482">
        <w:rPr>
          <w:lang w:val="en-US"/>
        </w:rPr>
        <w:t>undertaken</w:t>
      </w:r>
      <w:r w:rsidRPr="00465F77">
        <w:rPr>
          <w:lang w:val="en-US"/>
        </w:rPr>
        <w:t xml:space="preserve"> </w:t>
      </w:r>
      <w:r w:rsidRPr="00162482">
        <w:rPr>
          <w:lang w:val="en-US"/>
        </w:rPr>
        <w:t xml:space="preserve">in the event that a student has not met the eligibility criteria, and is unsuccessful in obtaining verification for a Special School or Special Centre placement or functional placement. </w:t>
      </w:r>
    </w:p>
    <w:p w14:paraId="40ED2A41" w14:textId="77777777" w:rsidR="00B02C22" w:rsidRPr="00162482" w:rsidRDefault="00B02C22" w:rsidP="00465F77">
      <w:pPr>
        <w:ind w:left="426"/>
        <w:rPr>
          <w:lang w:val="en-US"/>
        </w:rPr>
      </w:pPr>
      <w:r w:rsidRPr="00465F77">
        <w:rPr>
          <w:b/>
          <w:bCs/>
          <w:iCs/>
          <w:lang w:val="en-US"/>
        </w:rPr>
        <w:t>Capacity/expertise</w:t>
      </w:r>
      <w:r w:rsidRPr="00162482">
        <w:rPr>
          <w:lang w:val="en-US"/>
        </w:rPr>
        <w:t xml:space="preserve"> for the purpose of this document refers to a Special School or Special Centre’s </w:t>
      </w:r>
      <w:proofErr w:type="gramStart"/>
      <w:r w:rsidRPr="00162482">
        <w:rPr>
          <w:lang w:val="en-US"/>
        </w:rPr>
        <w:t>ability</w:t>
      </w:r>
      <w:proofErr w:type="gramEnd"/>
      <w:r w:rsidRPr="00162482">
        <w:rPr>
          <w:lang w:val="en-US"/>
        </w:rPr>
        <w:t xml:space="preserve"> to provide </w:t>
      </w:r>
      <w:proofErr w:type="spellStart"/>
      <w:r w:rsidRPr="00162482">
        <w:rPr>
          <w:lang w:val="en-US"/>
        </w:rPr>
        <w:t>specialised</w:t>
      </w:r>
      <w:proofErr w:type="spellEnd"/>
      <w:r w:rsidRPr="00162482">
        <w:rPr>
          <w:lang w:val="en-US"/>
        </w:rPr>
        <w:t xml:space="preserve"> support and educational programs to meet the student’s specific needs.</w:t>
      </w:r>
    </w:p>
    <w:p w14:paraId="657AE8A9" w14:textId="67AE1E89" w:rsidR="00B02C22" w:rsidRPr="00162482" w:rsidRDefault="00B02C22" w:rsidP="00465F77">
      <w:pPr>
        <w:ind w:left="426"/>
        <w:rPr>
          <w:lang w:val="en-US"/>
        </w:rPr>
      </w:pPr>
      <w:r w:rsidRPr="00465F77">
        <w:rPr>
          <w:b/>
          <w:bCs/>
          <w:iCs/>
          <w:lang w:val="en-US"/>
        </w:rPr>
        <w:t>Complex needs</w:t>
      </w:r>
      <w:r w:rsidRPr="00465F77">
        <w:rPr>
          <w:lang w:val="en-US"/>
        </w:rPr>
        <w:t xml:space="preserve"> </w:t>
      </w:r>
      <w:r w:rsidR="00465F77" w:rsidRPr="00162482">
        <w:rPr>
          <w:lang w:val="en-US"/>
        </w:rPr>
        <w:t xml:space="preserve">for the purpose of this document refers </w:t>
      </w:r>
      <w:r w:rsidR="00465F77">
        <w:rPr>
          <w:lang w:val="en-US"/>
        </w:rPr>
        <w:t xml:space="preserve">to </w:t>
      </w:r>
      <w:r w:rsidRPr="00162482">
        <w:rPr>
          <w:lang w:val="en-US"/>
        </w:rPr>
        <w:t>a student with</w:t>
      </w:r>
      <w:r w:rsidR="00465F77">
        <w:rPr>
          <w:lang w:val="en-US"/>
        </w:rPr>
        <w:t xml:space="preserve"> or without</w:t>
      </w:r>
      <w:r w:rsidRPr="00162482">
        <w:rPr>
          <w:lang w:val="en-US"/>
        </w:rPr>
        <w:t xml:space="preserve"> an identified disability </w:t>
      </w:r>
      <w:r w:rsidR="00465F77">
        <w:rPr>
          <w:lang w:val="en-US"/>
        </w:rPr>
        <w:t>who</w:t>
      </w:r>
      <w:r w:rsidRPr="00162482">
        <w:rPr>
          <w:lang w:val="en-US"/>
        </w:rPr>
        <w:t xml:space="preserve"> may require intensive support and a highly </w:t>
      </w:r>
      <w:proofErr w:type="spellStart"/>
      <w:r w:rsidRPr="00162482">
        <w:rPr>
          <w:lang w:val="en-US"/>
        </w:rPr>
        <w:t>individualised</w:t>
      </w:r>
      <w:proofErr w:type="spellEnd"/>
      <w:r w:rsidRPr="00162482">
        <w:rPr>
          <w:lang w:val="en-US"/>
        </w:rPr>
        <w:t xml:space="preserve"> program to access, and participate in, the curriculum. The student may meet the eligibility criteria for a functional placement in a Special School or Special Centre.</w:t>
      </w:r>
    </w:p>
    <w:p w14:paraId="373C8E8F" w14:textId="77777777" w:rsidR="00B02C22" w:rsidRDefault="00B02C22" w:rsidP="00465F77">
      <w:pPr>
        <w:ind w:left="426"/>
        <w:rPr>
          <w:lang w:val="en-US"/>
        </w:rPr>
      </w:pPr>
      <w:r w:rsidRPr="00465F77">
        <w:rPr>
          <w:b/>
          <w:bCs/>
          <w:iCs/>
          <w:lang w:val="en-US"/>
        </w:rPr>
        <w:lastRenderedPageBreak/>
        <w:t>Daily care and control of a child</w:t>
      </w:r>
      <w:r w:rsidRPr="00465F77">
        <w:rPr>
          <w:bCs/>
          <w:iCs/>
          <w:lang w:val="en-US"/>
        </w:rPr>
        <w:t xml:space="preserve"> (in regards to the definition of parent)</w:t>
      </w:r>
      <w:r>
        <w:rPr>
          <w:lang w:val="en-US"/>
        </w:rPr>
        <w:t xml:space="preserve"> </w:t>
      </w:r>
      <w:r w:rsidRPr="00677597">
        <w:rPr>
          <w:lang w:val="en-US"/>
        </w:rPr>
        <w:t>refers to a person who is entitled to exercise all the powers and rights, and has all the responsibilities, in relation to the day-to-day care and control of the child.</w:t>
      </w:r>
    </w:p>
    <w:p w14:paraId="0E969E7F" w14:textId="77777777" w:rsidR="001F2C56" w:rsidRPr="008235F0" w:rsidRDefault="001F2C56" w:rsidP="001F2C56">
      <w:pPr>
        <w:ind w:left="426"/>
      </w:pPr>
      <w:r w:rsidRPr="00F5326B">
        <w:rPr>
          <w:b/>
          <w:bCs/>
          <w:iCs/>
        </w:rPr>
        <w:t>Disability</w:t>
      </w:r>
      <w:r w:rsidRPr="008235F0">
        <w:t xml:space="preserve">, </w:t>
      </w:r>
      <w:r w:rsidRPr="00F5326B">
        <w:t>i</w:t>
      </w:r>
      <w:r w:rsidRPr="008235F0">
        <w:t>n relation to a person, means:</w:t>
      </w:r>
    </w:p>
    <w:p w14:paraId="434B1DDE" w14:textId="77777777" w:rsidR="001F2C56" w:rsidRPr="00930541" w:rsidRDefault="001F2C56" w:rsidP="001F2C56">
      <w:pPr>
        <w:pStyle w:val="ListParagraph"/>
        <w:numPr>
          <w:ilvl w:val="0"/>
          <w:numId w:val="39"/>
        </w:numPr>
        <w:ind w:left="426" w:firstLine="0"/>
        <w:contextualSpacing/>
      </w:pPr>
      <w:r w:rsidRPr="00930541">
        <w:t>total or partial loss of a person’s bodily or mental functions, or</w:t>
      </w:r>
    </w:p>
    <w:p w14:paraId="33C59C2D" w14:textId="77777777" w:rsidR="001F2C56" w:rsidRPr="00930541" w:rsidRDefault="001F2C56" w:rsidP="001F2C56">
      <w:pPr>
        <w:pStyle w:val="ListParagraph"/>
        <w:numPr>
          <w:ilvl w:val="0"/>
          <w:numId w:val="39"/>
        </w:numPr>
        <w:ind w:left="426" w:firstLine="0"/>
        <w:contextualSpacing/>
      </w:pPr>
      <w:r w:rsidRPr="00930541">
        <w:t>total or partial loss of a part of the body, or</w:t>
      </w:r>
    </w:p>
    <w:p w14:paraId="3F052B9C" w14:textId="77777777" w:rsidR="001F2C56" w:rsidRPr="00930541" w:rsidRDefault="001F2C56" w:rsidP="001F2C56">
      <w:pPr>
        <w:pStyle w:val="ListParagraph"/>
        <w:numPr>
          <w:ilvl w:val="0"/>
          <w:numId w:val="39"/>
        </w:numPr>
        <w:ind w:left="426" w:firstLine="0"/>
        <w:contextualSpacing/>
      </w:pPr>
      <w:r w:rsidRPr="00930541">
        <w:t>the presence in the body of organis</w:t>
      </w:r>
      <w:r w:rsidRPr="005F0301">
        <w:t>m</w:t>
      </w:r>
      <w:r w:rsidRPr="00930541">
        <w:t>s causing dis</w:t>
      </w:r>
      <w:r w:rsidRPr="005F0301">
        <w:t>e</w:t>
      </w:r>
      <w:r w:rsidRPr="00930541">
        <w:t>ase</w:t>
      </w:r>
      <w:r w:rsidRPr="005F0301">
        <w:t xml:space="preserve"> </w:t>
      </w:r>
      <w:r w:rsidRPr="00930541">
        <w:t>or illness, or</w:t>
      </w:r>
    </w:p>
    <w:p w14:paraId="4466E187" w14:textId="77777777" w:rsidR="001F2C56" w:rsidRPr="00930541" w:rsidRDefault="001F2C56" w:rsidP="001F2C56">
      <w:pPr>
        <w:pStyle w:val="ListParagraph"/>
        <w:numPr>
          <w:ilvl w:val="0"/>
          <w:numId w:val="39"/>
        </w:numPr>
        <w:ind w:left="426" w:firstLine="0"/>
        <w:contextualSpacing/>
      </w:pPr>
      <w:r w:rsidRPr="00930541">
        <w:t>the presence in the body of organisms capable of causing disease or illness, or</w:t>
      </w:r>
    </w:p>
    <w:p w14:paraId="39E6DA6D" w14:textId="77777777" w:rsidR="001F2C56" w:rsidRPr="00930541" w:rsidRDefault="001F2C56" w:rsidP="001F2C56">
      <w:pPr>
        <w:pStyle w:val="ListParagraph"/>
        <w:numPr>
          <w:ilvl w:val="0"/>
          <w:numId w:val="39"/>
        </w:numPr>
        <w:ind w:left="426" w:firstLine="0"/>
        <w:contextualSpacing/>
      </w:pPr>
      <w:r w:rsidRPr="00930541">
        <w:t>the malfunction, malformation or disf</w:t>
      </w:r>
      <w:r w:rsidRPr="005F0301">
        <w:t>i</w:t>
      </w:r>
      <w:r w:rsidRPr="00930541">
        <w:t>gure</w:t>
      </w:r>
      <w:r w:rsidRPr="005F0301">
        <w:t>m</w:t>
      </w:r>
      <w:r w:rsidRPr="00930541">
        <w:t>ent of a part of the person’s body, or</w:t>
      </w:r>
    </w:p>
    <w:p w14:paraId="68564E07" w14:textId="77777777" w:rsidR="001F2C56" w:rsidRPr="00930541" w:rsidRDefault="001F2C56" w:rsidP="001F2C56">
      <w:pPr>
        <w:pStyle w:val="ListParagraph"/>
        <w:numPr>
          <w:ilvl w:val="0"/>
          <w:numId w:val="39"/>
        </w:numPr>
        <w:ind w:left="851" w:hanging="425"/>
        <w:contextualSpacing/>
      </w:pPr>
      <w:r w:rsidRPr="00930541">
        <w:t>a disorder or malfunction that results in the person learning differently from a person without the disorder or malfunction, or</w:t>
      </w:r>
    </w:p>
    <w:p w14:paraId="51FC58DB" w14:textId="77777777" w:rsidR="001F2C56" w:rsidRPr="00930541" w:rsidRDefault="001F2C56" w:rsidP="001F2C56">
      <w:pPr>
        <w:pStyle w:val="ListParagraph"/>
        <w:numPr>
          <w:ilvl w:val="0"/>
          <w:numId w:val="39"/>
        </w:numPr>
        <w:ind w:left="851" w:hanging="425"/>
        <w:contextualSpacing/>
      </w:pPr>
      <w:r w:rsidRPr="00930541">
        <w:t>a disorder, illness or disease that affects a person’s thought processes, perception</w:t>
      </w:r>
      <w:r w:rsidRPr="005F0301">
        <w:t xml:space="preserve"> </w:t>
      </w:r>
      <w:r w:rsidRPr="00930541">
        <w:t>of</w:t>
      </w:r>
      <w:r w:rsidRPr="005F0301">
        <w:t xml:space="preserve"> </w:t>
      </w:r>
      <w:r w:rsidRPr="00930541">
        <w:t>reality,</w:t>
      </w:r>
      <w:r w:rsidRPr="005F0301">
        <w:t xml:space="preserve"> </w:t>
      </w:r>
      <w:r w:rsidRPr="00930541">
        <w:t>emotions or judgment, or that results in disturbed behaviour;</w:t>
      </w:r>
    </w:p>
    <w:p w14:paraId="58E99C21" w14:textId="77777777" w:rsidR="001F2C56" w:rsidRPr="00930541" w:rsidRDefault="001F2C56" w:rsidP="001F2C56">
      <w:pPr>
        <w:ind w:left="426"/>
        <w:contextualSpacing/>
      </w:pPr>
      <w:proofErr w:type="gramStart"/>
      <w:r>
        <w:t>a</w:t>
      </w:r>
      <w:r w:rsidRPr="00930541">
        <w:t>nd</w:t>
      </w:r>
      <w:proofErr w:type="gramEnd"/>
      <w:r w:rsidRPr="00930541">
        <w:t xml:space="preserve"> includes disability that:</w:t>
      </w:r>
    </w:p>
    <w:p w14:paraId="15177E46" w14:textId="77777777" w:rsidR="001F2C56" w:rsidRPr="00930541" w:rsidRDefault="001F2C56" w:rsidP="001F2C56">
      <w:pPr>
        <w:pStyle w:val="ListParagraph"/>
        <w:numPr>
          <w:ilvl w:val="0"/>
          <w:numId w:val="39"/>
        </w:numPr>
        <w:ind w:left="426" w:firstLine="0"/>
        <w:contextualSpacing/>
      </w:pPr>
      <w:r w:rsidRPr="00930541">
        <w:t>presently exists, or</w:t>
      </w:r>
    </w:p>
    <w:p w14:paraId="41540691" w14:textId="77777777" w:rsidR="001F2C56" w:rsidRPr="00930541" w:rsidRDefault="001F2C56" w:rsidP="001F2C56">
      <w:pPr>
        <w:pStyle w:val="ListParagraph"/>
        <w:numPr>
          <w:ilvl w:val="0"/>
          <w:numId w:val="39"/>
        </w:numPr>
        <w:ind w:left="851" w:hanging="425"/>
        <w:contextualSpacing/>
      </w:pPr>
      <w:r w:rsidRPr="00930541">
        <w:t>previously existed but no longer exists, or</w:t>
      </w:r>
    </w:p>
    <w:p w14:paraId="4F8CB8EC" w14:textId="77777777" w:rsidR="001F2C56" w:rsidRDefault="001F2C56" w:rsidP="001F2C56">
      <w:pPr>
        <w:pStyle w:val="ListParagraph"/>
        <w:numPr>
          <w:ilvl w:val="0"/>
          <w:numId w:val="39"/>
        </w:numPr>
        <w:ind w:left="851" w:hanging="425"/>
        <w:contextualSpacing/>
      </w:pPr>
      <w:r w:rsidRPr="00930541">
        <w:t>may exist in the future, or</w:t>
      </w:r>
    </w:p>
    <w:p w14:paraId="649F242D" w14:textId="77777777" w:rsidR="001F2C56" w:rsidRPr="00930541" w:rsidRDefault="001F2C56" w:rsidP="001F2C56">
      <w:pPr>
        <w:pStyle w:val="ListParagraph"/>
        <w:numPr>
          <w:ilvl w:val="0"/>
          <w:numId w:val="39"/>
        </w:numPr>
        <w:ind w:left="851" w:hanging="425"/>
        <w:contextualSpacing/>
      </w:pPr>
      <w:proofErr w:type="gramStart"/>
      <w:r w:rsidRPr="00930541">
        <w:t>is</w:t>
      </w:r>
      <w:proofErr w:type="gramEnd"/>
      <w:r w:rsidRPr="00930541">
        <w:t xml:space="preserve"> imputed to a person</w:t>
      </w:r>
      <w:r>
        <w:t>.</w:t>
      </w:r>
      <w:r>
        <w:rPr>
          <w:rStyle w:val="FootnoteReference"/>
          <w:rFonts w:cs="Arial"/>
          <w:color w:val="000000"/>
          <w:sz w:val="24"/>
        </w:rPr>
        <w:footnoteReference w:id="1"/>
      </w:r>
      <w:r w:rsidRPr="005F0301">
        <w:rPr>
          <w:vertAlign w:val="superscript"/>
        </w:rPr>
        <w:t xml:space="preserve">, </w:t>
      </w:r>
      <w:r>
        <w:rPr>
          <w:rStyle w:val="FootnoteReference"/>
          <w:rFonts w:cs="Arial"/>
          <w:color w:val="000000"/>
          <w:sz w:val="24"/>
        </w:rPr>
        <w:footnoteReference w:id="2"/>
      </w:r>
    </w:p>
    <w:p w14:paraId="19599E6B" w14:textId="12F62290" w:rsidR="00B02C22" w:rsidRPr="00162482" w:rsidRDefault="00B02C22" w:rsidP="001F2C56">
      <w:pPr>
        <w:ind w:left="426"/>
        <w:rPr>
          <w:lang w:val="en-US"/>
        </w:rPr>
      </w:pPr>
      <w:r w:rsidRPr="001F2C56">
        <w:rPr>
          <w:b/>
          <w:bCs/>
          <w:iCs/>
          <w:lang w:val="en-US"/>
        </w:rPr>
        <w:t>Functional placement</w:t>
      </w:r>
      <w:r w:rsidRPr="001F2C56">
        <w:rPr>
          <w:bCs/>
          <w:iCs/>
          <w:lang w:val="en-US"/>
        </w:rPr>
        <w:t xml:space="preserve"> in a Special School or Special Centre</w:t>
      </w:r>
      <w:r w:rsidRPr="001F2C56">
        <w:rPr>
          <w:lang w:val="en-US"/>
        </w:rPr>
        <w:t xml:space="preserve"> </w:t>
      </w:r>
      <w:r w:rsidRPr="00162482">
        <w:rPr>
          <w:lang w:val="en-US"/>
        </w:rPr>
        <w:t>is where a student with complex needs with an identified disability, and without</w:t>
      </w:r>
      <w:r w:rsidRPr="001F2C56">
        <w:rPr>
          <w:lang w:val="en-US"/>
        </w:rPr>
        <w:t xml:space="preserve"> </w:t>
      </w:r>
      <w:r w:rsidRPr="00162482">
        <w:rPr>
          <w:lang w:val="en-US"/>
        </w:rPr>
        <w:t>an intellectual disability, meets the eligibility criteria of these guidelines.</w:t>
      </w:r>
    </w:p>
    <w:p w14:paraId="1E1F3C20" w14:textId="77777777" w:rsidR="00B02C22" w:rsidRPr="00162482" w:rsidRDefault="00B02C22" w:rsidP="001F2C56">
      <w:pPr>
        <w:ind w:left="426"/>
        <w:rPr>
          <w:lang w:val="en-US"/>
        </w:rPr>
      </w:pPr>
      <w:r w:rsidRPr="001F2C56">
        <w:rPr>
          <w:bCs/>
          <w:iCs/>
          <w:lang w:val="en-US"/>
        </w:rPr>
        <w:t>Parent</w:t>
      </w:r>
      <w:r w:rsidRPr="001F2C56">
        <w:rPr>
          <w:lang w:val="en-US"/>
        </w:rPr>
        <w:t xml:space="preserve"> </w:t>
      </w:r>
      <w:r w:rsidRPr="00162482">
        <w:rPr>
          <w:lang w:val="en-US"/>
        </w:rPr>
        <w:t>signifies the child’s father, mother or any other person who has parental responsibility for the child, including a person who is regarded as a parent of the child under Aboriginal customary law or Aboriginal tradition.</w:t>
      </w:r>
    </w:p>
    <w:p w14:paraId="64767C13" w14:textId="77777777" w:rsidR="001F2C56" w:rsidRPr="008235F0" w:rsidRDefault="001F2C56" w:rsidP="001F2C56">
      <w:pPr>
        <w:ind w:left="426"/>
        <w:rPr>
          <w:b/>
          <w:bCs/>
          <w:lang w:val="en-US"/>
        </w:rPr>
      </w:pPr>
      <w:r w:rsidRPr="00F5326B">
        <w:rPr>
          <w:b/>
          <w:bCs/>
          <w:iCs/>
        </w:rPr>
        <w:t>Parent</w:t>
      </w:r>
      <w:r w:rsidRPr="00F5326B">
        <w:t xml:space="preserve"> </w:t>
      </w:r>
      <w:r>
        <w:t>refers to:</w:t>
      </w:r>
      <w:r w:rsidRPr="008235F0">
        <w:rPr>
          <w:b/>
          <w:bCs/>
          <w:lang w:val="en-US"/>
        </w:rPr>
        <w:t xml:space="preserve"> </w:t>
      </w:r>
    </w:p>
    <w:p w14:paraId="3082D0CD" w14:textId="77777777" w:rsidR="001F2C56" w:rsidRPr="005F0301" w:rsidRDefault="001F2C56" w:rsidP="001F2C56">
      <w:pPr>
        <w:pStyle w:val="ListParagraph"/>
        <w:numPr>
          <w:ilvl w:val="0"/>
          <w:numId w:val="41"/>
        </w:numPr>
        <w:spacing w:after="0"/>
        <w:ind w:left="851" w:hanging="425"/>
        <w:contextualSpacing/>
        <w:rPr>
          <w:color w:val="000000"/>
        </w:rPr>
      </w:pPr>
      <w:r w:rsidRPr="005F0301">
        <w:rPr>
          <w:color w:val="000000"/>
        </w:rPr>
        <w:t xml:space="preserve">the child’s father, mother or any other person who has parental responsibility for the child and also for an Aboriginal or Torres Strait Islander child includes a person who is regarded as a parent under Aboriginal or Torres Strait Islander customary law or Aboriginal or Torres Strait Islander tradition; </w:t>
      </w:r>
    </w:p>
    <w:p w14:paraId="25911188" w14:textId="77777777" w:rsidR="001F2C56" w:rsidRPr="005F0301" w:rsidRDefault="001F2C56" w:rsidP="001F2C56">
      <w:pPr>
        <w:pStyle w:val="ListParagraph"/>
        <w:numPr>
          <w:ilvl w:val="0"/>
          <w:numId w:val="41"/>
        </w:numPr>
        <w:spacing w:after="0"/>
        <w:ind w:left="851" w:hanging="425"/>
        <w:contextualSpacing/>
        <w:rPr>
          <w:color w:val="000000"/>
        </w:rPr>
      </w:pPr>
      <w:r w:rsidRPr="005F0301">
        <w:rPr>
          <w:color w:val="000000"/>
        </w:rPr>
        <w:t xml:space="preserve">a guardian/caregiver and is a person who has parental responsibility for a child or daily care and control of a child, is the person with whom a child currently resides, or is a person caring for the child at any given time. </w:t>
      </w:r>
    </w:p>
    <w:p w14:paraId="495A45B4" w14:textId="77777777" w:rsidR="001F2C56" w:rsidRPr="004D1D36" w:rsidRDefault="001F2C56" w:rsidP="001F2C56">
      <w:pPr>
        <w:pStyle w:val="ListParagraph"/>
        <w:spacing w:after="0"/>
        <w:ind w:left="426"/>
        <w:rPr>
          <w:b/>
          <w:bCs/>
          <w:lang w:val="en-US"/>
        </w:rPr>
      </w:pPr>
    </w:p>
    <w:p w14:paraId="2730E62E" w14:textId="77777777" w:rsidR="001F2C56" w:rsidRDefault="001F2C56" w:rsidP="001F2C56">
      <w:pPr>
        <w:ind w:left="426"/>
        <w:rPr>
          <w:lang w:val="en-US"/>
        </w:rPr>
      </w:pPr>
      <w:r w:rsidRPr="008235F0">
        <w:rPr>
          <w:lang w:val="en-US"/>
        </w:rPr>
        <w:t>According to the</w:t>
      </w:r>
      <w:r w:rsidRPr="008235F0">
        <w:rPr>
          <w:b/>
          <w:bCs/>
          <w:lang w:val="en-US"/>
        </w:rPr>
        <w:t xml:space="preserve"> </w:t>
      </w:r>
      <w:hyperlink r:id="rId12" w:anchor="page=15&amp;zoom=auto,88,289" w:history="1">
        <w:r w:rsidRPr="00313A22">
          <w:rPr>
            <w:rStyle w:val="Hyperlink"/>
            <w:rFonts w:cs="Arial"/>
            <w:bCs/>
            <w:i/>
            <w:lang w:val="en-US"/>
          </w:rPr>
          <w:t xml:space="preserve">Education Act 2015 </w:t>
        </w:r>
        <w:r w:rsidRPr="005F0301">
          <w:rPr>
            <w:rStyle w:val="Hyperlink"/>
            <w:rFonts w:cs="Arial"/>
            <w:bCs/>
            <w:lang w:val="en-US"/>
          </w:rPr>
          <w:t>(NT)</w:t>
        </w:r>
      </w:hyperlink>
      <w:r w:rsidRPr="00313A22">
        <w:rPr>
          <w:bCs/>
          <w:lang w:val="en-US"/>
        </w:rPr>
        <w:t xml:space="preserve"> s.7-8</w:t>
      </w:r>
      <w:r w:rsidRPr="008235F0">
        <w:rPr>
          <w:lang w:val="en-US"/>
        </w:rPr>
        <w:t xml:space="preserve"> </w:t>
      </w:r>
      <w:r>
        <w:rPr>
          <w:lang w:val="en-US"/>
        </w:rPr>
        <w:t xml:space="preserve">a </w:t>
      </w:r>
      <w:r w:rsidRPr="008235F0">
        <w:rPr>
          <w:lang w:val="en-US"/>
        </w:rPr>
        <w:t>person has parental responsibility for a child if the person has daily care and control of the child (i.e. is entitled to exercise all the powers, rights and responsibilities in relation to the day-to-day care and control of the child) or is entitled to exercise all the powers, rights and responsibilities in relation to the long-term care and development of the child, or both.</w:t>
      </w:r>
    </w:p>
    <w:p w14:paraId="10E4E839" w14:textId="77777777" w:rsidR="00B02C22" w:rsidRPr="00162482" w:rsidRDefault="00B02C22" w:rsidP="001F2C56">
      <w:pPr>
        <w:ind w:left="426"/>
        <w:rPr>
          <w:lang w:val="en-US"/>
        </w:rPr>
      </w:pPr>
      <w:r w:rsidRPr="001F2C56">
        <w:rPr>
          <w:b/>
          <w:bCs/>
          <w:iCs/>
          <w:lang w:val="en-US"/>
        </w:rPr>
        <w:t>Special Cen</w:t>
      </w:r>
      <w:r w:rsidRPr="001F2C56">
        <w:rPr>
          <w:b/>
          <w:lang w:val="en-US"/>
        </w:rPr>
        <w:t>tre</w:t>
      </w:r>
      <w:r w:rsidRPr="001F2C56">
        <w:rPr>
          <w:lang w:val="en-US"/>
        </w:rPr>
        <w:t xml:space="preserve"> refers to a special education setting attached to a mainstream school for students with an intellectual disability as approved by the Chief Executive. </w:t>
      </w:r>
    </w:p>
    <w:p w14:paraId="38AD92FF" w14:textId="77777777" w:rsidR="00B02C22" w:rsidRPr="001F2C56" w:rsidRDefault="00B02C22" w:rsidP="001F2C56">
      <w:pPr>
        <w:ind w:left="426"/>
        <w:rPr>
          <w:lang w:val="en-US"/>
        </w:rPr>
      </w:pPr>
      <w:r w:rsidRPr="001F2C56">
        <w:rPr>
          <w:b/>
          <w:lang w:val="en-US"/>
        </w:rPr>
        <w:lastRenderedPageBreak/>
        <w:t>Special School</w:t>
      </w:r>
      <w:r w:rsidRPr="001F2C56">
        <w:rPr>
          <w:lang w:val="en-US"/>
        </w:rPr>
        <w:t xml:space="preserve"> </w:t>
      </w:r>
      <w:r w:rsidRPr="00162482">
        <w:rPr>
          <w:lang w:val="en-US"/>
        </w:rPr>
        <w:t>refers to a</w:t>
      </w:r>
      <w:r w:rsidRPr="001F2C56">
        <w:rPr>
          <w:lang w:val="en-US"/>
        </w:rPr>
        <w:t xml:space="preserve"> </w:t>
      </w:r>
      <w:r w:rsidRPr="00162482">
        <w:rPr>
          <w:lang w:val="en-US"/>
        </w:rPr>
        <w:t xml:space="preserve">special education setting for students with an intellectual disability as approved by the Chief Executive. </w:t>
      </w:r>
    </w:p>
    <w:p w14:paraId="75ED14A1" w14:textId="77777777" w:rsidR="00B02C22" w:rsidRPr="00162482" w:rsidRDefault="00B02C22" w:rsidP="001F2C56">
      <w:pPr>
        <w:ind w:left="426"/>
        <w:rPr>
          <w:lang w:val="en-US"/>
        </w:rPr>
      </w:pPr>
      <w:r w:rsidRPr="001F2C56">
        <w:rPr>
          <w:b/>
          <w:bCs/>
          <w:iCs/>
          <w:lang w:val="en-US"/>
        </w:rPr>
        <w:t>Special School or Special Centre placement</w:t>
      </w:r>
      <w:r w:rsidRPr="001F2C56">
        <w:rPr>
          <w:lang w:val="en-US"/>
        </w:rPr>
        <w:t xml:space="preserve"> </w:t>
      </w:r>
      <w:r w:rsidRPr="00162482">
        <w:rPr>
          <w:lang w:val="en-US"/>
        </w:rPr>
        <w:t>is where a student has been identified as eligible and is enrolled in a Special School or Special Centre in line with these guidelines.</w:t>
      </w:r>
    </w:p>
    <w:p w14:paraId="233D5615" w14:textId="7B00A29F" w:rsidR="00B02C22" w:rsidRPr="001F2C56" w:rsidRDefault="00B02C22" w:rsidP="001F2C56">
      <w:pPr>
        <w:ind w:left="426"/>
        <w:rPr>
          <w:lang w:val="en-US"/>
        </w:rPr>
      </w:pPr>
      <w:r w:rsidRPr="001F2C56">
        <w:rPr>
          <w:b/>
          <w:bCs/>
          <w:iCs/>
          <w:lang w:val="en-US"/>
        </w:rPr>
        <w:t>Transition planning</w:t>
      </w:r>
      <w:r w:rsidRPr="00162482">
        <w:rPr>
          <w:lang w:val="en-US"/>
        </w:rPr>
        <w:t xml:space="preserve"> is the process of </w:t>
      </w:r>
      <w:r w:rsidRPr="001F2C56">
        <w:rPr>
          <w:lang w:val="en-US"/>
        </w:rPr>
        <w:t>developing short and long-term goals and strategies to prepare students to transition through their schooling and into their chosen post-school pathway.</w:t>
      </w:r>
    </w:p>
    <w:p w14:paraId="031C2532" w14:textId="77777777" w:rsidR="00B02C22" w:rsidRPr="001F2C56" w:rsidRDefault="00B02C22" w:rsidP="001F2C56">
      <w:pPr>
        <w:ind w:left="426"/>
        <w:rPr>
          <w:lang w:val="en-US"/>
        </w:rPr>
      </w:pPr>
      <w:r w:rsidRPr="001F2C56">
        <w:rPr>
          <w:b/>
          <w:bCs/>
          <w:iCs/>
          <w:lang w:val="en-US"/>
        </w:rPr>
        <w:t>Verification</w:t>
      </w:r>
      <w:r w:rsidRPr="001F2C56">
        <w:rPr>
          <w:lang w:val="en-US"/>
        </w:rPr>
        <w:t xml:space="preserve"> is the process undertaken by Student Wellbeing and Inclusion in consultation with school psychologists to ensure that each student enrolled in a Special School or Special Centre has met the eligibility criteria required for the enrolment. </w:t>
      </w:r>
    </w:p>
    <w:p w14:paraId="69CBA02A" w14:textId="1A394DEB" w:rsidR="0056377B" w:rsidRPr="001F2C56" w:rsidRDefault="001F2C56" w:rsidP="001F2C56">
      <w:pPr>
        <w:pStyle w:val="Heading1"/>
        <w:numPr>
          <w:ilvl w:val="0"/>
          <w:numId w:val="9"/>
        </w:numPr>
        <w:spacing w:before="360"/>
        <w:ind w:left="425" w:hanging="425"/>
        <w:rPr>
          <w:noProof/>
          <w:lang w:eastAsia="en-AU"/>
        </w:rPr>
      </w:pPr>
      <w:r>
        <w:rPr>
          <w:noProof/>
          <w:lang w:eastAsia="en-AU"/>
        </w:rPr>
        <w:t>R</w:t>
      </w:r>
      <w:r w:rsidRPr="001F2C56">
        <w:rPr>
          <w:noProof/>
          <w:lang w:eastAsia="en-AU"/>
        </w:rPr>
        <w:t>oles and responsibilities</w:t>
      </w:r>
    </w:p>
    <w:p w14:paraId="43CC6385" w14:textId="1D84D2A8" w:rsidR="0056377B" w:rsidRPr="00162482" w:rsidRDefault="0056377B" w:rsidP="001F2C56">
      <w:pPr>
        <w:ind w:left="426"/>
        <w:rPr>
          <w:lang w:val="en-US"/>
        </w:rPr>
      </w:pPr>
      <w:r w:rsidRPr="001F2C56">
        <w:rPr>
          <w:b/>
          <w:bCs/>
          <w:iCs/>
          <w:lang w:val="en-US"/>
        </w:rPr>
        <w:t>General Manager Student Wellbeing and Inclusion</w:t>
      </w:r>
      <w:r>
        <w:rPr>
          <w:lang w:val="en-US"/>
        </w:rPr>
        <w:t xml:space="preserve"> </w:t>
      </w:r>
      <w:r w:rsidR="001F2C56">
        <w:rPr>
          <w:lang w:val="en-US"/>
        </w:rPr>
        <w:t>is responsible for</w:t>
      </w:r>
      <w:r w:rsidRPr="00162482">
        <w:rPr>
          <w:lang w:val="en-US"/>
        </w:rPr>
        <w:t>:</w:t>
      </w:r>
    </w:p>
    <w:p w14:paraId="1312C441" w14:textId="7E553252" w:rsidR="0056377B" w:rsidRPr="001F2C56" w:rsidRDefault="0056377B" w:rsidP="001F2C56">
      <w:pPr>
        <w:pStyle w:val="ListParagraph"/>
        <w:numPr>
          <w:ilvl w:val="0"/>
          <w:numId w:val="41"/>
        </w:numPr>
        <w:spacing w:after="0"/>
        <w:ind w:left="851" w:hanging="425"/>
        <w:contextualSpacing/>
        <w:rPr>
          <w:color w:val="000000"/>
        </w:rPr>
      </w:pPr>
      <w:r w:rsidRPr="001F2C56">
        <w:rPr>
          <w:color w:val="000000"/>
        </w:rPr>
        <w:t>monitor</w:t>
      </w:r>
      <w:r w:rsidR="001F2C56">
        <w:rPr>
          <w:color w:val="000000"/>
        </w:rPr>
        <w:t>ing</w:t>
      </w:r>
      <w:r w:rsidRPr="001F2C56">
        <w:rPr>
          <w:color w:val="000000"/>
        </w:rPr>
        <w:t xml:space="preserve"> the implementation and application of the Enrolment in Speci</w:t>
      </w:r>
      <w:r w:rsidR="001F2C56">
        <w:rPr>
          <w:color w:val="000000"/>
        </w:rPr>
        <w:t>al Schools and Special Centres G</w:t>
      </w:r>
      <w:r w:rsidRPr="001F2C56">
        <w:rPr>
          <w:color w:val="000000"/>
        </w:rPr>
        <w:t>uidelines</w:t>
      </w:r>
    </w:p>
    <w:p w14:paraId="51FFAA68" w14:textId="5A29644E" w:rsidR="0056377B" w:rsidRPr="001F2C56" w:rsidRDefault="0056377B" w:rsidP="001F2C56">
      <w:pPr>
        <w:pStyle w:val="ListParagraph"/>
        <w:numPr>
          <w:ilvl w:val="0"/>
          <w:numId w:val="41"/>
        </w:numPr>
        <w:spacing w:after="0"/>
        <w:ind w:left="851" w:hanging="425"/>
        <w:contextualSpacing/>
        <w:rPr>
          <w:color w:val="000000"/>
        </w:rPr>
      </w:pPr>
      <w:r w:rsidRPr="001F2C56">
        <w:rPr>
          <w:color w:val="000000"/>
        </w:rPr>
        <w:t>conven</w:t>
      </w:r>
      <w:r w:rsidR="001F2C56">
        <w:rPr>
          <w:color w:val="000000"/>
        </w:rPr>
        <w:t>ing and making</w:t>
      </w:r>
      <w:r w:rsidRPr="001F2C56">
        <w:rPr>
          <w:color w:val="000000"/>
        </w:rPr>
        <w:t xml:space="preserve"> determinations in case conferences to determine the outcome of an appeal</w:t>
      </w:r>
    </w:p>
    <w:p w14:paraId="58394BD8" w14:textId="1D8C53FA" w:rsidR="0056377B" w:rsidRPr="001F2C56" w:rsidRDefault="001F2C56" w:rsidP="001F2C56">
      <w:pPr>
        <w:pStyle w:val="ListParagraph"/>
        <w:numPr>
          <w:ilvl w:val="0"/>
          <w:numId w:val="41"/>
        </w:numPr>
        <w:spacing w:after="0"/>
        <w:ind w:left="851" w:hanging="425"/>
        <w:contextualSpacing/>
        <w:rPr>
          <w:color w:val="000000"/>
        </w:rPr>
      </w:pPr>
      <w:r>
        <w:rPr>
          <w:color w:val="000000"/>
        </w:rPr>
        <w:t>providing</w:t>
      </w:r>
      <w:r w:rsidR="0056377B" w:rsidRPr="001F2C56">
        <w:rPr>
          <w:color w:val="000000"/>
        </w:rPr>
        <w:t xml:space="preserve"> timely advice to department stakeholders on changes in policy and legislation that affects the enrolment of students with disabilities in Special Schools and Special Centres </w:t>
      </w:r>
    </w:p>
    <w:p w14:paraId="291F852C" w14:textId="588DE807" w:rsidR="0056377B" w:rsidRPr="001F2C56" w:rsidRDefault="001F2C56" w:rsidP="001F2C56">
      <w:pPr>
        <w:pStyle w:val="ListParagraph"/>
        <w:numPr>
          <w:ilvl w:val="0"/>
          <w:numId w:val="41"/>
        </w:numPr>
        <w:spacing w:after="0"/>
        <w:ind w:left="851" w:hanging="425"/>
        <w:contextualSpacing/>
        <w:rPr>
          <w:color w:val="000000"/>
        </w:rPr>
      </w:pPr>
      <w:r>
        <w:rPr>
          <w:color w:val="000000"/>
        </w:rPr>
        <w:t>engaging</w:t>
      </w:r>
      <w:r w:rsidR="0056377B" w:rsidRPr="001F2C56">
        <w:rPr>
          <w:color w:val="000000"/>
        </w:rPr>
        <w:t xml:space="preserve"> in case conferences to assist in determining the outcome of an appeal</w:t>
      </w:r>
    </w:p>
    <w:p w14:paraId="3944AB72" w14:textId="55D97DEE" w:rsidR="0056377B" w:rsidRPr="001F2C56" w:rsidRDefault="0056377B" w:rsidP="001F2C56">
      <w:pPr>
        <w:pStyle w:val="ListParagraph"/>
        <w:numPr>
          <w:ilvl w:val="0"/>
          <w:numId w:val="41"/>
        </w:numPr>
        <w:spacing w:after="0"/>
        <w:ind w:left="851" w:hanging="425"/>
        <w:contextualSpacing/>
        <w:rPr>
          <w:color w:val="000000"/>
        </w:rPr>
      </w:pPr>
      <w:proofErr w:type="gramStart"/>
      <w:r w:rsidRPr="001F2C56">
        <w:rPr>
          <w:color w:val="000000"/>
        </w:rPr>
        <w:t>verify</w:t>
      </w:r>
      <w:r w:rsidR="001F2C56">
        <w:rPr>
          <w:color w:val="000000"/>
        </w:rPr>
        <w:t>ing</w:t>
      </w:r>
      <w:proofErr w:type="gramEnd"/>
      <w:r w:rsidRPr="001F2C56">
        <w:rPr>
          <w:color w:val="000000"/>
        </w:rPr>
        <w:t xml:space="preserve"> the student’s educational needs upon recommendations from the Senior School Psychologist and sign verification notices to support decisions.</w:t>
      </w:r>
    </w:p>
    <w:p w14:paraId="1A7212AD" w14:textId="77777777" w:rsidR="0056377B" w:rsidRPr="0056377B" w:rsidRDefault="0056377B" w:rsidP="0056377B">
      <w:pPr>
        <w:spacing w:after="0"/>
        <w:rPr>
          <w:rFonts w:eastAsia="Arial"/>
          <w:lang w:val="en-US"/>
        </w:rPr>
      </w:pPr>
    </w:p>
    <w:p w14:paraId="25433DA8" w14:textId="38626C7F" w:rsidR="0056377B" w:rsidRPr="00782FD0" w:rsidRDefault="0056377B" w:rsidP="00782FD0">
      <w:pPr>
        <w:ind w:left="426"/>
        <w:rPr>
          <w:lang w:val="en-US"/>
        </w:rPr>
      </w:pPr>
      <w:r w:rsidRPr="00782FD0">
        <w:rPr>
          <w:b/>
          <w:bCs/>
          <w:iCs/>
          <w:lang w:val="en-US"/>
        </w:rPr>
        <w:t>Principal</w:t>
      </w:r>
      <w:r w:rsidR="00782FD0">
        <w:rPr>
          <w:b/>
          <w:bCs/>
          <w:iCs/>
          <w:lang w:val="en-US"/>
        </w:rPr>
        <w:t xml:space="preserve"> </w:t>
      </w:r>
      <w:r w:rsidR="00782FD0" w:rsidRPr="00782FD0">
        <w:rPr>
          <w:bCs/>
          <w:iCs/>
          <w:lang w:val="en-US"/>
        </w:rPr>
        <w:t>is responsible for</w:t>
      </w:r>
      <w:r w:rsidRPr="00782FD0">
        <w:rPr>
          <w:lang w:val="en-US"/>
        </w:rPr>
        <w:t>:</w:t>
      </w:r>
    </w:p>
    <w:p w14:paraId="1FA12276" w14:textId="613D18AD" w:rsidR="0056377B" w:rsidRPr="001F2C56" w:rsidRDefault="00782FD0" w:rsidP="001F2C56">
      <w:pPr>
        <w:pStyle w:val="ListParagraph"/>
        <w:numPr>
          <w:ilvl w:val="0"/>
          <w:numId w:val="41"/>
        </w:numPr>
        <w:spacing w:after="0"/>
        <w:ind w:left="851" w:hanging="425"/>
        <w:contextualSpacing/>
        <w:rPr>
          <w:color w:val="000000"/>
        </w:rPr>
      </w:pPr>
      <w:r>
        <w:rPr>
          <w:color w:val="000000"/>
        </w:rPr>
        <w:t>ensuring</w:t>
      </w:r>
      <w:r w:rsidR="0056377B" w:rsidRPr="001F2C56">
        <w:rPr>
          <w:color w:val="000000"/>
        </w:rPr>
        <w:t xml:space="preserve"> compliance with the Enrolment in Special Schools and Special Centres Guidelines</w:t>
      </w:r>
    </w:p>
    <w:p w14:paraId="03B3C6D6" w14:textId="7A9CE9AD" w:rsidR="0056377B" w:rsidRPr="001F2C56" w:rsidRDefault="0056377B" w:rsidP="001F2C56">
      <w:pPr>
        <w:pStyle w:val="ListParagraph"/>
        <w:numPr>
          <w:ilvl w:val="0"/>
          <w:numId w:val="41"/>
        </w:numPr>
        <w:spacing w:after="0"/>
        <w:ind w:left="851" w:hanging="425"/>
        <w:contextualSpacing/>
        <w:rPr>
          <w:color w:val="000000"/>
        </w:rPr>
      </w:pPr>
      <w:r w:rsidRPr="001F2C56">
        <w:rPr>
          <w:color w:val="000000"/>
        </w:rPr>
        <w:t>explain</w:t>
      </w:r>
      <w:r w:rsidR="00782FD0">
        <w:rPr>
          <w:color w:val="000000"/>
        </w:rPr>
        <w:t>ing</w:t>
      </w:r>
      <w:r w:rsidRPr="001F2C56">
        <w:rPr>
          <w:color w:val="000000"/>
        </w:rPr>
        <w:t xml:space="preserve"> the enrolment process to parents and ensure they are kept informed </w:t>
      </w:r>
    </w:p>
    <w:p w14:paraId="22DFBB89" w14:textId="72710E59" w:rsidR="0056377B" w:rsidRPr="001F2C56" w:rsidRDefault="0056377B" w:rsidP="001F2C56">
      <w:pPr>
        <w:pStyle w:val="ListParagraph"/>
        <w:numPr>
          <w:ilvl w:val="0"/>
          <w:numId w:val="41"/>
        </w:numPr>
        <w:spacing w:after="0"/>
        <w:ind w:left="851" w:hanging="425"/>
        <w:contextualSpacing/>
        <w:rPr>
          <w:color w:val="000000"/>
        </w:rPr>
      </w:pPr>
      <w:r w:rsidRPr="001F2C56">
        <w:rPr>
          <w:color w:val="000000"/>
        </w:rPr>
        <w:t>collect</w:t>
      </w:r>
      <w:r w:rsidR="00782FD0">
        <w:rPr>
          <w:color w:val="000000"/>
        </w:rPr>
        <w:t>ing</w:t>
      </w:r>
      <w:r w:rsidRPr="001F2C56">
        <w:rPr>
          <w:color w:val="000000"/>
        </w:rPr>
        <w:t xml:space="preserve"> relevant documentation and provid</w:t>
      </w:r>
      <w:r w:rsidR="00782FD0">
        <w:rPr>
          <w:color w:val="000000"/>
        </w:rPr>
        <w:t>ing</w:t>
      </w:r>
      <w:r w:rsidRPr="001F2C56">
        <w:rPr>
          <w:color w:val="000000"/>
        </w:rPr>
        <w:t xml:space="preserve"> information to Student Wellbeing and Inclusion </w:t>
      </w:r>
      <w:r w:rsidR="00782FD0">
        <w:rPr>
          <w:color w:val="000000"/>
        </w:rPr>
        <w:t xml:space="preserve">team </w:t>
      </w:r>
      <w:r w:rsidRPr="001F2C56">
        <w:rPr>
          <w:color w:val="000000"/>
        </w:rPr>
        <w:t>to enable verification of eligibility</w:t>
      </w:r>
    </w:p>
    <w:p w14:paraId="7C2A4EA8" w14:textId="55081080" w:rsidR="0056377B" w:rsidRPr="001F2C56" w:rsidRDefault="0056377B" w:rsidP="001F2C56">
      <w:pPr>
        <w:pStyle w:val="ListParagraph"/>
        <w:numPr>
          <w:ilvl w:val="0"/>
          <w:numId w:val="41"/>
        </w:numPr>
        <w:spacing w:after="0"/>
        <w:ind w:left="851" w:hanging="425"/>
        <w:contextualSpacing/>
        <w:rPr>
          <w:color w:val="000000"/>
        </w:rPr>
      </w:pPr>
      <w:r w:rsidRPr="001F2C56">
        <w:rPr>
          <w:color w:val="000000"/>
        </w:rPr>
        <w:t>enrol</w:t>
      </w:r>
      <w:r w:rsidR="00782FD0">
        <w:rPr>
          <w:color w:val="000000"/>
        </w:rPr>
        <w:t>ling</w:t>
      </w:r>
      <w:r w:rsidRPr="001F2C56">
        <w:rPr>
          <w:color w:val="000000"/>
        </w:rPr>
        <w:t xml:space="preserve"> students that meet the eligibility criteria and have an approved verification notice in accordance with the </w:t>
      </w:r>
      <w:hyperlink r:id="rId13" w:history="1">
        <w:r w:rsidRPr="001F2C56">
          <w:rPr>
            <w:color w:val="000000"/>
          </w:rPr>
          <w:t xml:space="preserve">Enrolment Policy and </w:t>
        </w:r>
      </w:hyperlink>
      <w:r w:rsidR="00782FD0">
        <w:rPr>
          <w:color w:val="000000"/>
        </w:rPr>
        <w:t>G</w:t>
      </w:r>
      <w:r w:rsidRPr="001F2C56">
        <w:rPr>
          <w:color w:val="000000"/>
        </w:rPr>
        <w:t>uidelines</w:t>
      </w:r>
    </w:p>
    <w:p w14:paraId="7E1885B4" w14:textId="55AC6E2A" w:rsidR="0056377B" w:rsidRPr="001F2C56" w:rsidRDefault="00782FD0" w:rsidP="001F2C56">
      <w:pPr>
        <w:pStyle w:val="ListParagraph"/>
        <w:numPr>
          <w:ilvl w:val="0"/>
          <w:numId w:val="41"/>
        </w:numPr>
        <w:spacing w:after="0"/>
        <w:ind w:left="851" w:hanging="425"/>
        <w:contextualSpacing/>
        <w:rPr>
          <w:color w:val="000000"/>
        </w:rPr>
      </w:pPr>
      <w:r>
        <w:rPr>
          <w:color w:val="000000"/>
        </w:rPr>
        <w:t>engaging</w:t>
      </w:r>
      <w:r w:rsidR="0056377B" w:rsidRPr="001F2C56">
        <w:rPr>
          <w:color w:val="000000"/>
        </w:rPr>
        <w:t xml:space="preserve"> in case conferences to assist in determining the outcome of an appeal</w:t>
      </w:r>
    </w:p>
    <w:p w14:paraId="0DCE4234" w14:textId="68CE75B7" w:rsidR="0056377B" w:rsidRPr="001F2C56" w:rsidRDefault="0056377B" w:rsidP="001F2C56">
      <w:pPr>
        <w:pStyle w:val="ListParagraph"/>
        <w:numPr>
          <w:ilvl w:val="0"/>
          <w:numId w:val="41"/>
        </w:numPr>
        <w:spacing w:after="0"/>
        <w:ind w:left="851" w:hanging="425"/>
        <w:contextualSpacing/>
        <w:rPr>
          <w:color w:val="000000"/>
        </w:rPr>
      </w:pPr>
      <w:r w:rsidRPr="001F2C56">
        <w:rPr>
          <w:color w:val="000000"/>
        </w:rPr>
        <w:t>ensur</w:t>
      </w:r>
      <w:r w:rsidR="00782FD0">
        <w:rPr>
          <w:color w:val="000000"/>
        </w:rPr>
        <w:t>ing</w:t>
      </w:r>
      <w:r w:rsidRPr="001F2C56">
        <w:rPr>
          <w:color w:val="000000"/>
        </w:rPr>
        <w:t xml:space="preserve"> student diagnostic assessments are current at transitioning points </w:t>
      </w:r>
    </w:p>
    <w:p w14:paraId="3CCE8973" w14:textId="5483F79C" w:rsidR="0056377B" w:rsidRPr="001F2C56" w:rsidRDefault="0056377B" w:rsidP="001F2C56">
      <w:pPr>
        <w:pStyle w:val="ListParagraph"/>
        <w:numPr>
          <w:ilvl w:val="0"/>
          <w:numId w:val="41"/>
        </w:numPr>
        <w:spacing w:after="0"/>
        <w:ind w:left="851" w:hanging="425"/>
        <w:contextualSpacing/>
        <w:rPr>
          <w:color w:val="000000"/>
        </w:rPr>
      </w:pPr>
      <w:proofErr w:type="gramStart"/>
      <w:r w:rsidRPr="001F2C56">
        <w:rPr>
          <w:color w:val="000000"/>
        </w:rPr>
        <w:t>maintain</w:t>
      </w:r>
      <w:r w:rsidR="00782FD0">
        <w:rPr>
          <w:color w:val="000000"/>
        </w:rPr>
        <w:t>ing</w:t>
      </w:r>
      <w:proofErr w:type="gramEnd"/>
      <w:r w:rsidRPr="001F2C56">
        <w:rPr>
          <w:color w:val="000000"/>
        </w:rPr>
        <w:t xml:space="preserve"> a schedule of review for all students.</w:t>
      </w:r>
    </w:p>
    <w:p w14:paraId="5A7BE255" w14:textId="77777777" w:rsidR="0056377B" w:rsidRDefault="0056377B" w:rsidP="0056377B">
      <w:pPr>
        <w:spacing w:after="0"/>
        <w:rPr>
          <w:lang w:val="en-US"/>
        </w:rPr>
      </w:pPr>
    </w:p>
    <w:p w14:paraId="5DA6C3C0" w14:textId="58BF674E" w:rsidR="0056377B" w:rsidRPr="00782FD0" w:rsidRDefault="0056377B" w:rsidP="00782FD0">
      <w:pPr>
        <w:ind w:left="426"/>
        <w:rPr>
          <w:bCs/>
          <w:iCs/>
          <w:lang w:val="en-US"/>
        </w:rPr>
      </w:pPr>
      <w:r w:rsidRPr="00782FD0">
        <w:rPr>
          <w:b/>
          <w:lang w:val="en-US"/>
        </w:rPr>
        <w:t>Senior Manager Inclusive Practice</w:t>
      </w:r>
      <w:r w:rsidRPr="00782FD0">
        <w:rPr>
          <w:bCs/>
          <w:iCs/>
          <w:lang w:val="en-US"/>
        </w:rPr>
        <w:t xml:space="preserve"> </w:t>
      </w:r>
      <w:r w:rsidR="00782FD0">
        <w:rPr>
          <w:bCs/>
          <w:iCs/>
          <w:lang w:val="en-US"/>
        </w:rPr>
        <w:t>is responsible for</w:t>
      </w:r>
      <w:r w:rsidRPr="00782FD0">
        <w:rPr>
          <w:bCs/>
          <w:iCs/>
          <w:lang w:val="en-US"/>
        </w:rPr>
        <w:t>:</w:t>
      </w:r>
    </w:p>
    <w:p w14:paraId="61B073AA" w14:textId="2AF62117" w:rsidR="0056377B" w:rsidRPr="00782FD0" w:rsidRDefault="00782FD0" w:rsidP="00782FD0">
      <w:pPr>
        <w:pStyle w:val="ListParagraph"/>
        <w:numPr>
          <w:ilvl w:val="0"/>
          <w:numId w:val="41"/>
        </w:numPr>
        <w:spacing w:after="0"/>
        <w:ind w:left="851" w:hanging="425"/>
        <w:contextualSpacing/>
        <w:rPr>
          <w:color w:val="000000"/>
        </w:rPr>
      </w:pPr>
      <w:r>
        <w:rPr>
          <w:color w:val="000000"/>
        </w:rPr>
        <w:t>liaising</w:t>
      </w:r>
      <w:r w:rsidR="0056377B" w:rsidRPr="00782FD0">
        <w:rPr>
          <w:color w:val="000000"/>
        </w:rPr>
        <w:t xml:space="preserve"> with</w:t>
      </w:r>
      <w:r>
        <w:rPr>
          <w:color w:val="000000"/>
        </w:rPr>
        <w:t xml:space="preserve"> school psychologists and ensuring</w:t>
      </w:r>
      <w:r w:rsidR="0056377B" w:rsidRPr="00782FD0">
        <w:rPr>
          <w:color w:val="000000"/>
        </w:rPr>
        <w:t xml:space="preserve"> specialist assessments are carried out in a timely manner </w:t>
      </w:r>
    </w:p>
    <w:p w14:paraId="49523592" w14:textId="49291AC1" w:rsidR="0056377B" w:rsidRPr="00782FD0" w:rsidRDefault="0056377B" w:rsidP="00782FD0">
      <w:pPr>
        <w:pStyle w:val="ListParagraph"/>
        <w:numPr>
          <w:ilvl w:val="0"/>
          <w:numId w:val="41"/>
        </w:numPr>
        <w:spacing w:after="0"/>
        <w:ind w:left="851" w:hanging="425"/>
        <w:contextualSpacing/>
        <w:rPr>
          <w:color w:val="000000"/>
        </w:rPr>
      </w:pPr>
      <w:r w:rsidRPr="00782FD0">
        <w:rPr>
          <w:color w:val="000000"/>
        </w:rPr>
        <w:t>participat</w:t>
      </w:r>
      <w:r w:rsidR="00782FD0">
        <w:rPr>
          <w:color w:val="000000"/>
        </w:rPr>
        <w:t>ing</w:t>
      </w:r>
      <w:r w:rsidRPr="00782FD0">
        <w:rPr>
          <w:color w:val="000000"/>
        </w:rPr>
        <w:t xml:space="preserve"> in the case consultation process for determining an appeal </w:t>
      </w:r>
    </w:p>
    <w:p w14:paraId="71DE02B2" w14:textId="46A0C956" w:rsidR="0056377B" w:rsidRPr="00782FD0" w:rsidRDefault="00782FD0" w:rsidP="00782FD0">
      <w:pPr>
        <w:pStyle w:val="ListParagraph"/>
        <w:numPr>
          <w:ilvl w:val="0"/>
          <w:numId w:val="41"/>
        </w:numPr>
        <w:spacing w:after="0"/>
        <w:ind w:left="851" w:hanging="425"/>
        <w:contextualSpacing/>
        <w:rPr>
          <w:color w:val="000000"/>
        </w:rPr>
      </w:pPr>
      <w:r>
        <w:rPr>
          <w:color w:val="000000"/>
        </w:rPr>
        <w:t xml:space="preserve">supporting schools to ensure </w:t>
      </w:r>
      <w:r w:rsidR="0056377B" w:rsidRPr="00782FD0">
        <w:rPr>
          <w:color w:val="000000"/>
        </w:rPr>
        <w:t xml:space="preserve">student diagnostic assessments </w:t>
      </w:r>
      <w:r>
        <w:rPr>
          <w:color w:val="000000"/>
        </w:rPr>
        <w:t>are</w:t>
      </w:r>
      <w:r w:rsidR="0056377B" w:rsidRPr="00782FD0">
        <w:rPr>
          <w:color w:val="000000"/>
        </w:rPr>
        <w:t xml:space="preserve"> current at key transition points</w:t>
      </w:r>
    </w:p>
    <w:p w14:paraId="6D1A4CA4" w14:textId="0AE59C8B" w:rsidR="0056377B" w:rsidRPr="00782FD0" w:rsidRDefault="0056377B" w:rsidP="00782FD0">
      <w:pPr>
        <w:pStyle w:val="ListParagraph"/>
        <w:numPr>
          <w:ilvl w:val="0"/>
          <w:numId w:val="41"/>
        </w:numPr>
        <w:spacing w:after="0"/>
        <w:ind w:left="851" w:hanging="425"/>
        <w:contextualSpacing/>
        <w:rPr>
          <w:color w:val="000000"/>
        </w:rPr>
      </w:pPr>
      <w:r w:rsidRPr="00782FD0">
        <w:rPr>
          <w:color w:val="000000"/>
        </w:rPr>
        <w:t>conduct</w:t>
      </w:r>
      <w:r w:rsidR="00782FD0">
        <w:rPr>
          <w:color w:val="000000"/>
        </w:rPr>
        <w:t>ing</w:t>
      </w:r>
      <w:r w:rsidRPr="00782FD0">
        <w:rPr>
          <w:color w:val="000000"/>
        </w:rPr>
        <w:t xml:space="preserve"> reviews in consultation with principals and school psychologists</w:t>
      </w:r>
    </w:p>
    <w:p w14:paraId="24FB11A9" w14:textId="0DD6D627" w:rsidR="0056377B" w:rsidRPr="00782FD0" w:rsidRDefault="00782FD0" w:rsidP="00782FD0">
      <w:pPr>
        <w:pStyle w:val="ListParagraph"/>
        <w:numPr>
          <w:ilvl w:val="0"/>
          <w:numId w:val="41"/>
        </w:numPr>
        <w:spacing w:after="0"/>
        <w:ind w:left="851" w:hanging="425"/>
        <w:contextualSpacing/>
        <w:rPr>
          <w:color w:val="000000"/>
        </w:rPr>
      </w:pPr>
      <w:proofErr w:type="gramStart"/>
      <w:r w:rsidRPr="00782FD0">
        <w:rPr>
          <w:color w:val="000000"/>
        </w:rPr>
        <w:t>ensuri</w:t>
      </w:r>
      <w:r>
        <w:rPr>
          <w:color w:val="000000"/>
        </w:rPr>
        <w:t>ng</w:t>
      </w:r>
      <w:proofErr w:type="gramEnd"/>
      <w:r>
        <w:rPr>
          <w:color w:val="000000"/>
        </w:rPr>
        <w:t xml:space="preserve"> relevant</w:t>
      </w:r>
      <w:r w:rsidR="0056377B" w:rsidRPr="00782FD0">
        <w:rPr>
          <w:color w:val="000000"/>
        </w:rPr>
        <w:t xml:space="preserve"> documentation is recorded in TRM and student details are entered into the Support Services Information Database (SSID).</w:t>
      </w:r>
    </w:p>
    <w:p w14:paraId="4EE15164" w14:textId="77777777" w:rsidR="0056377B" w:rsidRPr="0056377B" w:rsidRDefault="0056377B" w:rsidP="0056377B">
      <w:pPr>
        <w:pStyle w:val="ListParagraph"/>
        <w:spacing w:after="0"/>
        <w:ind w:left="426"/>
        <w:rPr>
          <w:rFonts w:eastAsia="Arial"/>
          <w:lang w:val="en-US"/>
        </w:rPr>
      </w:pPr>
    </w:p>
    <w:p w14:paraId="34FC50BB" w14:textId="744EB0E0" w:rsidR="0056377B" w:rsidRPr="008210FF" w:rsidRDefault="0056377B" w:rsidP="00782FD0">
      <w:pPr>
        <w:ind w:left="426"/>
        <w:rPr>
          <w:lang w:val="en-US"/>
        </w:rPr>
      </w:pPr>
      <w:r w:rsidRPr="00782FD0">
        <w:rPr>
          <w:b/>
          <w:bCs/>
          <w:iCs/>
          <w:lang w:val="en-US"/>
        </w:rPr>
        <w:t>Senior School Psychologist</w:t>
      </w:r>
      <w:r w:rsidRPr="008210FF">
        <w:rPr>
          <w:lang w:val="en-US"/>
        </w:rPr>
        <w:t xml:space="preserve"> </w:t>
      </w:r>
      <w:r w:rsidR="00782FD0">
        <w:rPr>
          <w:lang w:val="en-US"/>
        </w:rPr>
        <w:t>is responsible for</w:t>
      </w:r>
      <w:r w:rsidRPr="008210FF">
        <w:rPr>
          <w:lang w:val="en-US"/>
        </w:rPr>
        <w:t>:</w:t>
      </w:r>
    </w:p>
    <w:p w14:paraId="4EB1E2E2" w14:textId="50E2E8B3" w:rsidR="0056377B" w:rsidRPr="0056377B" w:rsidRDefault="0056377B" w:rsidP="00782FD0">
      <w:pPr>
        <w:pStyle w:val="ListParagraph"/>
        <w:numPr>
          <w:ilvl w:val="0"/>
          <w:numId w:val="41"/>
        </w:numPr>
        <w:spacing w:after="0"/>
        <w:ind w:left="851" w:hanging="425"/>
        <w:contextualSpacing/>
        <w:rPr>
          <w:rFonts w:eastAsia="Arial"/>
          <w:lang w:val="en-US"/>
        </w:rPr>
      </w:pPr>
      <w:proofErr w:type="gramStart"/>
      <w:r w:rsidRPr="00782FD0">
        <w:rPr>
          <w:color w:val="000000"/>
        </w:rPr>
        <w:t>oversee</w:t>
      </w:r>
      <w:r w:rsidR="00782FD0">
        <w:rPr>
          <w:color w:val="000000"/>
        </w:rPr>
        <w:t>ing</w:t>
      </w:r>
      <w:proofErr w:type="gramEnd"/>
      <w:r w:rsidRPr="00782FD0">
        <w:rPr>
          <w:color w:val="000000"/>
        </w:rPr>
        <w:t xml:space="preserve"> the assessment and verification process.</w:t>
      </w:r>
      <w:r w:rsidRPr="0056377B">
        <w:rPr>
          <w:rFonts w:eastAsia="Arial"/>
          <w:lang w:val="en-US"/>
        </w:rPr>
        <w:br w:type="page"/>
      </w:r>
    </w:p>
    <w:p w14:paraId="1959E6D9" w14:textId="55CB6ABE" w:rsidR="0056377B" w:rsidRPr="00782FD0" w:rsidRDefault="0056377B" w:rsidP="00782FD0">
      <w:pPr>
        <w:ind w:left="426"/>
        <w:rPr>
          <w:bCs/>
          <w:iCs/>
          <w:lang w:val="en-US"/>
        </w:rPr>
      </w:pPr>
      <w:r w:rsidRPr="00782FD0">
        <w:rPr>
          <w:b/>
          <w:lang w:val="en-US"/>
        </w:rPr>
        <w:lastRenderedPageBreak/>
        <w:t xml:space="preserve">School </w:t>
      </w:r>
      <w:r w:rsidR="00782FD0" w:rsidRPr="00782FD0">
        <w:rPr>
          <w:b/>
          <w:lang w:val="en-US"/>
        </w:rPr>
        <w:t>Psychologist</w:t>
      </w:r>
      <w:r w:rsidR="00782FD0">
        <w:rPr>
          <w:b/>
          <w:lang w:val="en-US"/>
        </w:rPr>
        <w:t xml:space="preserve"> </w:t>
      </w:r>
      <w:r w:rsidR="00782FD0" w:rsidRPr="00782FD0">
        <w:rPr>
          <w:bCs/>
          <w:iCs/>
          <w:lang w:val="en-US"/>
        </w:rPr>
        <w:t>is</w:t>
      </w:r>
      <w:r w:rsidR="00782FD0">
        <w:rPr>
          <w:bCs/>
          <w:iCs/>
          <w:lang w:val="en-US"/>
        </w:rPr>
        <w:t xml:space="preserve"> responsible for</w:t>
      </w:r>
      <w:r w:rsidRPr="00782FD0">
        <w:rPr>
          <w:bCs/>
          <w:iCs/>
          <w:lang w:val="en-US"/>
        </w:rPr>
        <w:t>:</w:t>
      </w:r>
    </w:p>
    <w:p w14:paraId="28F9D824" w14:textId="2B08752A" w:rsidR="0056377B" w:rsidRPr="00782FD0" w:rsidRDefault="0056377B" w:rsidP="00782FD0">
      <w:pPr>
        <w:pStyle w:val="ListParagraph"/>
        <w:numPr>
          <w:ilvl w:val="0"/>
          <w:numId w:val="41"/>
        </w:numPr>
        <w:spacing w:after="0"/>
        <w:ind w:left="851" w:hanging="425"/>
        <w:contextualSpacing/>
        <w:rPr>
          <w:color w:val="000000"/>
        </w:rPr>
      </w:pPr>
      <w:r w:rsidRPr="00782FD0">
        <w:rPr>
          <w:color w:val="000000"/>
        </w:rPr>
        <w:t>complet</w:t>
      </w:r>
      <w:r w:rsidR="00782FD0">
        <w:rPr>
          <w:color w:val="000000"/>
        </w:rPr>
        <w:t>ing</w:t>
      </w:r>
      <w:r w:rsidRPr="00782FD0">
        <w:rPr>
          <w:color w:val="000000"/>
        </w:rPr>
        <w:t xml:space="preserve"> assessments in accordance with the</w:t>
      </w:r>
      <w:r w:rsidR="00782FD0">
        <w:rPr>
          <w:color w:val="000000"/>
        </w:rPr>
        <w:t xml:space="preserve"> Australian Psychology Society G</w:t>
      </w:r>
      <w:r w:rsidRPr="00782FD0">
        <w:rPr>
          <w:color w:val="000000"/>
        </w:rPr>
        <w:t>uidelines</w:t>
      </w:r>
    </w:p>
    <w:p w14:paraId="13E5B798" w14:textId="4E2DBB4A" w:rsidR="0056377B" w:rsidRPr="00782FD0" w:rsidRDefault="00782FD0" w:rsidP="00782FD0">
      <w:pPr>
        <w:pStyle w:val="ListParagraph"/>
        <w:numPr>
          <w:ilvl w:val="0"/>
          <w:numId w:val="41"/>
        </w:numPr>
        <w:spacing w:after="0"/>
        <w:ind w:left="851" w:hanging="425"/>
        <w:contextualSpacing/>
        <w:rPr>
          <w:color w:val="000000"/>
        </w:rPr>
      </w:pPr>
      <w:r>
        <w:rPr>
          <w:color w:val="000000"/>
        </w:rPr>
        <w:t>liaising</w:t>
      </w:r>
      <w:r w:rsidR="0056377B" w:rsidRPr="00782FD0">
        <w:rPr>
          <w:color w:val="000000"/>
        </w:rPr>
        <w:t xml:space="preserve"> with parents, school staff, and the senior school psychologist as required </w:t>
      </w:r>
      <w:r>
        <w:rPr>
          <w:color w:val="000000"/>
        </w:rPr>
        <w:t>about the</w:t>
      </w:r>
      <w:r w:rsidR="0056377B" w:rsidRPr="00782FD0">
        <w:rPr>
          <w:color w:val="000000"/>
        </w:rPr>
        <w:t xml:space="preserve"> results of assessments </w:t>
      </w:r>
    </w:p>
    <w:p w14:paraId="6EC105E0" w14:textId="45145976" w:rsidR="0056377B" w:rsidRPr="00782FD0" w:rsidRDefault="0056377B" w:rsidP="00782FD0">
      <w:pPr>
        <w:pStyle w:val="ListParagraph"/>
        <w:numPr>
          <w:ilvl w:val="0"/>
          <w:numId w:val="41"/>
        </w:numPr>
        <w:spacing w:after="0"/>
        <w:ind w:left="851" w:hanging="425"/>
        <w:contextualSpacing/>
        <w:rPr>
          <w:color w:val="000000"/>
        </w:rPr>
      </w:pPr>
      <w:r w:rsidRPr="00782FD0">
        <w:rPr>
          <w:color w:val="000000"/>
        </w:rPr>
        <w:t>provid</w:t>
      </w:r>
      <w:r w:rsidR="00782FD0">
        <w:rPr>
          <w:color w:val="000000"/>
        </w:rPr>
        <w:t>ing</w:t>
      </w:r>
      <w:r w:rsidRPr="00782FD0">
        <w:rPr>
          <w:color w:val="000000"/>
        </w:rPr>
        <w:t xml:space="preserve"> advice on the eligibility for enrolment</w:t>
      </w:r>
    </w:p>
    <w:p w14:paraId="7E0B6366" w14:textId="14E8B4EF" w:rsidR="0056377B" w:rsidRPr="00782FD0" w:rsidRDefault="0056377B" w:rsidP="00782FD0">
      <w:pPr>
        <w:pStyle w:val="ListParagraph"/>
        <w:numPr>
          <w:ilvl w:val="0"/>
          <w:numId w:val="41"/>
        </w:numPr>
        <w:spacing w:after="0"/>
        <w:ind w:left="851" w:hanging="425"/>
        <w:contextualSpacing/>
        <w:rPr>
          <w:color w:val="000000"/>
        </w:rPr>
      </w:pPr>
      <w:r w:rsidRPr="00782FD0">
        <w:rPr>
          <w:color w:val="000000"/>
        </w:rPr>
        <w:t>ensur</w:t>
      </w:r>
      <w:r w:rsidR="00782FD0">
        <w:rPr>
          <w:color w:val="000000"/>
        </w:rPr>
        <w:t>ing</w:t>
      </w:r>
      <w:r w:rsidRPr="00782FD0">
        <w:rPr>
          <w:color w:val="000000"/>
        </w:rPr>
        <w:t xml:space="preserve"> student support processes are carried out in a timely manner </w:t>
      </w:r>
    </w:p>
    <w:p w14:paraId="15F1382B" w14:textId="2571108B" w:rsidR="0056377B" w:rsidRPr="00782FD0" w:rsidRDefault="0056377B" w:rsidP="00782FD0">
      <w:pPr>
        <w:pStyle w:val="ListParagraph"/>
        <w:numPr>
          <w:ilvl w:val="0"/>
          <w:numId w:val="41"/>
        </w:numPr>
        <w:spacing w:after="0"/>
        <w:ind w:left="851" w:hanging="425"/>
        <w:contextualSpacing/>
        <w:rPr>
          <w:color w:val="000000"/>
        </w:rPr>
      </w:pPr>
      <w:r w:rsidRPr="00782FD0">
        <w:rPr>
          <w:color w:val="000000"/>
        </w:rPr>
        <w:t>consult</w:t>
      </w:r>
      <w:r w:rsidR="00782FD0">
        <w:rPr>
          <w:color w:val="000000"/>
        </w:rPr>
        <w:t>ing</w:t>
      </w:r>
      <w:r w:rsidRPr="00782FD0">
        <w:rPr>
          <w:color w:val="000000"/>
        </w:rPr>
        <w:t xml:space="preserve"> with senior school psychologist on complex issues</w:t>
      </w:r>
    </w:p>
    <w:p w14:paraId="620483B0" w14:textId="0179B539" w:rsidR="0056377B" w:rsidRPr="00782FD0" w:rsidRDefault="00782FD0" w:rsidP="00782FD0">
      <w:pPr>
        <w:pStyle w:val="ListParagraph"/>
        <w:numPr>
          <w:ilvl w:val="0"/>
          <w:numId w:val="41"/>
        </w:numPr>
        <w:spacing w:after="0"/>
        <w:ind w:left="851" w:hanging="425"/>
        <w:contextualSpacing/>
        <w:rPr>
          <w:color w:val="000000"/>
        </w:rPr>
      </w:pPr>
      <w:proofErr w:type="gramStart"/>
      <w:r>
        <w:rPr>
          <w:color w:val="000000"/>
        </w:rPr>
        <w:t>assisting</w:t>
      </w:r>
      <w:proofErr w:type="gramEnd"/>
      <w:r>
        <w:rPr>
          <w:color w:val="000000"/>
        </w:rPr>
        <w:t xml:space="preserve"> schools</w:t>
      </w:r>
      <w:r w:rsidR="0056377B" w:rsidRPr="00782FD0">
        <w:rPr>
          <w:color w:val="000000"/>
        </w:rPr>
        <w:t xml:space="preserve"> with scheduled reviews.</w:t>
      </w:r>
    </w:p>
    <w:p w14:paraId="5691A0E1" w14:textId="77777777" w:rsidR="0056377B" w:rsidRPr="00782FD0" w:rsidRDefault="00D57302" w:rsidP="00782FD0">
      <w:pPr>
        <w:pStyle w:val="Heading1"/>
        <w:numPr>
          <w:ilvl w:val="0"/>
          <w:numId w:val="9"/>
        </w:numPr>
        <w:spacing w:before="360"/>
        <w:ind w:left="425" w:hanging="425"/>
        <w:rPr>
          <w:noProof/>
          <w:lang w:eastAsia="en-AU"/>
        </w:rPr>
      </w:pPr>
      <w:r w:rsidRPr="00782FD0">
        <w:rPr>
          <w:noProof/>
          <w:lang w:eastAsia="en-AU"/>
        </w:rPr>
        <w:t>Eligibility</w:t>
      </w:r>
    </w:p>
    <w:p w14:paraId="2BD5C6EF" w14:textId="77777777" w:rsidR="00D57302" w:rsidRPr="00162482" w:rsidRDefault="00D57302" w:rsidP="00782FD0">
      <w:pPr>
        <w:ind w:left="426"/>
        <w:rPr>
          <w:lang w:val="en-US"/>
        </w:rPr>
      </w:pPr>
      <w:r w:rsidRPr="00162482">
        <w:rPr>
          <w:lang w:val="en-US"/>
        </w:rPr>
        <w:t xml:space="preserve">Criteria for assessing a student’s eligibility for enrolment in a Special School or Special Centre is aligned with the Diagnostic and </w:t>
      </w:r>
      <w:r w:rsidRPr="00782FD0">
        <w:rPr>
          <w:bCs/>
          <w:iCs/>
          <w:lang w:val="en-US"/>
        </w:rPr>
        <w:t>Statistical</w:t>
      </w:r>
      <w:r w:rsidRPr="00162482">
        <w:rPr>
          <w:lang w:val="en-US"/>
        </w:rPr>
        <w:t xml:space="preserve"> Manual of Mental Disorders 5</w:t>
      </w:r>
      <w:r w:rsidRPr="00162482">
        <w:rPr>
          <w:vertAlign w:val="superscript"/>
          <w:lang w:val="en-US"/>
        </w:rPr>
        <w:t>th</w:t>
      </w:r>
      <w:r>
        <w:rPr>
          <w:lang w:val="en-US"/>
        </w:rPr>
        <w:t xml:space="preserve"> Edition (2013) (DSM</w:t>
      </w:r>
      <w:r>
        <w:rPr>
          <w:lang w:val="en-US"/>
        </w:rPr>
        <w:noBreakHyphen/>
      </w:r>
      <w:r w:rsidRPr="00162482">
        <w:rPr>
          <w:lang w:val="en-US"/>
        </w:rPr>
        <w:t>V).</w:t>
      </w:r>
    </w:p>
    <w:p w14:paraId="433D8794" w14:textId="77777777" w:rsidR="00D57302" w:rsidRDefault="00D57302" w:rsidP="00782FD0">
      <w:pPr>
        <w:pStyle w:val="Heading3"/>
        <w:numPr>
          <w:ilvl w:val="0"/>
          <w:numId w:val="24"/>
        </w:numPr>
        <w:ind w:left="426" w:firstLine="0"/>
        <w:rPr>
          <w:lang w:val="en-US"/>
        </w:rPr>
      </w:pPr>
      <w:r>
        <w:rPr>
          <w:lang w:val="en-US"/>
        </w:rPr>
        <w:t>Placement Criteria</w:t>
      </w:r>
    </w:p>
    <w:p w14:paraId="2A8720EB" w14:textId="1EE6335B" w:rsidR="00D57302" w:rsidRDefault="00D57302" w:rsidP="00782FD0">
      <w:pPr>
        <w:ind w:left="426"/>
        <w:rPr>
          <w:lang w:val="en-US"/>
        </w:rPr>
      </w:pPr>
      <w:r w:rsidRPr="00162482">
        <w:rPr>
          <w:spacing w:val="2"/>
          <w:lang w:val="en-US"/>
        </w:rPr>
        <w:t>A student may be enrolled in</w:t>
      </w:r>
      <w:r w:rsidRPr="00162482">
        <w:rPr>
          <w:spacing w:val="-1"/>
          <w:lang w:val="en-US"/>
        </w:rPr>
        <w:t xml:space="preserve"> </w:t>
      </w:r>
      <w:r w:rsidRPr="00162482">
        <w:rPr>
          <w:lang w:val="en-US"/>
        </w:rPr>
        <w:t>a</w:t>
      </w:r>
      <w:r w:rsidRPr="00162482">
        <w:rPr>
          <w:spacing w:val="1"/>
          <w:lang w:val="en-US"/>
        </w:rPr>
        <w:t xml:space="preserve"> S</w:t>
      </w:r>
      <w:r w:rsidRPr="00162482">
        <w:rPr>
          <w:spacing w:val="-1"/>
          <w:lang w:val="en-US"/>
        </w:rPr>
        <w:t>p</w:t>
      </w:r>
      <w:r w:rsidRPr="00162482">
        <w:rPr>
          <w:spacing w:val="1"/>
          <w:lang w:val="en-US"/>
        </w:rPr>
        <w:t>e</w:t>
      </w:r>
      <w:r w:rsidRPr="00162482">
        <w:rPr>
          <w:spacing w:val="-2"/>
          <w:lang w:val="en-US"/>
        </w:rPr>
        <w:t>c</w:t>
      </w:r>
      <w:r w:rsidRPr="00162482">
        <w:rPr>
          <w:lang w:val="en-US"/>
        </w:rPr>
        <w:t>ial Sc</w:t>
      </w:r>
      <w:r w:rsidRPr="00162482">
        <w:rPr>
          <w:spacing w:val="1"/>
          <w:lang w:val="en-US"/>
        </w:rPr>
        <w:t>hoo</w:t>
      </w:r>
      <w:r w:rsidRPr="00162482">
        <w:rPr>
          <w:lang w:val="en-US"/>
        </w:rPr>
        <w:t>l</w:t>
      </w:r>
      <w:r w:rsidRPr="00162482">
        <w:rPr>
          <w:spacing w:val="-2"/>
          <w:lang w:val="en-US"/>
        </w:rPr>
        <w:t xml:space="preserve"> </w:t>
      </w:r>
      <w:r w:rsidRPr="00162482">
        <w:rPr>
          <w:spacing w:val="1"/>
          <w:lang w:val="en-US"/>
        </w:rPr>
        <w:t>o</w:t>
      </w:r>
      <w:r w:rsidRPr="00162482">
        <w:rPr>
          <w:lang w:val="en-US"/>
        </w:rPr>
        <w:t>r</w:t>
      </w:r>
      <w:r w:rsidRPr="00162482">
        <w:rPr>
          <w:spacing w:val="3"/>
          <w:lang w:val="en-US"/>
        </w:rPr>
        <w:t xml:space="preserve"> </w:t>
      </w:r>
      <w:r w:rsidRPr="00162482">
        <w:rPr>
          <w:lang w:val="en-US"/>
        </w:rPr>
        <w:t>S</w:t>
      </w:r>
      <w:r w:rsidRPr="00162482">
        <w:rPr>
          <w:spacing w:val="1"/>
          <w:lang w:val="en-US"/>
        </w:rPr>
        <w:t>pe</w:t>
      </w:r>
      <w:r w:rsidRPr="00162482">
        <w:rPr>
          <w:lang w:val="en-US"/>
        </w:rPr>
        <w:t xml:space="preserve">cial </w:t>
      </w:r>
      <w:r w:rsidRPr="00162482">
        <w:rPr>
          <w:spacing w:val="-2"/>
          <w:lang w:val="en-US"/>
        </w:rPr>
        <w:t>C</w:t>
      </w:r>
      <w:r w:rsidRPr="00162482">
        <w:rPr>
          <w:spacing w:val="-1"/>
          <w:lang w:val="en-US"/>
        </w:rPr>
        <w:t>e</w:t>
      </w:r>
      <w:r w:rsidRPr="00162482">
        <w:rPr>
          <w:spacing w:val="1"/>
          <w:lang w:val="en-US"/>
        </w:rPr>
        <w:t>n</w:t>
      </w:r>
      <w:r w:rsidRPr="00162482">
        <w:rPr>
          <w:lang w:val="en-US"/>
        </w:rPr>
        <w:t>tre</w:t>
      </w:r>
      <w:r w:rsidRPr="00162482">
        <w:rPr>
          <w:spacing w:val="2"/>
          <w:lang w:val="en-US"/>
        </w:rPr>
        <w:t xml:space="preserve"> </w:t>
      </w:r>
      <w:r w:rsidRPr="00162482">
        <w:rPr>
          <w:lang w:val="en-US"/>
        </w:rPr>
        <w:t xml:space="preserve">if each of the following </w:t>
      </w:r>
      <w:r w:rsidRPr="00162482">
        <w:rPr>
          <w:spacing w:val="1"/>
          <w:lang w:val="en-US"/>
        </w:rPr>
        <w:t>en</w:t>
      </w:r>
      <w:r w:rsidRPr="00162482">
        <w:rPr>
          <w:lang w:val="en-US"/>
        </w:rPr>
        <w:t xml:space="preserve">try </w:t>
      </w:r>
      <w:r w:rsidRPr="00162482">
        <w:rPr>
          <w:spacing w:val="2"/>
          <w:lang w:val="en-US"/>
        </w:rPr>
        <w:t>cr</w:t>
      </w:r>
      <w:r w:rsidRPr="00162482">
        <w:rPr>
          <w:lang w:val="en-US"/>
        </w:rPr>
        <w:t>it</w:t>
      </w:r>
      <w:r w:rsidRPr="00162482">
        <w:rPr>
          <w:spacing w:val="1"/>
          <w:lang w:val="en-US"/>
        </w:rPr>
        <w:t>e</w:t>
      </w:r>
      <w:r w:rsidRPr="00162482">
        <w:rPr>
          <w:lang w:val="en-US"/>
        </w:rPr>
        <w:t>r</w:t>
      </w:r>
      <w:r w:rsidRPr="00162482">
        <w:rPr>
          <w:spacing w:val="-1"/>
          <w:lang w:val="en-US"/>
        </w:rPr>
        <w:t>i</w:t>
      </w:r>
      <w:r w:rsidRPr="00162482">
        <w:rPr>
          <w:spacing w:val="1"/>
          <w:lang w:val="en-US"/>
        </w:rPr>
        <w:t>a</w:t>
      </w:r>
      <w:r w:rsidRPr="00162482">
        <w:rPr>
          <w:spacing w:val="-1"/>
          <w:position w:val="11"/>
          <w:sz w:val="16"/>
          <w:szCs w:val="16"/>
          <w:lang w:val="en-US"/>
        </w:rPr>
        <w:t xml:space="preserve"> </w:t>
      </w:r>
      <w:r w:rsidR="00782FD0">
        <w:rPr>
          <w:lang w:val="en-US"/>
        </w:rPr>
        <w:t>are</w:t>
      </w:r>
      <w:r w:rsidRPr="00162482">
        <w:rPr>
          <w:lang w:val="en-US"/>
        </w:rPr>
        <w:t xml:space="preserve"> met:</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363"/>
      </w:tblGrid>
      <w:tr w:rsidR="00D57302" w:rsidRPr="00782FD0" w14:paraId="410A875B" w14:textId="77777777" w:rsidTr="00782FD0">
        <w:trPr>
          <w:tblHeader/>
        </w:trPr>
        <w:tc>
          <w:tcPr>
            <w:tcW w:w="1559" w:type="dxa"/>
            <w:shd w:val="clear" w:color="auto" w:fill="C4C4EC" w:themeFill="text1" w:themeFillTint="33"/>
          </w:tcPr>
          <w:p w14:paraId="1D069D48" w14:textId="77777777" w:rsidR="00D57302" w:rsidRPr="00782FD0" w:rsidRDefault="00D57302" w:rsidP="00D57302">
            <w:pPr>
              <w:rPr>
                <w:b/>
              </w:rPr>
            </w:pPr>
            <w:r w:rsidRPr="00782FD0">
              <w:rPr>
                <w:b/>
              </w:rPr>
              <w:t>Year of entry</w:t>
            </w:r>
          </w:p>
        </w:tc>
        <w:tc>
          <w:tcPr>
            <w:tcW w:w="8363" w:type="dxa"/>
            <w:shd w:val="clear" w:color="auto" w:fill="C4C4EC" w:themeFill="text1" w:themeFillTint="33"/>
          </w:tcPr>
          <w:p w14:paraId="21CC98B1" w14:textId="77777777" w:rsidR="00D57302" w:rsidRPr="00782FD0" w:rsidRDefault="00D57302" w:rsidP="00D57302">
            <w:pPr>
              <w:rPr>
                <w:b/>
              </w:rPr>
            </w:pPr>
            <w:r w:rsidRPr="00782FD0">
              <w:rPr>
                <w:b/>
              </w:rPr>
              <w:t>Entry criteria</w:t>
            </w:r>
          </w:p>
        </w:tc>
      </w:tr>
      <w:tr w:rsidR="00D57302" w:rsidRPr="00F51D6F" w14:paraId="02D913C4" w14:textId="77777777" w:rsidTr="00782FD0">
        <w:trPr>
          <w:tblHeader/>
        </w:trPr>
        <w:tc>
          <w:tcPr>
            <w:tcW w:w="1559" w:type="dxa"/>
            <w:shd w:val="clear" w:color="auto" w:fill="auto"/>
          </w:tcPr>
          <w:p w14:paraId="4BF78BB8" w14:textId="77777777" w:rsidR="00D57302" w:rsidRPr="00F51D6F" w:rsidRDefault="00D57302" w:rsidP="00D57302">
            <w:r w:rsidRPr="00F51D6F">
              <w:t xml:space="preserve">Early years (P-3) </w:t>
            </w:r>
          </w:p>
        </w:tc>
        <w:tc>
          <w:tcPr>
            <w:tcW w:w="8363" w:type="dxa"/>
            <w:shd w:val="clear" w:color="auto" w:fill="auto"/>
          </w:tcPr>
          <w:p w14:paraId="72B7EDA1" w14:textId="77777777" w:rsidR="00D57302" w:rsidRPr="00F51D6F" w:rsidRDefault="00D57302" w:rsidP="008E32B1">
            <w:pPr>
              <w:pStyle w:val="ListParagraph"/>
              <w:numPr>
                <w:ilvl w:val="0"/>
                <w:numId w:val="19"/>
              </w:numPr>
              <w:ind w:left="391"/>
              <w:rPr>
                <w:rFonts w:eastAsia="Arial"/>
              </w:rPr>
            </w:pPr>
            <w:r w:rsidRPr="00F51D6F">
              <w:rPr>
                <w:rFonts w:eastAsia="Arial"/>
              </w:rPr>
              <w:t>Global Developmental Delay confirmed through comprehensive assessment by a paediatrician, and/or psychologist:</w:t>
            </w:r>
          </w:p>
          <w:p w14:paraId="152426E3" w14:textId="77777777" w:rsidR="00D57302" w:rsidRPr="00F51D6F" w:rsidRDefault="00D57302" w:rsidP="00782FD0">
            <w:pPr>
              <w:pStyle w:val="ListParagraph"/>
              <w:numPr>
                <w:ilvl w:val="0"/>
                <w:numId w:val="20"/>
              </w:numPr>
              <w:ind w:left="385" w:hanging="357"/>
              <w:contextualSpacing/>
              <w:rPr>
                <w:rFonts w:eastAsia="Arial"/>
              </w:rPr>
            </w:pPr>
            <w:r w:rsidRPr="00F51D6F">
              <w:rPr>
                <w:rFonts w:eastAsia="Arial"/>
              </w:rPr>
              <w:t>deficits in intellectual functions (at or below 2</w:t>
            </w:r>
            <w:r w:rsidRPr="002E448C">
              <w:rPr>
                <w:rFonts w:eastAsia="Arial"/>
                <w:vertAlign w:val="superscript"/>
              </w:rPr>
              <w:t>nd</w:t>
            </w:r>
            <w:r w:rsidRPr="00F51D6F">
              <w:rPr>
                <w:rFonts w:eastAsia="Arial"/>
              </w:rPr>
              <w:t xml:space="preserve"> percentile) confirmed by both clinical assessment and individualised, standardised intelligence testing, or</w:t>
            </w:r>
          </w:p>
          <w:p w14:paraId="26F48D6F" w14:textId="77777777" w:rsidR="00D57302" w:rsidRPr="00F51D6F" w:rsidRDefault="00D57302" w:rsidP="00782FD0">
            <w:pPr>
              <w:pStyle w:val="ListParagraph"/>
              <w:numPr>
                <w:ilvl w:val="0"/>
                <w:numId w:val="20"/>
              </w:numPr>
              <w:ind w:left="385" w:hanging="357"/>
              <w:contextualSpacing/>
              <w:rPr>
                <w:rFonts w:eastAsia="Arial"/>
              </w:rPr>
            </w:pPr>
            <w:r w:rsidRPr="00F51D6F">
              <w:rPr>
                <w:rFonts w:eastAsia="Arial"/>
              </w:rPr>
              <w:t>other evidence of failure to meet developmental milestones in several areas of intellectual functioning when individual’s disabilities prevent standardised assessment, or</w:t>
            </w:r>
          </w:p>
          <w:p w14:paraId="0EE2B34B" w14:textId="77777777" w:rsidR="00D57302" w:rsidRPr="00F51D6F" w:rsidRDefault="00D57302" w:rsidP="00782FD0">
            <w:pPr>
              <w:pStyle w:val="ListParagraph"/>
              <w:numPr>
                <w:ilvl w:val="0"/>
                <w:numId w:val="20"/>
              </w:numPr>
              <w:ind w:left="385" w:hanging="357"/>
              <w:contextualSpacing/>
              <w:rPr>
                <w:rFonts w:eastAsia="Arial"/>
              </w:rPr>
            </w:pPr>
            <w:r w:rsidRPr="00F51D6F">
              <w:rPr>
                <w:rFonts w:eastAsia="Arial"/>
              </w:rPr>
              <w:t>deficits in adaptive functioning that result in failure to meet developmental milestones, below 2</w:t>
            </w:r>
            <w:r w:rsidRPr="002E448C">
              <w:rPr>
                <w:rFonts w:eastAsia="Arial"/>
                <w:vertAlign w:val="superscript"/>
              </w:rPr>
              <w:t>nd</w:t>
            </w:r>
            <w:r w:rsidRPr="00F51D6F">
              <w:rPr>
                <w:rFonts w:eastAsia="Arial"/>
              </w:rPr>
              <w:t xml:space="preserve"> percentile across majority of functioning, and</w:t>
            </w:r>
          </w:p>
          <w:p w14:paraId="2A05012A" w14:textId="77777777" w:rsidR="00D57302" w:rsidRPr="00F51D6F" w:rsidRDefault="00D57302" w:rsidP="00782FD0">
            <w:pPr>
              <w:pStyle w:val="ListParagraph"/>
              <w:numPr>
                <w:ilvl w:val="0"/>
                <w:numId w:val="20"/>
              </w:numPr>
              <w:ind w:left="385" w:hanging="357"/>
              <w:rPr>
                <w:rFonts w:eastAsia="Arial"/>
              </w:rPr>
            </w:pPr>
            <w:proofErr w:type="gramStart"/>
            <w:r w:rsidRPr="00F51D6F">
              <w:rPr>
                <w:rFonts w:eastAsia="Arial"/>
              </w:rPr>
              <w:t>adaptive</w:t>
            </w:r>
            <w:proofErr w:type="gramEnd"/>
            <w:r w:rsidRPr="00F51D6F">
              <w:rPr>
                <w:rFonts w:eastAsia="Arial"/>
              </w:rPr>
              <w:t xml:space="preserve"> functioning deficits indicate significant impairment in several domains - communication, social participation, early learning and development.</w:t>
            </w:r>
          </w:p>
          <w:p w14:paraId="1D0A7596" w14:textId="77777777" w:rsidR="00D57302" w:rsidRPr="00F51D6F" w:rsidRDefault="00D57302" w:rsidP="008E32B1">
            <w:pPr>
              <w:pStyle w:val="ListParagraph"/>
              <w:numPr>
                <w:ilvl w:val="0"/>
                <w:numId w:val="19"/>
              </w:numPr>
              <w:ind w:left="391"/>
              <w:rPr>
                <w:rFonts w:eastAsia="Arial"/>
              </w:rPr>
            </w:pPr>
            <w:r w:rsidRPr="00F51D6F">
              <w:rPr>
                <w:rFonts w:eastAsia="Arial"/>
              </w:rPr>
              <w:t>Requiring extensive adjustments that are highly individualised, comprehensive and ongoing to allow access to, and participation in the curriculum.</w:t>
            </w:r>
          </w:p>
          <w:p w14:paraId="354DC05A" w14:textId="77777777" w:rsidR="00D57302" w:rsidRPr="00F51D6F" w:rsidRDefault="00D57302" w:rsidP="00D57302">
            <w:r w:rsidRPr="00F51D6F">
              <w:t>By age 8, sufficient valid and reliable assessment evidence must be compiled to confirm diagnosis, identify education needs and program development options.</w:t>
            </w:r>
          </w:p>
        </w:tc>
      </w:tr>
    </w:tbl>
    <w:p w14:paraId="5CD7FC3A" w14:textId="77777777" w:rsidR="00D57302" w:rsidRDefault="00D57302" w:rsidP="00D57302"/>
    <w:p w14:paraId="72707E12" w14:textId="77777777" w:rsidR="00782FD0" w:rsidRDefault="00782FD0">
      <w:r>
        <w:br w:type="page"/>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363"/>
      </w:tblGrid>
      <w:tr w:rsidR="00782FD0" w:rsidRPr="00782FD0" w14:paraId="365654BD" w14:textId="77777777" w:rsidTr="00782FD0">
        <w:trPr>
          <w:tblHeader/>
        </w:trPr>
        <w:tc>
          <w:tcPr>
            <w:tcW w:w="1559" w:type="dxa"/>
            <w:shd w:val="clear" w:color="auto" w:fill="C4C4EC" w:themeFill="text1" w:themeFillTint="33"/>
          </w:tcPr>
          <w:p w14:paraId="14F8D4CA" w14:textId="77777777" w:rsidR="00782FD0" w:rsidRPr="00782FD0" w:rsidRDefault="00782FD0" w:rsidP="00D13E4A">
            <w:pPr>
              <w:rPr>
                <w:b/>
              </w:rPr>
            </w:pPr>
            <w:r w:rsidRPr="00782FD0">
              <w:rPr>
                <w:b/>
              </w:rPr>
              <w:lastRenderedPageBreak/>
              <w:t>Year of entry</w:t>
            </w:r>
          </w:p>
        </w:tc>
        <w:tc>
          <w:tcPr>
            <w:tcW w:w="8363" w:type="dxa"/>
            <w:shd w:val="clear" w:color="auto" w:fill="C4C4EC" w:themeFill="text1" w:themeFillTint="33"/>
          </w:tcPr>
          <w:p w14:paraId="29081690" w14:textId="77777777" w:rsidR="00782FD0" w:rsidRPr="00782FD0" w:rsidRDefault="00782FD0" w:rsidP="00D13E4A">
            <w:pPr>
              <w:rPr>
                <w:b/>
              </w:rPr>
            </w:pPr>
            <w:r w:rsidRPr="00782FD0">
              <w:rPr>
                <w:b/>
              </w:rPr>
              <w:t>Entry criteria</w:t>
            </w:r>
          </w:p>
        </w:tc>
      </w:tr>
      <w:tr w:rsidR="00D57302" w:rsidRPr="00F51D6F" w14:paraId="66440E11" w14:textId="77777777" w:rsidTr="00782FD0">
        <w:trPr>
          <w:tblHeader/>
        </w:trPr>
        <w:tc>
          <w:tcPr>
            <w:tcW w:w="1559" w:type="dxa"/>
            <w:shd w:val="clear" w:color="auto" w:fill="auto"/>
          </w:tcPr>
          <w:p w14:paraId="64F4157C" w14:textId="1F71F92A" w:rsidR="00D57302" w:rsidRPr="00F51D6F" w:rsidRDefault="00D57302" w:rsidP="00D1086D">
            <w:r w:rsidRPr="00F51D6F">
              <w:t>Pr</w:t>
            </w:r>
            <w:r w:rsidRPr="00F51D6F">
              <w:rPr>
                <w:spacing w:val="-1"/>
              </w:rPr>
              <w:t>i</w:t>
            </w:r>
            <w:r w:rsidRPr="00F51D6F">
              <w:rPr>
                <w:spacing w:val="1"/>
              </w:rPr>
              <w:t>ma</w:t>
            </w:r>
            <w:r w:rsidRPr="00F51D6F">
              <w:t>r</w:t>
            </w:r>
            <w:r w:rsidRPr="00F51D6F">
              <w:rPr>
                <w:spacing w:val="-3"/>
              </w:rPr>
              <w:t>y</w:t>
            </w:r>
            <w:r w:rsidRPr="00F51D6F">
              <w:t>,</w:t>
            </w:r>
            <w:r w:rsidRPr="00F51D6F">
              <w:rPr>
                <w:spacing w:val="1"/>
              </w:rPr>
              <w:t xml:space="preserve"> </w:t>
            </w:r>
            <w:r w:rsidRPr="00F51D6F">
              <w:rPr>
                <w:spacing w:val="-1"/>
              </w:rPr>
              <w:t>m</w:t>
            </w:r>
            <w:r w:rsidRPr="00F51D6F">
              <w:t>id</w:t>
            </w:r>
            <w:r w:rsidRPr="00F51D6F">
              <w:rPr>
                <w:spacing w:val="1"/>
              </w:rPr>
              <w:t>d</w:t>
            </w:r>
            <w:r w:rsidRPr="00F51D6F">
              <w:t>le</w:t>
            </w:r>
            <w:r w:rsidRPr="00F51D6F">
              <w:rPr>
                <w:spacing w:val="1"/>
              </w:rPr>
              <w:t xml:space="preserve"> a</w:t>
            </w:r>
            <w:r w:rsidRPr="00F51D6F">
              <w:rPr>
                <w:spacing w:val="-1"/>
              </w:rPr>
              <w:t>n</w:t>
            </w:r>
            <w:r w:rsidRPr="00F51D6F">
              <w:t>d</w:t>
            </w:r>
            <w:r w:rsidRPr="00F51D6F">
              <w:rPr>
                <w:spacing w:val="1"/>
              </w:rPr>
              <w:t xml:space="preserve"> </w:t>
            </w:r>
            <w:r w:rsidRPr="00F51D6F">
              <w:rPr>
                <w:spacing w:val="-1"/>
              </w:rPr>
              <w:t>s</w:t>
            </w:r>
            <w:r w:rsidRPr="00F51D6F">
              <w:rPr>
                <w:spacing w:val="1"/>
              </w:rPr>
              <w:t>en</w:t>
            </w:r>
            <w:r w:rsidRPr="00F51D6F">
              <w:t xml:space="preserve">ior </w:t>
            </w:r>
            <w:r w:rsidRPr="00F51D6F">
              <w:rPr>
                <w:spacing w:val="-1"/>
              </w:rPr>
              <w:t>y</w:t>
            </w:r>
            <w:r w:rsidRPr="00F51D6F">
              <w:rPr>
                <w:spacing w:val="1"/>
              </w:rPr>
              <w:t>ea</w:t>
            </w:r>
            <w:r w:rsidRPr="00F51D6F">
              <w:t>rs</w:t>
            </w:r>
          </w:p>
        </w:tc>
        <w:tc>
          <w:tcPr>
            <w:tcW w:w="8363" w:type="dxa"/>
            <w:shd w:val="clear" w:color="auto" w:fill="auto"/>
          </w:tcPr>
          <w:p w14:paraId="02E933C8" w14:textId="77777777" w:rsidR="00D57302" w:rsidRPr="00D1086D" w:rsidRDefault="00D57302" w:rsidP="008E32B1">
            <w:pPr>
              <w:pStyle w:val="ListParagraph"/>
              <w:numPr>
                <w:ilvl w:val="0"/>
                <w:numId w:val="21"/>
              </w:numPr>
              <w:ind w:left="391"/>
              <w:rPr>
                <w:rFonts w:eastAsia="Arial"/>
              </w:rPr>
            </w:pPr>
            <w:r w:rsidRPr="00D1086D">
              <w:rPr>
                <w:rFonts w:eastAsia="Arial"/>
              </w:rPr>
              <w:t xml:space="preserve">Intellectual Disability confirmed through comprehensive assessment by a psychologist that includes: </w:t>
            </w:r>
          </w:p>
          <w:p w14:paraId="47742B31" w14:textId="77777777" w:rsidR="00D57302" w:rsidRPr="00F51D6F" w:rsidRDefault="00D57302" w:rsidP="00782FD0">
            <w:pPr>
              <w:pStyle w:val="ListParagraph"/>
              <w:numPr>
                <w:ilvl w:val="0"/>
                <w:numId w:val="20"/>
              </w:numPr>
              <w:ind w:left="385" w:hanging="357"/>
              <w:contextualSpacing/>
              <w:rPr>
                <w:rFonts w:eastAsia="Arial"/>
              </w:rPr>
            </w:pPr>
            <w:r w:rsidRPr="00F51D6F">
              <w:rPr>
                <w:rFonts w:eastAsia="Arial"/>
              </w:rPr>
              <w:t>deficits in intellectual functions, confirmed by both clinical assessment and individualised, standardised intelligence testing (IQ at or below 2</w:t>
            </w:r>
            <w:r w:rsidRPr="00782FD0">
              <w:rPr>
                <w:rFonts w:eastAsia="Arial"/>
              </w:rPr>
              <w:t>nd</w:t>
            </w:r>
            <w:r w:rsidRPr="00F51D6F">
              <w:rPr>
                <w:rFonts w:eastAsia="Arial"/>
              </w:rPr>
              <w:t xml:space="preserve"> percentile)</w:t>
            </w:r>
          </w:p>
          <w:p w14:paraId="4EA9BEBC" w14:textId="77777777" w:rsidR="00D57302" w:rsidRPr="00F51D6F" w:rsidRDefault="00D57302" w:rsidP="00782FD0">
            <w:pPr>
              <w:pStyle w:val="ListParagraph"/>
              <w:numPr>
                <w:ilvl w:val="0"/>
                <w:numId w:val="20"/>
              </w:numPr>
              <w:ind w:left="385" w:hanging="357"/>
              <w:rPr>
                <w:rFonts w:eastAsia="Arial"/>
              </w:rPr>
            </w:pPr>
            <w:proofErr w:type="gramStart"/>
            <w:r w:rsidRPr="00F51D6F">
              <w:rPr>
                <w:rFonts w:eastAsia="Arial"/>
              </w:rPr>
              <w:t>deficits</w:t>
            </w:r>
            <w:proofErr w:type="gramEnd"/>
            <w:r w:rsidRPr="00F51D6F">
              <w:rPr>
                <w:rFonts w:eastAsia="Arial"/>
              </w:rPr>
              <w:t xml:space="preserve"> in general adaptive functioning (standard score at or below 2</w:t>
            </w:r>
            <w:r w:rsidRPr="00782FD0">
              <w:rPr>
                <w:rFonts w:eastAsia="Arial"/>
              </w:rPr>
              <w:t>nd</w:t>
            </w:r>
            <w:r w:rsidRPr="00F51D6F">
              <w:rPr>
                <w:rFonts w:eastAsia="Arial"/>
              </w:rPr>
              <w:t xml:space="preserve"> percentile) that result in failure to meet developmental and socio-cultural standards for personal independence and social responsibility. Those deficits limit functioning in a wide range of activities of daily life.</w:t>
            </w:r>
          </w:p>
          <w:p w14:paraId="61070B29" w14:textId="77777777" w:rsidR="00D57302" w:rsidRPr="00D1086D" w:rsidRDefault="00D57302" w:rsidP="008E32B1">
            <w:pPr>
              <w:pStyle w:val="ListParagraph"/>
              <w:numPr>
                <w:ilvl w:val="0"/>
                <w:numId w:val="23"/>
              </w:numPr>
              <w:ind w:left="391"/>
              <w:rPr>
                <w:rFonts w:eastAsia="Arial"/>
              </w:rPr>
            </w:pPr>
            <w:r w:rsidRPr="00D1086D">
              <w:rPr>
                <w:rFonts w:eastAsia="Arial"/>
              </w:rPr>
              <w:t>Extensive adjustments that are highly individualised, comprehensive and ongoing to allow access to and participation in the curriculum are required.</w:t>
            </w:r>
          </w:p>
        </w:tc>
      </w:tr>
    </w:tbl>
    <w:p w14:paraId="5BDC8AC6" w14:textId="77777777" w:rsidR="00D57302" w:rsidRPr="00162482" w:rsidRDefault="00D57302" w:rsidP="00D57302">
      <w:pPr>
        <w:rPr>
          <w:lang w:val="en-US"/>
        </w:rPr>
      </w:pPr>
    </w:p>
    <w:p w14:paraId="36C4BDA6" w14:textId="77777777" w:rsidR="00D57302" w:rsidRDefault="00D1086D" w:rsidP="00782FD0">
      <w:pPr>
        <w:pStyle w:val="Heading3"/>
        <w:numPr>
          <w:ilvl w:val="0"/>
          <w:numId w:val="24"/>
        </w:numPr>
        <w:ind w:left="426" w:firstLine="0"/>
        <w:rPr>
          <w:lang w:val="en-US"/>
        </w:rPr>
      </w:pPr>
      <w:r>
        <w:rPr>
          <w:lang w:val="en-US"/>
        </w:rPr>
        <w:t>Functional Placement Criteria</w:t>
      </w:r>
    </w:p>
    <w:p w14:paraId="34AC5C7A" w14:textId="77777777" w:rsidR="00D1086D" w:rsidRDefault="00D1086D" w:rsidP="00782FD0">
      <w:pPr>
        <w:ind w:left="426"/>
        <w:rPr>
          <w:lang w:val="en-US"/>
        </w:rPr>
      </w:pPr>
      <w:r w:rsidRPr="00D1086D">
        <w:rPr>
          <w:lang w:val="en-US"/>
        </w:rPr>
        <w:t xml:space="preserve">A student may </w:t>
      </w:r>
      <w:r w:rsidRPr="00782FD0">
        <w:rPr>
          <w:spacing w:val="2"/>
          <w:lang w:val="en-US"/>
        </w:rPr>
        <w:t>be</w:t>
      </w:r>
      <w:r w:rsidRPr="00D1086D">
        <w:rPr>
          <w:lang w:val="en-US"/>
        </w:rPr>
        <w:t xml:space="preserve"> enrolled in a Special School or Special Centre if each of the following </w:t>
      </w:r>
      <w:r w:rsidRPr="00D1086D">
        <w:rPr>
          <w:spacing w:val="1"/>
          <w:lang w:val="en-US"/>
        </w:rPr>
        <w:t>en</w:t>
      </w:r>
      <w:r w:rsidRPr="00D1086D">
        <w:rPr>
          <w:lang w:val="en-US"/>
        </w:rPr>
        <w:t xml:space="preserve">try </w:t>
      </w:r>
      <w:r w:rsidRPr="00D1086D">
        <w:rPr>
          <w:spacing w:val="2"/>
          <w:lang w:val="en-US"/>
        </w:rPr>
        <w:t>cr</w:t>
      </w:r>
      <w:r w:rsidRPr="00D1086D">
        <w:rPr>
          <w:lang w:val="en-US"/>
        </w:rPr>
        <w:t>it</w:t>
      </w:r>
      <w:r w:rsidRPr="00D1086D">
        <w:rPr>
          <w:spacing w:val="1"/>
          <w:lang w:val="en-US"/>
        </w:rPr>
        <w:t>e</w:t>
      </w:r>
      <w:r w:rsidRPr="00D1086D">
        <w:rPr>
          <w:lang w:val="en-US"/>
        </w:rPr>
        <w:t>r</w:t>
      </w:r>
      <w:r w:rsidRPr="00D1086D">
        <w:rPr>
          <w:spacing w:val="-1"/>
          <w:lang w:val="en-US"/>
        </w:rPr>
        <w:t>i</w:t>
      </w:r>
      <w:r w:rsidRPr="00D1086D">
        <w:rPr>
          <w:spacing w:val="1"/>
          <w:lang w:val="en-US"/>
        </w:rPr>
        <w:t>a</w:t>
      </w:r>
      <w:r w:rsidRPr="00D1086D">
        <w:rPr>
          <w:spacing w:val="-1"/>
          <w:position w:val="11"/>
          <w:sz w:val="16"/>
          <w:szCs w:val="16"/>
          <w:lang w:val="en-US"/>
        </w:rPr>
        <w:t xml:space="preserve"> </w:t>
      </w:r>
      <w:r w:rsidRPr="00D1086D">
        <w:rPr>
          <w:lang w:val="en-US"/>
        </w:rPr>
        <w:t>is met:</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8363"/>
      </w:tblGrid>
      <w:tr w:rsidR="00D1086D" w:rsidRPr="00782FD0" w14:paraId="58F73146" w14:textId="77777777" w:rsidTr="00782FD0">
        <w:tc>
          <w:tcPr>
            <w:tcW w:w="1559" w:type="dxa"/>
            <w:shd w:val="clear" w:color="auto" w:fill="C4C4EC" w:themeFill="text1" w:themeFillTint="33"/>
          </w:tcPr>
          <w:p w14:paraId="53647F9F" w14:textId="77777777" w:rsidR="00D1086D" w:rsidRPr="00782FD0" w:rsidRDefault="00D1086D" w:rsidP="00D1086D">
            <w:pPr>
              <w:rPr>
                <w:b/>
              </w:rPr>
            </w:pPr>
            <w:r w:rsidRPr="00782FD0">
              <w:rPr>
                <w:b/>
              </w:rPr>
              <w:t>Year of entry</w:t>
            </w:r>
          </w:p>
        </w:tc>
        <w:tc>
          <w:tcPr>
            <w:tcW w:w="8363" w:type="dxa"/>
            <w:shd w:val="clear" w:color="auto" w:fill="C4C4EC" w:themeFill="text1" w:themeFillTint="33"/>
          </w:tcPr>
          <w:p w14:paraId="5180E5A8" w14:textId="77777777" w:rsidR="00D1086D" w:rsidRPr="00782FD0" w:rsidRDefault="00D1086D" w:rsidP="00D1086D">
            <w:pPr>
              <w:rPr>
                <w:b/>
              </w:rPr>
            </w:pPr>
            <w:r w:rsidRPr="00782FD0">
              <w:rPr>
                <w:b/>
              </w:rPr>
              <w:t>Entry criteria</w:t>
            </w:r>
          </w:p>
        </w:tc>
      </w:tr>
      <w:tr w:rsidR="00D1086D" w:rsidRPr="00F51D6F" w14:paraId="4992228A" w14:textId="77777777" w:rsidTr="00782FD0">
        <w:tc>
          <w:tcPr>
            <w:tcW w:w="1559" w:type="dxa"/>
            <w:shd w:val="clear" w:color="auto" w:fill="auto"/>
          </w:tcPr>
          <w:p w14:paraId="1E2A4311" w14:textId="77777777" w:rsidR="00D1086D" w:rsidRPr="00F51D6F" w:rsidRDefault="00D1086D" w:rsidP="00D1086D">
            <w:r w:rsidRPr="00F51D6F">
              <w:t>Preschool to year 12</w:t>
            </w:r>
          </w:p>
        </w:tc>
        <w:tc>
          <w:tcPr>
            <w:tcW w:w="8363" w:type="dxa"/>
            <w:shd w:val="clear" w:color="auto" w:fill="auto"/>
          </w:tcPr>
          <w:p w14:paraId="565BA796" w14:textId="77777777" w:rsidR="00D1086D" w:rsidRPr="00D1086D" w:rsidRDefault="00D1086D" w:rsidP="008E32B1">
            <w:pPr>
              <w:pStyle w:val="ListParagraph"/>
              <w:numPr>
                <w:ilvl w:val="0"/>
                <w:numId w:val="25"/>
              </w:numPr>
              <w:ind w:left="178" w:hanging="178"/>
              <w:rPr>
                <w:rFonts w:eastAsia="Calibri"/>
              </w:rPr>
            </w:pPr>
            <w:r w:rsidRPr="00D1086D">
              <w:rPr>
                <w:rFonts w:eastAsia="Arial"/>
              </w:rPr>
              <w:t>Evidence of complex needs accompanying a diagnosed disability:</w:t>
            </w:r>
          </w:p>
          <w:p w14:paraId="1538F91D" w14:textId="77777777" w:rsidR="00D1086D" w:rsidRPr="00D1086D" w:rsidRDefault="00D1086D" w:rsidP="00782FD0">
            <w:pPr>
              <w:pStyle w:val="ListParagraph"/>
              <w:numPr>
                <w:ilvl w:val="0"/>
                <w:numId w:val="20"/>
              </w:numPr>
              <w:ind w:left="385" w:hanging="357"/>
              <w:rPr>
                <w:rFonts w:eastAsia="Arial"/>
              </w:rPr>
            </w:pPr>
            <w:proofErr w:type="gramStart"/>
            <w:r w:rsidRPr="00D1086D">
              <w:rPr>
                <w:rFonts w:eastAsia="Arial"/>
              </w:rPr>
              <w:t>deficits</w:t>
            </w:r>
            <w:proofErr w:type="gramEnd"/>
            <w:r w:rsidRPr="00D1086D">
              <w:rPr>
                <w:rFonts w:eastAsia="Arial"/>
              </w:rPr>
              <w:t xml:space="preserve"> in general adaptive functioning (standard score at or below 2</w:t>
            </w:r>
            <w:r w:rsidRPr="00D1086D">
              <w:rPr>
                <w:rFonts w:eastAsia="Arial"/>
                <w:vertAlign w:val="superscript"/>
              </w:rPr>
              <w:t>nd</w:t>
            </w:r>
            <w:r w:rsidRPr="00D1086D">
              <w:rPr>
                <w:rFonts w:eastAsia="Arial"/>
              </w:rPr>
              <w:t xml:space="preserve"> percentile) that result in failure to meet developmental and socio-cultural standards for personal independence and social responsibility. Those deficits limit functioning in a wide range of activities of daily life. </w:t>
            </w:r>
          </w:p>
          <w:p w14:paraId="45B99C49" w14:textId="77777777" w:rsidR="00D1086D" w:rsidRPr="00D1086D" w:rsidRDefault="00D1086D" w:rsidP="008E32B1">
            <w:pPr>
              <w:pStyle w:val="ListParagraph"/>
              <w:numPr>
                <w:ilvl w:val="0"/>
                <w:numId w:val="27"/>
              </w:numPr>
              <w:ind w:left="320" w:hanging="320"/>
              <w:rPr>
                <w:rFonts w:eastAsia="Calibri"/>
              </w:rPr>
            </w:pPr>
            <w:r w:rsidRPr="00D1086D">
              <w:rPr>
                <w:rFonts w:eastAsia="Arial"/>
              </w:rPr>
              <w:t xml:space="preserve">Extensive adjustments that are highly individualised, comprehensive and ongoing to allow </w:t>
            </w:r>
            <w:r>
              <w:rPr>
                <w:rFonts w:eastAsia="Arial"/>
              </w:rPr>
              <w:t xml:space="preserve">  </w:t>
            </w:r>
            <w:r w:rsidRPr="00D1086D">
              <w:rPr>
                <w:rFonts w:eastAsia="Arial"/>
              </w:rPr>
              <w:t>access to and participation in the curriculum are required.</w:t>
            </w:r>
          </w:p>
          <w:p w14:paraId="7CAD72AF" w14:textId="77777777" w:rsidR="00D1086D" w:rsidRPr="00D1086D" w:rsidRDefault="00D1086D" w:rsidP="008E32B1">
            <w:pPr>
              <w:pStyle w:val="ListParagraph"/>
              <w:numPr>
                <w:ilvl w:val="0"/>
                <w:numId w:val="19"/>
              </w:numPr>
              <w:ind w:left="320" w:hanging="284"/>
              <w:rPr>
                <w:rFonts w:eastAsia="Arial"/>
              </w:rPr>
            </w:pPr>
            <w:r w:rsidRPr="00D1086D">
              <w:rPr>
                <w:rFonts w:eastAsia="Arial"/>
              </w:rPr>
              <w:t xml:space="preserve">Long documented history of adjustments and support with analysis of progress, and </w:t>
            </w:r>
          </w:p>
          <w:p w14:paraId="25159F6F" w14:textId="77777777" w:rsidR="00D1086D" w:rsidRPr="00D1086D" w:rsidRDefault="00D1086D" w:rsidP="008E32B1">
            <w:pPr>
              <w:pStyle w:val="ListParagraph"/>
              <w:numPr>
                <w:ilvl w:val="0"/>
                <w:numId w:val="19"/>
              </w:numPr>
              <w:ind w:left="320" w:hanging="284"/>
              <w:rPr>
                <w:rFonts w:eastAsia="Arial"/>
              </w:rPr>
            </w:pPr>
            <w:r>
              <w:t>H</w:t>
            </w:r>
            <w:r w:rsidRPr="00D1086D">
              <w:rPr>
                <w:rFonts w:eastAsia="Arial"/>
              </w:rPr>
              <w:t>istory of advice and support from multidisciplinary professionals over an extended period of time (i.e. counsellor, therapists, psychologist, psychiatrist, Student Support Advisors).</w:t>
            </w:r>
          </w:p>
        </w:tc>
      </w:tr>
    </w:tbl>
    <w:p w14:paraId="0643F156" w14:textId="77777777" w:rsidR="00D1086D" w:rsidRDefault="00D1086D" w:rsidP="00D1086D">
      <w:pPr>
        <w:rPr>
          <w:lang w:val="en-US"/>
        </w:rPr>
      </w:pPr>
    </w:p>
    <w:p w14:paraId="778E249D" w14:textId="77777777" w:rsidR="00D1086D" w:rsidRPr="00782FD0" w:rsidRDefault="00D1086D" w:rsidP="00782FD0">
      <w:pPr>
        <w:pStyle w:val="Heading1"/>
        <w:numPr>
          <w:ilvl w:val="0"/>
          <w:numId w:val="9"/>
        </w:numPr>
        <w:spacing w:before="360"/>
        <w:ind w:left="425" w:hanging="425"/>
        <w:rPr>
          <w:noProof/>
          <w:lang w:eastAsia="en-AU"/>
        </w:rPr>
      </w:pPr>
      <w:r w:rsidRPr="00782FD0">
        <w:rPr>
          <w:noProof/>
          <w:lang w:eastAsia="en-AU"/>
        </w:rPr>
        <w:t>Process for Student Enrolment</w:t>
      </w:r>
    </w:p>
    <w:p w14:paraId="231F99F7" w14:textId="77777777" w:rsidR="00D1086D" w:rsidRDefault="00D1086D" w:rsidP="00782FD0">
      <w:pPr>
        <w:ind w:left="426"/>
        <w:rPr>
          <w:lang w:val="en-US"/>
        </w:rPr>
      </w:pPr>
      <w:r w:rsidRPr="00162482">
        <w:rPr>
          <w:lang w:val="en-US"/>
        </w:rPr>
        <w:t xml:space="preserve">All enrolments must be processed in accordance with the </w:t>
      </w:r>
      <w:r w:rsidRPr="00CD100F">
        <w:rPr>
          <w:lang w:val="en-US"/>
        </w:rPr>
        <w:t>Enrolment Policy and its associated enrolment guidelines and procedures</w:t>
      </w:r>
      <w:r w:rsidRPr="00162482">
        <w:rPr>
          <w:lang w:val="en-US"/>
        </w:rPr>
        <w:t>. For enrolments in a Special School or Special Centre the following steps must also be followed</w:t>
      </w:r>
      <w:r>
        <w:rPr>
          <w:lang w:val="en-US"/>
        </w:rPr>
        <w:t>:</w:t>
      </w:r>
    </w:p>
    <w:p w14:paraId="0E62672F" w14:textId="77777777" w:rsidR="00D1086D" w:rsidRPr="00070771" w:rsidRDefault="00D1086D" w:rsidP="00070771">
      <w:pPr>
        <w:pStyle w:val="ListParagraph"/>
        <w:numPr>
          <w:ilvl w:val="0"/>
          <w:numId w:val="42"/>
        </w:numPr>
        <w:ind w:left="851" w:hanging="425"/>
        <w:rPr>
          <w:lang w:val="en-US"/>
        </w:rPr>
      </w:pPr>
      <w:r w:rsidRPr="00070771">
        <w:rPr>
          <w:bCs/>
          <w:lang w:val="en-US"/>
        </w:rPr>
        <w:t>A parent or school initiates a request for enrolment of a student in a Special School or Special Centre. This may be for</w:t>
      </w:r>
      <w:r w:rsidRPr="00070771">
        <w:rPr>
          <w:lang w:val="en-US"/>
        </w:rPr>
        <w:t>:</w:t>
      </w:r>
    </w:p>
    <w:p w14:paraId="701D305E" w14:textId="77777777" w:rsidR="00D1086D" w:rsidRPr="00070771" w:rsidRDefault="00D1086D" w:rsidP="00DB61C7">
      <w:pPr>
        <w:pStyle w:val="ListParagraph"/>
        <w:numPr>
          <w:ilvl w:val="0"/>
          <w:numId w:val="41"/>
        </w:numPr>
        <w:spacing w:after="0"/>
        <w:ind w:left="1276" w:hanging="425"/>
        <w:contextualSpacing/>
        <w:rPr>
          <w:color w:val="000000"/>
        </w:rPr>
      </w:pPr>
      <w:r w:rsidRPr="00070771">
        <w:rPr>
          <w:color w:val="000000"/>
        </w:rPr>
        <w:t>a student who has not previously been enrolled in a Northern Territory Government school</w:t>
      </w:r>
    </w:p>
    <w:p w14:paraId="2AD56C21" w14:textId="77777777" w:rsidR="00D1086D" w:rsidRPr="00070771" w:rsidRDefault="00D1086D" w:rsidP="00DB61C7">
      <w:pPr>
        <w:pStyle w:val="ListParagraph"/>
        <w:numPr>
          <w:ilvl w:val="0"/>
          <w:numId w:val="41"/>
        </w:numPr>
        <w:spacing w:after="0"/>
        <w:ind w:left="1276" w:hanging="425"/>
        <w:contextualSpacing/>
        <w:rPr>
          <w:color w:val="000000"/>
        </w:rPr>
      </w:pPr>
      <w:r w:rsidRPr="00070771">
        <w:rPr>
          <w:color w:val="000000"/>
        </w:rPr>
        <w:t xml:space="preserve">a student who is currently enrolled in a mainstream Northern Territory Government school </w:t>
      </w:r>
    </w:p>
    <w:p w14:paraId="58A1E9B4" w14:textId="77777777" w:rsidR="00D1086D" w:rsidRPr="00070771" w:rsidRDefault="00D1086D" w:rsidP="00DB61C7">
      <w:pPr>
        <w:pStyle w:val="ListParagraph"/>
        <w:numPr>
          <w:ilvl w:val="0"/>
          <w:numId w:val="41"/>
        </w:numPr>
        <w:spacing w:after="0"/>
        <w:ind w:left="1276" w:hanging="425"/>
        <w:contextualSpacing/>
        <w:rPr>
          <w:lang w:val="en-US"/>
        </w:rPr>
      </w:pPr>
      <w:proofErr w:type="gramStart"/>
      <w:r w:rsidRPr="00070771">
        <w:rPr>
          <w:color w:val="000000"/>
        </w:rPr>
        <w:t>a</w:t>
      </w:r>
      <w:proofErr w:type="gramEnd"/>
      <w:r w:rsidRPr="00070771">
        <w:rPr>
          <w:color w:val="000000"/>
        </w:rPr>
        <w:t xml:space="preserve"> student who is already verified</w:t>
      </w:r>
      <w:r w:rsidRPr="00070771">
        <w:rPr>
          <w:lang w:val="en-US"/>
        </w:rPr>
        <w:t xml:space="preserve"> as eligible to </w:t>
      </w:r>
      <w:proofErr w:type="spellStart"/>
      <w:r w:rsidRPr="00070771">
        <w:rPr>
          <w:lang w:val="en-US"/>
        </w:rPr>
        <w:t>enrol</w:t>
      </w:r>
      <w:proofErr w:type="spellEnd"/>
      <w:r w:rsidRPr="00070771">
        <w:rPr>
          <w:lang w:val="en-US"/>
        </w:rPr>
        <w:t xml:space="preserve"> in a Special School or Special Centre.</w:t>
      </w:r>
    </w:p>
    <w:p w14:paraId="568F95AD" w14:textId="77777777" w:rsidR="00D1086D" w:rsidRPr="00070771" w:rsidRDefault="00D1086D" w:rsidP="00070771">
      <w:pPr>
        <w:ind w:left="426"/>
        <w:rPr>
          <w:lang w:val="en-US"/>
        </w:rPr>
      </w:pPr>
    </w:p>
    <w:p w14:paraId="5D6DEE47" w14:textId="77777777" w:rsidR="00D1086D" w:rsidRPr="00162482" w:rsidRDefault="00D1086D" w:rsidP="00070771">
      <w:pPr>
        <w:pStyle w:val="ListParagraph"/>
        <w:numPr>
          <w:ilvl w:val="0"/>
          <w:numId w:val="42"/>
        </w:numPr>
        <w:ind w:left="851" w:hanging="425"/>
        <w:rPr>
          <w:lang w:val="en-US"/>
        </w:rPr>
      </w:pPr>
      <w:r w:rsidRPr="00E8348D">
        <w:rPr>
          <w:lang w:val="en-US"/>
        </w:rPr>
        <w:lastRenderedPageBreak/>
        <w:t>A meeting between the parents and the principal is required to review the student’s diagnostic reports and any other relevant documentation</w:t>
      </w:r>
      <w:r w:rsidRPr="00162482">
        <w:rPr>
          <w:lang w:val="en-US"/>
        </w:rPr>
        <w:t>.</w:t>
      </w:r>
    </w:p>
    <w:p w14:paraId="5D5B113A" w14:textId="77777777" w:rsidR="00D1086D" w:rsidRPr="00070771" w:rsidRDefault="00D1086D" w:rsidP="00DB61C7">
      <w:pPr>
        <w:pStyle w:val="ListParagraph"/>
        <w:numPr>
          <w:ilvl w:val="0"/>
          <w:numId w:val="41"/>
        </w:numPr>
        <w:spacing w:after="0"/>
        <w:ind w:left="1276" w:hanging="425"/>
        <w:contextualSpacing/>
        <w:rPr>
          <w:color w:val="000000"/>
        </w:rPr>
      </w:pPr>
      <w:r w:rsidRPr="00070771">
        <w:rPr>
          <w:color w:val="000000"/>
        </w:rPr>
        <w:t>where it is believed that a Special School or Special Centre is an appropriate educational setting for the student, copies of all documentation are provided to the Special School or Special Centre principal</w:t>
      </w:r>
    </w:p>
    <w:p w14:paraId="09B0CC71" w14:textId="77777777" w:rsidR="00D1086D" w:rsidRPr="00070771" w:rsidRDefault="00D1086D" w:rsidP="00DB61C7">
      <w:pPr>
        <w:pStyle w:val="ListParagraph"/>
        <w:numPr>
          <w:ilvl w:val="0"/>
          <w:numId w:val="41"/>
        </w:numPr>
        <w:spacing w:after="200"/>
        <w:ind w:left="1276" w:hanging="425"/>
        <w:rPr>
          <w:color w:val="000000"/>
        </w:rPr>
      </w:pPr>
      <w:proofErr w:type="gramStart"/>
      <w:r w:rsidRPr="00070771">
        <w:rPr>
          <w:color w:val="000000"/>
        </w:rPr>
        <w:t>where</w:t>
      </w:r>
      <w:proofErr w:type="gramEnd"/>
      <w:r w:rsidRPr="00070771">
        <w:rPr>
          <w:color w:val="000000"/>
        </w:rPr>
        <w:t xml:space="preserve"> the student is transferring between a Special School or Special Centre, it is not necessary to request verification at the enrolling school if a current verification notice is in place.</w:t>
      </w:r>
    </w:p>
    <w:p w14:paraId="5E9FD3E1" w14:textId="77777777" w:rsidR="00D1086D" w:rsidRPr="00070771" w:rsidRDefault="00D1086D" w:rsidP="00070771">
      <w:pPr>
        <w:pStyle w:val="ListParagraph"/>
        <w:numPr>
          <w:ilvl w:val="0"/>
          <w:numId w:val="42"/>
        </w:numPr>
        <w:ind w:left="851" w:hanging="425"/>
        <w:rPr>
          <w:bCs/>
          <w:lang w:val="en-US"/>
        </w:rPr>
      </w:pPr>
      <w:r w:rsidRPr="00070771">
        <w:rPr>
          <w:bCs/>
          <w:lang w:val="en-US"/>
        </w:rPr>
        <w:t>The Special School or Special Centre principal:</w:t>
      </w:r>
    </w:p>
    <w:p w14:paraId="34904DDC" w14:textId="77777777" w:rsidR="00D1086D" w:rsidRPr="00070771" w:rsidRDefault="00D1086D" w:rsidP="00DB61C7">
      <w:pPr>
        <w:pStyle w:val="ListParagraph"/>
        <w:numPr>
          <w:ilvl w:val="0"/>
          <w:numId w:val="41"/>
        </w:numPr>
        <w:spacing w:after="0"/>
        <w:ind w:left="1276" w:hanging="425"/>
        <w:contextualSpacing/>
        <w:rPr>
          <w:color w:val="000000"/>
        </w:rPr>
      </w:pPr>
      <w:r w:rsidRPr="00070771">
        <w:rPr>
          <w:color w:val="000000"/>
        </w:rPr>
        <w:t>may, where a student clearly meets the eligibility criteria outlined in section 4.1, deem the student as eligible and enrol the student in the school (Note: Where the principal makes a decision to enrol a student prior to verification, it must be acknowledged by all parties that the enrolment is temporary until such time as a verification notice is received by the school and/or parents)</w:t>
      </w:r>
    </w:p>
    <w:p w14:paraId="1F07B2B6" w14:textId="77777777" w:rsidR="00D1086D" w:rsidRPr="00070771" w:rsidRDefault="00D1086D" w:rsidP="00DB61C7">
      <w:pPr>
        <w:pStyle w:val="ListParagraph"/>
        <w:numPr>
          <w:ilvl w:val="0"/>
          <w:numId w:val="41"/>
        </w:numPr>
        <w:spacing w:after="0"/>
        <w:ind w:left="1276" w:hanging="425"/>
        <w:contextualSpacing/>
        <w:rPr>
          <w:color w:val="000000"/>
        </w:rPr>
      </w:pPr>
      <w:r w:rsidRPr="00070771">
        <w:rPr>
          <w:color w:val="000000"/>
        </w:rPr>
        <w:t>may choose not to make a determination and forward all documentation to Student Wellbeing and Inclusion for verification</w:t>
      </w:r>
    </w:p>
    <w:p w14:paraId="055FB607" w14:textId="77777777" w:rsidR="00D1086D" w:rsidRPr="00070771" w:rsidRDefault="00D1086D" w:rsidP="00DB61C7">
      <w:pPr>
        <w:pStyle w:val="ListParagraph"/>
        <w:numPr>
          <w:ilvl w:val="0"/>
          <w:numId w:val="41"/>
        </w:numPr>
        <w:spacing w:after="200"/>
        <w:ind w:left="1276" w:hanging="425"/>
        <w:rPr>
          <w:rFonts w:cs="Arial"/>
          <w:lang w:val="en-US"/>
        </w:rPr>
      </w:pPr>
      <w:proofErr w:type="gramStart"/>
      <w:r w:rsidRPr="00070771">
        <w:rPr>
          <w:rFonts w:cs="Arial"/>
          <w:lang w:val="en-US"/>
        </w:rPr>
        <w:t>ensures</w:t>
      </w:r>
      <w:proofErr w:type="gramEnd"/>
      <w:r w:rsidRPr="00070771">
        <w:rPr>
          <w:rFonts w:cs="Arial"/>
          <w:lang w:val="en-US"/>
        </w:rPr>
        <w:t xml:space="preserve"> a </w:t>
      </w:r>
      <w:hyperlink r:id="rId14" w:history="1">
        <w:r w:rsidRPr="00070771">
          <w:rPr>
            <w:rStyle w:val="Hyperlink"/>
            <w:rFonts w:cs="Arial"/>
            <w:bCs/>
            <w:lang w:val="en-US"/>
          </w:rPr>
          <w:t xml:space="preserve">Parent Permission – request for verification to </w:t>
        </w:r>
        <w:proofErr w:type="spellStart"/>
        <w:r w:rsidRPr="00070771">
          <w:rPr>
            <w:rStyle w:val="Hyperlink"/>
            <w:rFonts w:cs="Arial"/>
            <w:bCs/>
            <w:lang w:val="en-US"/>
          </w:rPr>
          <w:t>enrol</w:t>
        </w:r>
        <w:proofErr w:type="spellEnd"/>
        <w:r w:rsidRPr="00070771">
          <w:rPr>
            <w:rStyle w:val="Hyperlink"/>
            <w:rFonts w:cs="Arial"/>
            <w:bCs/>
            <w:lang w:val="en-US"/>
          </w:rPr>
          <w:t xml:space="preserve"> form</w:t>
        </w:r>
      </w:hyperlink>
      <w:r w:rsidRPr="00070771">
        <w:rPr>
          <w:rFonts w:cs="Arial"/>
          <w:lang w:val="en-US"/>
        </w:rPr>
        <w:t xml:space="preserve"> will be completed by the </w:t>
      </w:r>
      <w:r w:rsidRPr="00070771">
        <w:rPr>
          <w:color w:val="000000"/>
        </w:rPr>
        <w:t>parents</w:t>
      </w:r>
      <w:r w:rsidRPr="00070771">
        <w:rPr>
          <w:rFonts w:cs="Arial"/>
          <w:lang w:val="en-US"/>
        </w:rPr>
        <w:t xml:space="preserve"> and the Special School or Special Centre principal and submitted to Student Wellbeing and Inclusion with documentation for verification.</w:t>
      </w:r>
    </w:p>
    <w:p w14:paraId="43D6F014" w14:textId="77777777" w:rsidR="00D87F48" w:rsidRPr="00070771" w:rsidRDefault="00D87F48" w:rsidP="00070771">
      <w:pPr>
        <w:pStyle w:val="ListParagraph"/>
        <w:numPr>
          <w:ilvl w:val="0"/>
          <w:numId w:val="42"/>
        </w:numPr>
        <w:ind w:left="851" w:hanging="425"/>
        <w:rPr>
          <w:bCs/>
          <w:lang w:val="en-US"/>
        </w:rPr>
      </w:pPr>
      <w:r w:rsidRPr="00070771">
        <w:rPr>
          <w:bCs/>
          <w:lang w:val="en-US"/>
        </w:rPr>
        <w:t xml:space="preserve">The Senior School Psychologist will verify the student’s eligibility with the school psychologist against the criteria outlined in section 4.1. </w:t>
      </w:r>
    </w:p>
    <w:p w14:paraId="27C4F853" w14:textId="77777777" w:rsidR="00D87F48" w:rsidRPr="00070771" w:rsidRDefault="00D87F48" w:rsidP="00DB61C7">
      <w:pPr>
        <w:pStyle w:val="ListParagraph"/>
        <w:numPr>
          <w:ilvl w:val="0"/>
          <w:numId w:val="41"/>
        </w:numPr>
        <w:spacing w:after="0"/>
        <w:ind w:left="1276" w:hanging="425"/>
        <w:contextualSpacing/>
        <w:rPr>
          <w:color w:val="000000"/>
        </w:rPr>
      </w:pPr>
      <w:r w:rsidRPr="00070771">
        <w:rPr>
          <w:color w:val="000000"/>
        </w:rPr>
        <w:t>Where a student is verified for a placement or functional placement, the Senior School Psychologist will prepare the relevant Successful Verification Notice for approval by the General Manager Student Wellbeing and Inclusion.</w:t>
      </w:r>
    </w:p>
    <w:p w14:paraId="4A773F73" w14:textId="77777777" w:rsidR="00D87F48" w:rsidRPr="00070771" w:rsidRDefault="00D87F48" w:rsidP="00DB61C7">
      <w:pPr>
        <w:pStyle w:val="ListParagraph"/>
        <w:numPr>
          <w:ilvl w:val="0"/>
          <w:numId w:val="41"/>
        </w:numPr>
        <w:spacing w:after="0"/>
        <w:ind w:left="1276" w:hanging="425"/>
        <w:contextualSpacing/>
        <w:rPr>
          <w:color w:val="000000"/>
        </w:rPr>
      </w:pPr>
      <w:r w:rsidRPr="00070771">
        <w:rPr>
          <w:color w:val="000000"/>
        </w:rPr>
        <w:t>Where a student is found ineligible for a placement or functional placement, the Senior School Psychologist will prepare an Unsuccessful Verification Notice to be signed by the General Manager Student Wellbeing and Inclusion. The notice will include reasons for the decision and recommendations for alternative enrolment and support options.</w:t>
      </w:r>
    </w:p>
    <w:p w14:paraId="5BC9FA90" w14:textId="77777777" w:rsidR="00D87F48" w:rsidRPr="00070771" w:rsidRDefault="00D87F48" w:rsidP="00DB61C7">
      <w:pPr>
        <w:pStyle w:val="ListParagraph"/>
        <w:numPr>
          <w:ilvl w:val="0"/>
          <w:numId w:val="41"/>
        </w:numPr>
        <w:spacing w:after="200"/>
        <w:ind w:left="1276" w:hanging="425"/>
        <w:rPr>
          <w:color w:val="000000"/>
        </w:rPr>
      </w:pPr>
      <w:r w:rsidRPr="00070771">
        <w:rPr>
          <w:color w:val="000000"/>
        </w:rPr>
        <w:t>Where the principal has enrolled the student in a Special School or Special Centre prior to verification and the student is then found ineligible for a placement or functional placement, the Senior School Psychologist will prepare a temporary placement notice for approval by the General Manager Student Wellbeing and Inclusion. A Temporary Placement Notice will allow the student to remain enrolled in the Special School or Special Centre for up to one semester to allow adequate time for transitioning into a mainstream school setting. The student must be enrolled within a mainstream school or classroom setting by the date specified on the notice.</w:t>
      </w:r>
    </w:p>
    <w:p w14:paraId="6E9E53B5" w14:textId="77777777" w:rsidR="00D87F48" w:rsidRPr="00162482" w:rsidRDefault="00D87F48" w:rsidP="00070771">
      <w:pPr>
        <w:ind w:left="426"/>
        <w:rPr>
          <w:lang w:val="en-US"/>
        </w:rPr>
      </w:pPr>
      <w:r w:rsidRPr="00162482">
        <w:rPr>
          <w:lang w:val="en-US"/>
        </w:rPr>
        <w:t xml:space="preserve">In some cases, particularly where a functional placement is being verified, a student may need to be placed in their local school until the verification process is complete. </w:t>
      </w:r>
    </w:p>
    <w:p w14:paraId="2CD0B355" w14:textId="77777777" w:rsidR="00070771" w:rsidRDefault="00070771">
      <w:pPr>
        <w:rPr>
          <w:rFonts w:eastAsiaTheme="minorEastAsia"/>
          <w:lang w:val="en-US"/>
        </w:rPr>
      </w:pPr>
      <w:r>
        <w:rPr>
          <w:iCs/>
          <w:lang w:val="en-US"/>
        </w:rPr>
        <w:br w:type="page"/>
      </w:r>
    </w:p>
    <w:p w14:paraId="4AFE2816" w14:textId="2B8873D6" w:rsidR="00071064" w:rsidRPr="00070771" w:rsidRDefault="00071064" w:rsidP="00070771">
      <w:pPr>
        <w:pStyle w:val="ListParagraph"/>
        <w:numPr>
          <w:ilvl w:val="0"/>
          <w:numId w:val="42"/>
        </w:numPr>
        <w:ind w:left="851" w:hanging="425"/>
        <w:rPr>
          <w:bCs/>
          <w:lang w:val="en-US"/>
        </w:rPr>
      </w:pPr>
      <w:r w:rsidRPr="00070771">
        <w:rPr>
          <w:iCs w:val="0"/>
          <w:lang w:val="en-US"/>
        </w:rPr>
        <w:lastRenderedPageBreak/>
        <w:t>The General Manager Student Wellbeing and Inclusion will approve and sign off on the relevant notice based on the Senior School Psychologist’s recommendation</w:t>
      </w:r>
      <w:r w:rsidRPr="00070771">
        <w:rPr>
          <w:bCs/>
          <w:lang w:val="en-US"/>
        </w:rPr>
        <w:t>.</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513"/>
      </w:tblGrid>
      <w:tr w:rsidR="00071064" w:rsidRPr="00070771" w14:paraId="520A83E5" w14:textId="77777777" w:rsidTr="00070771">
        <w:tc>
          <w:tcPr>
            <w:tcW w:w="2409" w:type="dxa"/>
            <w:shd w:val="clear" w:color="auto" w:fill="C4C4EC" w:themeFill="text1" w:themeFillTint="33"/>
          </w:tcPr>
          <w:p w14:paraId="32589928" w14:textId="77777777" w:rsidR="00071064" w:rsidRPr="00070771" w:rsidRDefault="00071064" w:rsidP="00071064">
            <w:pPr>
              <w:spacing w:before="120" w:after="120"/>
              <w:rPr>
                <w:b/>
                <w:lang w:val="en-US"/>
              </w:rPr>
            </w:pPr>
            <w:r w:rsidRPr="00070771">
              <w:rPr>
                <w:b/>
                <w:lang w:val="en-US"/>
              </w:rPr>
              <w:t>Recommendation</w:t>
            </w:r>
          </w:p>
        </w:tc>
        <w:tc>
          <w:tcPr>
            <w:tcW w:w="7513" w:type="dxa"/>
            <w:shd w:val="clear" w:color="auto" w:fill="C4C4EC" w:themeFill="text1" w:themeFillTint="33"/>
          </w:tcPr>
          <w:p w14:paraId="0BF85CBD" w14:textId="77777777" w:rsidR="00071064" w:rsidRPr="00070771" w:rsidRDefault="00071064" w:rsidP="00071064">
            <w:pPr>
              <w:spacing w:before="120" w:after="120"/>
              <w:rPr>
                <w:b/>
                <w:lang w:val="en-US"/>
              </w:rPr>
            </w:pPr>
            <w:r w:rsidRPr="00070771">
              <w:rPr>
                <w:b/>
                <w:lang w:val="en-US"/>
              </w:rPr>
              <w:t>Documentation</w:t>
            </w:r>
          </w:p>
        </w:tc>
      </w:tr>
      <w:tr w:rsidR="00071064" w:rsidRPr="00162482" w14:paraId="5E0C0E7D" w14:textId="77777777" w:rsidTr="00070771">
        <w:tc>
          <w:tcPr>
            <w:tcW w:w="2409" w:type="dxa"/>
            <w:shd w:val="clear" w:color="auto" w:fill="auto"/>
          </w:tcPr>
          <w:p w14:paraId="7872BBBC" w14:textId="77777777" w:rsidR="00071064" w:rsidRPr="00162482" w:rsidRDefault="00071064" w:rsidP="00071064">
            <w:pPr>
              <w:spacing w:before="120" w:after="120"/>
              <w:rPr>
                <w:lang w:val="en-US"/>
              </w:rPr>
            </w:pPr>
            <w:r w:rsidRPr="00162482">
              <w:rPr>
                <w:lang w:val="en-US"/>
              </w:rPr>
              <w:t>Placement approved</w:t>
            </w:r>
          </w:p>
        </w:tc>
        <w:tc>
          <w:tcPr>
            <w:tcW w:w="7513" w:type="dxa"/>
            <w:shd w:val="clear" w:color="auto" w:fill="auto"/>
          </w:tcPr>
          <w:p w14:paraId="64990971" w14:textId="77777777" w:rsidR="00071064" w:rsidRPr="00162482" w:rsidRDefault="00071064" w:rsidP="00071064">
            <w:pPr>
              <w:spacing w:before="120" w:after="120"/>
              <w:rPr>
                <w:lang w:val="en-US"/>
              </w:rPr>
            </w:pPr>
            <w:r w:rsidRPr="00162482">
              <w:rPr>
                <w:lang w:val="en-US"/>
              </w:rPr>
              <w:t xml:space="preserve">Successful Verification Notice – Special School or Centre Placement </w:t>
            </w:r>
          </w:p>
        </w:tc>
      </w:tr>
      <w:tr w:rsidR="00071064" w:rsidRPr="00162482" w14:paraId="549222AD" w14:textId="77777777" w:rsidTr="00070771">
        <w:tc>
          <w:tcPr>
            <w:tcW w:w="2409" w:type="dxa"/>
            <w:shd w:val="clear" w:color="auto" w:fill="auto"/>
          </w:tcPr>
          <w:p w14:paraId="0F94B478" w14:textId="77777777" w:rsidR="00071064" w:rsidRPr="00162482" w:rsidRDefault="00071064" w:rsidP="00071064">
            <w:pPr>
              <w:spacing w:before="120" w:after="120"/>
              <w:rPr>
                <w:lang w:val="en-US"/>
              </w:rPr>
            </w:pPr>
            <w:r w:rsidRPr="00162482">
              <w:rPr>
                <w:lang w:val="en-US"/>
              </w:rPr>
              <w:t>Functional placement approved</w:t>
            </w:r>
          </w:p>
        </w:tc>
        <w:tc>
          <w:tcPr>
            <w:tcW w:w="7513" w:type="dxa"/>
            <w:shd w:val="clear" w:color="auto" w:fill="auto"/>
          </w:tcPr>
          <w:p w14:paraId="56DC1804" w14:textId="77777777" w:rsidR="00071064" w:rsidRPr="00162482" w:rsidRDefault="00071064" w:rsidP="00071064">
            <w:pPr>
              <w:spacing w:before="120" w:after="120"/>
              <w:rPr>
                <w:lang w:val="en-US"/>
              </w:rPr>
            </w:pPr>
            <w:r w:rsidRPr="00162482">
              <w:rPr>
                <w:lang w:val="en-US"/>
              </w:rPr>
              <w:t xml:space="preserve">Successful Verification Notice – Special School or Centre Functional Placement </w:t>
            </w:r>
          </w:p>
        </w:tc>
      </w:tr>
      <w:tr w:rsidR="00071064" w:rsidRPr="00162482" w14:paraId="17B4147F" w14:textId="77777777" w:rsidTr="00070771">
        <w:tc>
          <w:tcPr>
            <w:tcW w:w="2409" w:type="dxa"/>
            <w:shd w:val="clear" w:color="auto" w:fill="auto"/>
          </w:tcPr>
          <w:p w14:paraId="05491CCB" w14:textId="77777777" w:rsidR="00071064" w:rsidRPr="00162482" w:rsidRDefault="00071064" w:rsidP="00071064">
            <w:pPr>
              <w:spacing w:before="120" w:after="120"/>
              <w:rPr>
                <w:lang w:val="en-US"/>
              </w:rPr>
            </w:pPr>
            <w:r w:rsidRPr="00162482">
              <w:rPr>
                <w:lang w:val="en-US"/>
              </w:rPr>
              <w:t>Placement not approved</w:t>
            </w:r>
          </w:p>
        </w:tc>
        <w:tc>
          <w:tcPr>
            <w:tcW w:w="7513" w:type="dxa"/>
            <w:shd w:val="clear" w:color="auto" w:fill="auto"/>
          </w:tcPr>
          <w:p w14:paraId="60E25855" w14:textId="77777777" w:rsidR="00071064" w:rsidRPr="00162482" w:rsidRDefault="00071064" w:rsidP="00071064">
            <w:pPr>
              <w:spacing w:before="120" w:after="120"/>
              <w:rPr>
                <w:lang w:val="en-US"/>
              </w:rPr>
            </w:pPr>
            <w:r w:rsidRPr="00162482">
              <w:rPr>
                <w:lang w:val="en-US"/>
              </w:rPr>
              <w:t xml:space="preserve">Unsuccessful Verification Notice </w:t>
            </w:r>
          </w:p>
          <w:p w14:paraId="6663A4BF" w14:textId="77777777" w:rsidR="00071064" w:rsidRPr="00162482" w:rsidRDefault="00071064" w:rsidP="00071064">
            <w:pPr>
              <w:spacing w:before="120" w:after="120"/>
              <w:rPr>
                <w:lang w:val="en-US"/>
              </w:rPr>
            </w:pPr>
            <w:r w:rsidRPr="00162482">
              <w:rPr>
                <w:lang w:val="en-US"/>
              </w:rPr>
              <w:t>(must include reasons for decision and recommendations for alternative enrolment and support options)</w:t>
            </w:r>
          </w:p>
        </w:tc>
      </w:tr>
      <w:tr w:rsidR="00071064" w:rsidRPr="00162482" w14:paraId="0B7AF969" w14:textId="77777777" w:rsidTr="00070771">
        <w:tc>
          <w:tcPr>
            <w:tcW w:w="2409" w:type="dxa"/>
            <w:shd w:val="clear" w:color="auto" w:fill="auto"/>
          </w:tcPr>
          <w:p w14:paraId="72830F32" w14:textId="77777777" w:rsidR="00071064" w:rsidRPr="00162482" w:rsidRDefault="00071064" w:rsidP="00071064">
            <w:pPr>
              <w:spacing w:before="120" w:after="120"/>
              <w:rPr>
                <w:lang w:val="en-US"/>
              </w:rPr>
            </w:pPr>
            <w:r w:rsidRPr="00162482">
              <w:rPr>
                <w:lang w:val="en-US"/>
              </w:rPr>
              <w:t xml:space="preserve">Temporary placement </w:t>
            </w:r>
          </w:p>
          <w:p w14:paraId="28EAE0CF" w14:textId="77777777" w:rsidR="00071064" w:rsidRPr="00162482" w:rsidRDefault="00071064" w:rsidP="00071064">
            <w:pPr>
              <w:spacing w:before="120" w:after="120"/>
              <w:rPr>
                <w:lang w:val="en-US"/>
              </w:rPr>
            </w:pPr>
          </w:p>
        </w:tc>
        <w:tc>
          <w:tcPr>
            <w:tcW w:w="7513" w:type="dxa"/>
            <w:shd w:val="clear" w:color="auto" w:fill="auto"/>
          </w:tcPr>
          <w:p w14:paraId="55BF318D" w14:textId="77777777" w:rsidR="00071064" w:rsidRPr="00162482" w:rsidRDefault="00071064" w:rsidP="00071064">
            <w:pPr>
              <w:spacing w:before="120" w:after="120"/>
              <w:rPr>
                <w:lang w:val="en-US"/>
              </w:rPr>
            </w:pPr>
            <w:r w:rsidRPr="00162482">
              <w:rPr>
                <w:lang w:val="en-US"/>
              </w:rPr>
              <w:t xml:space="preserve">Temporary Placement Notice </w:t>
            </w:r>
          </w:p>
          <w:p w14:paraId="22DCCB96" w14:textId="77777777" w:rsidR="00071064" w:rsidRPr="00162482" w:rsidRDefault="00071064" w:rsidP="00071064">
            <w:pPr>
              <w:spacing w:before="120" w:after="120"/>
              <w:rPr>
                <w:lang w:val="en-US"/>
              </w:rPr>
            </w:pPr>
            <w:r w:rsidRPr="00162482">
              <w:rPr>
                <w:lang w:val="en-US"/>
              </w:rPr>
              <w:t>(must specify date by which the student must be transferred to a mainstream school or classroom)</w:t>
            </w:r>
          </w:p>
        </w:tc>
      </w:tr>
    </w:tbl>
    <w:p w14:paraId="07BEE24D" w14:textId="77777777" w:rsidR="00071064" w:rsidRDefault="00071064" w:rsidP="00071064">
      <w:pPr>
        <w:spacing w:after="0"/>
        <w:rPr>
          <w:rFonts w:cs="Arial"/>
          <w:bCs/>
          <w:sz w:val="24"/>
          <w:lang w:val="en-US"/>
        </w:rPr>
      </w:pPr>
    </w:p>
    <w:p w14:paraId="40FC5D71" w14:textId="6EC9D40E" w:rsidR="00071064" w:rsidRPr="00DB61C7" w:rsidRDefault="00071064" w:rsidP="00070771">
      <w:pPr>
        <w:ind w:left="426"/>
        <w:rPr>
          <w:rFonts w:cs="Arial"/>
          <w:bCs/>
          <w:lang w:val="en-US"/>
        </w:rPr>
      </w:pPr>
      <w:r w:rsidRPr="00DB61C7">
        <w:rPr>
          <w:rFonts w:cs="Arial"/>
          <w:bCs/>
          <w:lang w:val="en-US"/>
        </w:rPr>
        <w:t xml:space="preserve">Copies </w:t>
      </w:r>
      <w:r w:rsidRPr="00DB61C7">
        <w:rPr>
          <w:lang w:val="en-US"/>
        </w:rPr>
        <w:t>of</w:t>
      </w:r>
      <w:r w:rsidRPr="00DB61C7">
        <w:rPr>
          <w:rFonts w:cs="Arial"/>
          <w:bCs/>
          <w:lang w:val="en-US"/>
        </w:rPr>
        <w:t xml:space="preserve"> the relevant signed notice will be forwarded to the relevant stakeholders as appropriate, e.g. </w:t>
      </w:r>
      <w:r w:rsidRPr="00DB61C7">
        <w:rPr>
          <w:iCs/>
          <w:lang w:val="en-US"/>
        </w:rPr>
        <w:t>principal</w:t>
      </w:r>
      <w:r w:rsidRPr="00DB61C7">
        <w:rPr>
          <w:rFonts w:cs="Arial"/>
          <w:bCs/>
          <w:lang w:val="en-US"/>
        </w:rPr>
        <w:t xml:space="preserve">, parents, </w:t>
      </w:r>
      <w:r w:rsidR="00DB61C7" w:rsidRPr="00DB61C7">
        <w:rPr>
          <w:rFonts w:cs="Arial"/>
          <w:bCs/>
          <w:lang w:val="en-US"/>
        </w:rPr>
        <w:t>and education</w:t>
      </w:r>
      <w:r w:rsidRPr="00DB61C7">
        <w:rPr>
          <w:rFonts w:cs="Arial"/>
          <w:bCs/>
          <w:lang w:val="en-US"/>
        </w:rPr>
        <w:t xml:space="preserve"> advisors. </w:t>
      </w:r>
    </w:p>
    <w:p w14:paraId="2C999E1B" w14:textId="77777777" w:rsidR="00071064" w:rsidRPr="00DB61C7" w:rsidRDefault="00071064" w:rsidP="00070771">
      <w:pPr>
        <w:pStyle w:val="ListParagraph"/>
        <w:numPr>
          <w:ilvl w:val="0"/>
          <w:numId w:val="42"/>
        </w:numPr>
        <w:ind w:left="851" w:hanging="425"/>
        <w:rPr>
          <w:rFonts w:cs="Arial"/>
          <w:bCs/>
          <w:lang w:val="en-US"/>
        </w:rPr>
      </w:pPr>
      <w:r w:rsidRPr="00DB61C7">
        <w:rPr>
          <w:rFonts w:cs="Arial"/>
          <w:bCs/>
          <w:lang w:val="en-US"/>
        </w:rPr>
        <w:t>Enrolment is to take place in accordance with the documentation issued by General Manager Student Wellbeing and Inclusion.</w:t>
      </w:r>
    </w:p>
    <w:p w14:paraId="1C53346C" w14:textId="77777777" w:rsidR="00071064" w:rsidRPr="00DB61C7" w:rsidRDefault="00071064" w:rsidP="00070771">
      <w:pPr>
        <w:pStyle w:val="ListParagraph"/>
        <w:numPr>
          <w:ilvl w:val="0"/>
          <w:numId w:val="42"/>
        </w:numPr>
        <w:ind w:left="851" w:hanging="425"/>
        <w:rPr>
          <w:rFonts w:cs="Arial"/>
          <w:bCs/>
          <w:lang w:val="en-US"/>
        </w:rPr>
      </w:pPr>
      <w:r w:rsidRPr="00DB61C7">
        <w:rPr>
          <w:rFonts w:cs="Arial"/>
          <w:bCs/>
          <w:lang w:val="en-US"/>
        </w:rPr>
        <w:t>The Senior Manager Inclusive Practice to ensure that all records are placed in TRM and the student details are entered into SSID.</w:t>
      </w:r>
    </w:p>
    <w:p w14:paraId="3F0ED911" w14:textId="77777777" w:rsidR="00732C9E" w:rsidRPr="00DB61C7" w:rsidRDefault="00071064" w:rsidP="00070771">
      <w:pPr>
        <w:ind w:left="426"/>
        <w:rPr>
          <w:lang w:val="en-US"/>
        </w:rPr>
      </w:pPr>
      <w:r w:rsidRPr="00DB61C7">
        <w:rPr>
          <w:lang w:val="en-US"/>
        </w:rPr>
        <w:t xml:space="preserve">Where a student has been deemed ineligible for a placement, the student may receive support from a Special Education Teacher, Special Education Assistant and/or </w:t>
      </w:r>
      <w:proofErr w:type="spellStart"/>
      <w:r w:rsidRPr="00DB61C7">
        <w:rPr>
          <w:lang w:val="en-US"/>
        </w:rPr>
        <w:t>specialised</w:t>
      </w:r>
      <w:proofErr w:type="spellEnd"/>
      <w:r w:rsidRPr="00DB61C7">
        <w:rPr>
          <w:lang w:val="en-US"/>
        </w:rPr>
        <w:t xml:space="preserve"> programs. </w:t>
      </w:r>
    </w:p>
    <w:p w14:paraId="37AA461B" w14:textId="77777777" w:rsidR="00071064" w:rsidRPr="00DB61C7" w:rsidRDefault="00071064" w:rsidP="00070771">
      <w:pPr>
        <w:ind w:left="426"/>
        <w:rPr>
          <w:lang w:val="en-US"/>
        </w:rPr>
      </w:pPr>
      <w:r w:rsidRPr="00DB61C7">
        <w:rPr>
          <w:lang w:val="en-US"/>
        </w:rPr>
        <w:t xml:space="preserve">A workflow diagram for the Enrolment Process for Special Schools and Special </w:t>
      </w:r>
      <w:proofErr w:type="spellStart"/>
      <w:r w:rsidRPr="00DB61C7">
        <w:rPr>
          <w:lang w:val="en-US"/>
        </w:rPr>
        <w:t>Centres</w:t>
      </w:r>
      <w:proofErr w:type="spellEnd"/>
      <w:r w:rsidRPr="00DB61C7">
        <w:rPr>
          <w:lang w:val="en-US"/>
        </w:rPr>
        <w:t xml:space="preserve"> is provided in Appendix B. </w:t>
      </w:r>
    </w:p>
    <w:p w14:paraId="1A5046FD" w14:textId="6457953E" w:rsidR="00071064" w:rsidRPr="00162482" w:rsidRDefault="00070771" w:rsidP="00070771">
      <w:pPr>
        <w:pStyle w:val="Heading1"/>
        <w:numPr>
          <w:ilvl w:val="0"/>
          <w:numId w:val="9"/>
        </w:numPr>
        <w:spacing w:before="360"/>
        <w:ind w:left="425" w:hanging="425"/>
        <w:rPr>
          <w:noProof/>
          <w:lang w:eastAsia="en-AU"/>
        </w:rPr>
      </w:pPr>
      <w:r>
        <w:rPr>
          <w:noProof/>
          <w:lang w:eastAsia="en-AU"/>
        </w:rPr>
        <w:t>D</w:t>
      </w:r>
      <w:r w:rsidR="00071064" w:rsidRPr="00162482">
        <w:rPr>
          <w:noProof/>
          <w:lang w:eastAsia="en-AU"/>
        </w:rPr>
        <w:t>iagnostic assessments</w:t>
      </w:r>
      <w:r>
        <w:rPr>
          <w:noProof/>
          <w:lang w:eastAsia="en-AU"/>
        </w:rPr>
        <w:t xml:space="preserve"> review</w:t>
      </w:r>
    </w:p>
    <w:p w14:paraId="14C00ED6" w14:textId="7515AE42" w:rsidR="00071064" w:rsidRPr="00070771" w:rsidRDefault="00071064" w:rsidP="00070771">
      <w:pPr>
        <w:ind w:left="426"/>
        <w:rPr>
          <w:lang w:val="en-US"/>
        </w:rPr>
      </w:pPr>
      <w:r w:rsidRPr="00070771">
        <w:rPr>
          <w:lang w:val="en-US"/>
        </w:rPr>
        <w:t>Student diagnostic assessments should be reviewed and updated at key transition points:</w:t>
      </w:r>
    </w:p>
    <w:p w14:paraId="2705E0B1" w14:textId="77777777" w:rsidR="00071064" w:rsidRPr="00070771" w:rsidRDefault="00071064" w:rsidP="00070771">
      <w:pPr>
        <w:pStyle w:val="ListParagraph"/>
        <w:numPr>
          <w:ilvl w:val="0"/>
          <w:numId w:val="41"/>
        </w:numPr>
        <w:spacing w:after="0"/>
        <w:ind w:left="851" w:hanging="425"/>
        <w:contextualSpacing/>
        <w:rPr>
          <w:color w:val="000000"/>
        </w:rPr>
      </w:pPr>
      <w:r w:rsidRPr="00070771">
        <w:rPr>
          <w:color w:val="000000"/>
        </w:rPr>
        <w:t xml:space="preserve">primary to middle school </w:t>
      </w:r>
    </w:p>
    <w:p w14:paraId="27899B94" w14:textId="77777777" w:rsidR="00071064" w:rsidRPr="00070771" w:rsidRDefault="00071064" w:rsidP="00070771">
      <w:pPr>
        <w:pStyle w:val="ListParagraph"/>
        <w:numPr>
          <w:ilvl w:val="0"/>
          <w:numId w:val="41"/>
        </w:numPr>
        <w:spacing w:after="200"/>
        <w:ind w:left="850" w:hanging="425"/>
        <w:rPr>
          <w:color w:val="000000"/>
        </w:rPr>
      </w:pPr>
      <w:proofErr w:type="gramStart"/>
      <w:r w:rsidRPr="00070771">
        <w:rPr>
          <w:color w:val="000000"/>
        </w:rPr>
        <w:t>middle</w:t>
      </w:r>
      <w:proofErr w:type="gramEnd"/>
      <w:r w:rsidRPr="00070771">
        <w:rPr>
          <w:color w:val="000000"/>
        </w:rPr>
        <w:t xml:space="preserve"> school to senior secondary.</w:t>
      </w:r>
    </w:p>
    <w:p w14:paraId="652235DC" w14:textId="77777777" w:rsidR="00071064" w:rsidRPr="00070771" w:rsidRDefault="00071064" w:rsidP="00070771">
      <w:pPr>
        <w:ind w:left="426"/>
        <w:rPr>
          <w:lang w:val="en-US"/>
        </w:rPr>
      </w:pPr>
      <w:r w:rsidRPr="00070771">
        <w:rPr>
          <w:lang w:val="en-US"/>
        </w:rPr>
        <w:t>The school psychologist will ensure that psychological assessments are current.</w:t>
      </w:r>
    </w:p>
    <w:p w14:paraId="6C79227E" w14:textId="77777777" w:rsidR="00071064" w:rsidRPr="00070771" w:rsidRDefault="00071064" w:rsidP="00070771">
      <w:pPr>
        <w:ind w:left="426"/>
        <w:rPr>
          <w:lang w:val="en-US"/>
        </w:rPr>
      </w:pPr>
      <w:r w:rsidRPr="00070771">
        <w:rPr>
          <w:lang w:val="en-US"/>
        </w:rPr>
        <w:t>Principals and Student Wellbeing and Inclusion staff will support assessments at key transition points.</w:t>
      </w:r>
    </w:p>
    <w:p w14:paraId="76FF3365" w14:textId="77777777" w:rsidR="00070771" w:rsidRDefault="00070771">
      <w:pPr>
        <w:rPr>
          <w:rFonts w:ascii="Lato Semibold" w:eastAsia="Times New Roman" w:hAnsi="Lato Semibold"/>
          <w:noProof/>
          <w:color w:val="1F1F5F"/>
          <w:kern w:val="32"/>
          <w:sz w:val="36"/>
          <w:szCs w:val="32"/>
          <w:lang w:eastAsia="en-AU"/>
        </w:rPr>
      </w:pPr>
      <w:r>
        <w:rPr>
          <w:noProof/>
          <w:lang w:eastAsia="en-AU"/>
        </w:rPr>
        <w:br w:type="page"/>
      </w:r>
    </w:p>
    <w:p w14:paraId="7E2D395A" w14:textId="23C9278E" w:rsidR="00071064" w:rsidRPr="00162482" w:rsidRDefault="00071064" w:rsidP="00070771">
      <w:pPr>
        <w:pStyle w:val="Heading1"/>
        <w:numPr>
          <w:ilvl w:val="0"/>
          <w:numId w:val="9"/>
        </w:numPr>
        <w:spacing w:before="360"/>
        <w:ind w:left="425" w:hanging="425"/>
        <w:rPr>
          <w:noProof/>
          <w:lang w:eastAsia="en-AU"/>
        </w:rPr>
      </w:pPr>
      <w:r w:rsidRPr="00162482">
        <w:rPr>
          <w:noProof/>
          <w:lang w:eastAsia="en-AU"/>
        </w:rPr>
        <w:lastRenderedPageBreak/>
        <w:t>Functional placement review</w:t>
      </w:r>
    </w:p>
    <w:p w14:paraId="27FE1C05" w14:textId="77777777" w:rsidR="00071064" w:rsidRPr="00162482" w:rsidRDefault="00071064" w:rsidP="00070771">
      <w:pPr>
        <w:ind w:left="426"/>
        <w:rPr>
          <w:lang w:val="en-US"/>
        </w:rPr>
      </w:pPr>
      <w:r w:rsidRPr="00162482">
        <w:rPr>
          <w:lang w:val="en-US"/>
        </w:rPr>
        <w:t xml:space="preserve">Functional placements in Special Schools and Special </w:t>
      </w:r>
      <w:proofErr w:type="spellStart"/>
      <w:r w:rsidRPr="00162482">
        <w:rPr>
          <w:lang w:val="en-US"/>
        </w:rPr>
        <w:t>Centres</w:t>
      </w:r>
      <w:proofErr w:type="spellEnd"/>
      <w:r w:rsidRPr="00162482">
        <w:rPr>
          <w:lang w:val="en-US"/>
        </w:rPr>
        <w:t xml:space="preserve"> are required to be reviewed by the date specified in the Successful Verification Notice. The review is to determine if the functional placement is to continue or if the student will begin the transition into a mainstream classroom setting. The school will need to provide a </w:t>
      </w:r>
      <w:hyperlink r:id="rId15" w:history="1">
        <w:r w:rsidRPr="00162482">
          <w:rPr>
            <w:rStyle w:val="Hyperlink"/>
            <w:rFonts w:cs="Arial"/>
            <w:bCs/>
            <w:sz w:val="24"/>
            <w:lang w:val="en-US"/>
          </w:rPr>
          <w:t>Summary Report Functional Placement Review</w:t>
        </w:r>
      </w:hyperlink>
      <w:r w:rsidRPr="00162482">
        <w:rPr>
          <w:lang w:val="en-US"/>
        </w:rPr>
        <w:t xml:space="preserve"> that incorporates the following information:</w:t>
      </w:r>
    </w:p>
    <w:p w14:paraId="5A85BC10"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reasons and evidence for functional placement</w:t>
      </w:r>
    </w:p>
    <w:p w14:paraId="578CA041"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any updated diagnosis assessments and additional reports</w:t>
      </w:r>
    </w:p>
    <w:p w14:paraId="48ECD3C6"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 xml:space="preserve">adaptive assessment </w:t>
      </w:r>
      <w:proofErr w:type="spellStart"/>
      <w:r w:rsidRPr="00070771">
        <w:rPr>
          <w:color w:val="000000"/>
        </w:rPr>
        <w:t>behavior</w:t>
      </w:r>
      <w:proofErr w:type="spellEnd"/>
    </w:p>
    <w:p w14:paraId="40853DED"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synopsis of student history/background information</w:t>
      </w:r>
    </w:p>
    <w:p w14:paraId="52A5959F"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information pertaining to adjustments in current Educational Adjustment Plan that allow access to and participation in the curriculum</w:t>
      </w:r>
    </w:p>
    <w:p w14:paraId="3569DD83" w14:textId="43123F65" w:rsidR="00071064" w:rsidRPr="00070771" w:rsidRDefault="00070771" w:rsidP="00070771">
      <w:pPr>
        <w:pStyle w:val="ListParagraph"/>
        <w:numPr>
          <w:ilvl w:val="0"/>
          <w:numId w:val="41"/>
        </w:numPr>
        <w:spacing w:after="200"/>
        <w:ind w:left="850" w:hanging="425"/>
        <w:contextualSpacing/>
        <w:rPr>
          <w:color w:val="000000"/>
        </w:rPr>
      </w:pPr>
      <w:r>
        <w:rPr>
          <w:color w:val="000000"/>
        </w:rPr>
        <w:t>history and</w:t>
      </w:r>
      <w:r w:rsidR="00071064" w:rsidRPr="00070771">
        <w:rPr>
          <w:color w:val="000000"/>
        </w:rPr>
        <w:t xml:space="preserve"> analysis of previous adjustments</w:t>
      </w:r>
    </w:p>
    <w:p w14:paraId="3963C1E2"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history of advice and support from multidisciplinary professionals</w:t>
      </w:r>
    </w:p>
    <w:p w14:paraId="4311C608"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information pertaining to student’s ability to socialise</w:t>
      </w:r>
    </w:p>
    <w:p w14:paraId="1BE6ECF6" w14:textId="77777777" w:rsidR="00071064" w:rsidRPr="00070771" w:rsidRDefault="00071064" w:rsidP="00070771">
      <w:pPr>
        <w:pStyle w:val="ListParagraph"/>
        <w:numPr>
          <w:ilvl w:val="0"/>
          <w:numId w:val="41"/>
        </w:numPr>
        <w:spacing w:after="200"/>
        <w:ind w:left="850" w:hanging="425"/>
        <w:rPr>
          <w:lang w:val="en-US"/>
        </w:rPr>
      </w:pPr>
      <w:proofErr w:type="gramStart"/>
      <w:r w:rsidRPr="00070771">
        <w:rPr>
          <w:lang w:val="en-US"/>
        </w:rPr>
        <w:t>evidence</w:t>
      </w:r>
      <w:proofErr w:type="gramEnd"/>
      <w:r w:rsidRPr="00070771">
        <w:rPr>
          <w:lang w:val="en-US"/>
        </w:rPr>
        <w:t xml:space="preserve"> of </w:t>
      </w:r>
      <w:r w:rsidRPr="00070771">
        <w:rPr>
          <w:color w:val="000000"/>
        </w:rPr>
        <w:t>meeting</w:t>
      </w:r>
      <w:r w:rsidRPr="00070771">
        <w:rPr>
          <w:lang w:val="en-US"/>
        </w:rPr>
        <w:t xml:space="preserve"> to </w:t>
      </w:r>
      <w:hyperlink r:id="rId16" w:history="1">
        <w:r w:rsidRPr="00070771">
          <w:rPr>
            <w:rStyle w:val="Hyperlink"/>
            <w:lang w:val="en-US"/>
          </w:rPr>
          <w:t>obtain informed consent</w:t>
        </w:r>
      </w:hyperlink>
      <w:r w:rsidRPr="00070771">
        <w:rPr>
          <w:lang w:val="en-US"/>
        </w:rPr>
        <w:t xml:space="preserve"> with parent.</w:t>
      </w:r>
    </w:p>
    <w:p w14:paraId="051D5ADC" w14:textId="77777777" w:rsidR="00071064" w:rsidRPr="00162482" w:rsidRDefault="00071064" w:rsidP="00070771">
      <w:pPr>
        <w:ind w:left="426"/>
        <w:rPr>
          <w:lang w:val="en-US"/>
        </w:rPr>
      </w:pPr>
      <w:r w:rsidRPr="00162482">
        <w:rPr>
          <w:lang w:val="en-US"/>
        </w:rPr>
        <w:t>The principal is responsible for maintaining a schedule of reviews and initiating the review process for each student.</w:t>
      </w:r>
    </w:p>
    <w:p w14:paraId="523353F5" w14:textId="439D698A" w:rsidR="00071064" w:rsidRPr="00162482" w:rsidRDefault="00071064" w:rsidP="00070771">
      <w:pPr>
        <w:ind w:left="426"/>
        <w:rPr>
          <w:lang w:val="en-US"/>
        </w:rPr>
      </w:pPr>
      <w:r w:rsidRPr="00162482">
        <w:rPr>
          <w:lang w:val="en-US"/>
        </w:rPr>
        <w:t xml:space="preserve">Each review is undertaken in consultation with the parents, principal, relevant </w:t>
      </w:r>
      <w:r>
        <w:rPr>
          <w:lang w:val="en-US"/>
        </w:rPr>
        <w:t xml:space="preserve">Student Wellbeing and Inclusion </w:t>
      </w:r>
      <w:r w:rsidRPr="00162482">
        <w:rPr>
          <w:lang w:val="en-US"/>
        </w:rPr>
        <w:t xml:space="preserve">advisor, </w:t>
      </w:r>
      <w:r>
        <w:rPr>
          <w:lang w:val="en-US"/>
        </w:rPr>
        <w:t>S</w:t>
      </w:r>
      <w:r w:rsidRPr="00162482">
        <w:rPr>
          <w:lang w:val="en-US"/>
        </w:rPr>
        <w:t xml:space="preserve">chool </w:t>
      </w:r>
      <w:r>
        <w:rPr>
          <w:lang w:val="en-US"/>
        </w:rPr>
        <w:t>P</w:t>
      </w:r>
      <w:r w:rsidRPr="00162482">
        <w:rPr>
          <w:lang w:val="en-US"/>
        </w:rPr>
        <w:t xml:space="preserve">sychologist and </w:t>
      </w:r>
      <w:r>
        <w:rPr>
          <w:lang w:val="en-US"/>
        </w:rPr>
        <w:t>Senior School Psychologist</w:t>
      </w:r>
      <w:r w:rsidRPr="00162482">
        <w:rPr>
          <w:lang w:val="en-US"/>
        </w:rPr>
        <w:t xml:space="preserve">. Recommendations will be outlined in a new verification notice prepared by the </w:t>
      </w:r>
      <w:r>
        <w:rPr>
          <w:lang w:val="en-US"/>
        </w:rPr>
        <w:t>Senior School Psychologist</w:t>
      </w:r>
      <w:r w:rsidRPr="00162482">
        <w:rPr>
          <w:lang w:val="en-US"/>
        </w:rPr>
        <w:t xml:space="preserve"> and forwarded to the </w:t>
      </w:r>
      <w:r>
        <w:rPr>
          <w:lang w:val="en-US"/>
        </w:rPr>
        <w:t xml:space="preserve">General Manager Student Wellbeing and Inclusion </w:t>
      </w:r>
      <w:r w:rsidRPr="00162482">
        <w:rPr>
          <w:lang w:val="en-US"/>
        </w:rPr>
        <w:t xml:space="preserve">for approval and </w:t>
      </w:r>
      <w:r w:rsidR="00070771">
        <w:rPr>
          <w:lang w:val="en-US"/>
        </w:rPr>
        <w:t>approval</w:t>
      </w:r>
      <w:r w:rsidRPr="00162482">
        <w:rPr>
          <w:lang w:val="en-US"/>
        </w:rPr>
        <w:t>. Where a review determines that a student should be transitioned into a mainstream classroom setting, a Temporary Placement Notice will be issued to provide adequate time for the transition to occur.</w:t>
      </w:r>
    </w:p>
    <w:p w14:paraId="1628B406" w14:textId="77777777" w:rsidR="00071064" w:rsidRPr="00070771" w:rsidRDefault="00071064" w:rsidP="00070771">
      <w:pPr>
        <w:ind w:left="426"/>
        <w:rPr>
          <w:lang w:val="en-US"/>
        </w:rPr>
      </w:pPr>
      <w:r w:rsidRPr="00070771">
        <w:rPr>
          <w:lang w:val="en-US"/>
        </w:rPr>
        <w:t>Where a student in a functional placement is transferring from primary to middle school or middle to senior school, the verification notice should be checked to confirm the review date.</w:t>
      </w:r>
    </w:p>
    <w:p w14:paraId="328F11BD" w14:textId="77777777" w:rsidR="00071064" w:rsidRPr="00162482" w:rsidRDefault="00071064" w:rsidP="00070771">
      <w:pPr>
        <w:pStyle w:val="Heading1"/>
        <w:numPr>
          <w:ilvl w:val="0"/>
          <w:numId w:val="9"/>
        </w:numPr>
        <w:spacing w:before="360"/>
        <w:ind w:left="425" w:hanging="425"/>
        <w:rPr>
          <w:noProof/>
          <w:lang w:eastAsia="en-AU"/>
        </w:rPr>
      </w:pPr>
      <w:r w:rsidRPr="00162482">
        <w:rPr>
          <w:noProof/>
          <w:lang w:eastAsia="en-AU"/>
        </w:rPr>
        <w:t>Right of appeal</w:t>
      </w:r>
    </w:p>
    <w:p w14:paraId="35A8450B" w14:textId="77777777" w:rsidR="00071064" w:rsidRPr="00162482" w:rsidRDefault="00071064" w:rsidP="00070771">
      <w:pPr>
        <w:ind w:left="426"/>
        <w:rPr>
          <w:lang w:val="en-US"/>
        </w:rPr>
      </w:pPr>
      <w:r w:rsidRPr="00162482">
        <w:rPr>
          <w:lang w:val="en-US"/>
        </w:rPr>
        <w:t xml:space="preserve">A parent has the right to appeal a decision not to approve a student for a placement or functional placement in a Special School or Special Centre. </w:t>
      </w:r>
    </w:p>
    <w:p w14:paraId="136D987B" w14:textId="77777777" w:rsidR="00071064" w:rsidRPr="00162482" w:rsidRDefault="00071064" w:rsidP="00070771">
      <w:pPr>
        <w:ind w:left="426"/>
        <w:rPr>
          <w:lang w:val="en-US"/>
        </w:rPr>
      </w:pPr>
      <w:r w:rsidRPr="00162482">
        <w:rPr>
          <w:lang w:val="en-US"/>
        </w:rPr>
        <w:t xml:space="preserve">The parent should submit their appeal in writing to the </w:t>
      </w:r>
      <w:r>
        <w:rPr>
          <w:lang w:val="en-US"/>
        </w:rPr>
        <w:t xml:space="preserve">General Manager Student Wellbeing and Inclusion </w:t>
      </w:r>
      <w:r w:rsidRPr="00162482">
        <w:rPr>
          <w:lang w:val="en-US"/>
        </w:rPr>
        <w:t>within 10 working days of receiving the ineligibility notice. The appeal should outline the parent’s concerns regarding the department’s decision not to verify the child’s eligibility for enrolment in a Special School or Special Centre.</w:t>
      </w:r>
    </w:p>
    <w:p w14:paraId="6E7F6638" w14:textId="77777777" w:rsidR="00071064" w:rsidRPr="00162482" w:rsidRDefault="00071064" w:rsidP="00070771">
      <w:pPr>
        <w:ind w:left="426"/>
        <w:rPr>
          <w:lang w:val="en-US"/>
        </w:rPr>
      </w:pPr>
      <w:r w:rsidRPr="00162482">
        <w:rPr>
          <w:lang w:val="en-US"/>
        </w:rPr>
        <w:t>The</w:t>
      </w:r>
      <w:r>
        <w:rPr>
          <w:lang w:val="en-US"/>
        </w:rPr>
        <w:t xml:space="preserve"> General Manager Student Wellbeing and Inclusion </w:t>
      </w:r>
      <w:r w:rsidRPr="00162482">
        <w:rPr>
          <w:lang w:val="en-US"/>
        </w:rPr>
        <w:t>will convene a case conference with the appropriate stakeholders. Depending on the complexity of the case, the case conference may involve the following stakeholders:</w:t>
      </w:r>
    </w:p>
    <w:p w14:paraId="288173BF"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Relevant Senior Director School Improvement and Leadership</w:t>
      </w:r>
    </w:p>
    <w:p w14:paraId="0942348A"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Relevant Director / Manager Quality School Systems and Support</w:t>
      </w:r>
    </w:p>
    <w:p w14:paraId="4BE656EB"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General Manager Student Wellbeing and Inclusion</w:t>
      </w:r>
    </w:p>
    <w:p w14:paraId="5EA14578"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Senior Manager Inclusive Practice</w:t>
      </w:r>
    </w:p>
    <w:p w14:paraId="6BF2ED19"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Senior School Psychologist</w:t>
      </w:r>
    </w:p>
    <w:p w14:paraId="617ED67C"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lastRenderedPageBreak/>
        <w:t xml:space="preserve">School Psychologist </w:t>
      </w:r>
    </w:p>
    <w:p w14:paraId="59F73D5E" w14:textId="32FED26E"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School Principal</w:t>
      </w:r>
      <w:r w:rsidR="00070771">
        <w:rPr>
          <w:color w:val="000000"/>
        </w:rPr>
        <w:t>.</w:t>
      </w:r>
    </w:p>
    <w:p w14:paraId="7CFA35AE" w14:textId="77777777" w:rsidR="00071064" w:rsidRDefault="00071064" w:rsidP="00070771">
      <w:pPr>
        <w:ind w:left="426"/>
        <w:rPr>
          <w:lang w:val="en-US"/>
        </w:rPr>
      </w:pPr>
      <w:r w:rsidRPr="00162482">
        <w:rPr>
          <w:lang w:val="en-US"/>
        </w:rPr>
        <w:t xml:space="preserve">Attendees of the case conference will review the student’s diagnostic reports and other supporting documentation. Based on the outcomes of the case conference, the </w:t>
      </w:r>
      <w:r>
        <w:rPr>
          <w:lang w:val="en-US"/>
        </w:rPr>
        <w:t xml:space="preserve">General Manager Student Wellbeing and Inclusion </w:t>
      </w:r>
      <w:r w:rsidRPr="00162482">
        <w:rPr>
          <w:lang w:val="en-US"/>
        </w:rPr>
        <w:t>will make a determination and advise the student’s parents in writing of the final decision.</w:t>
      </w:r>
    </w:p>
    <w:p w14:paraId="25EA620D" w14:textId="278E7B90" w:rsidR="00071064" w:rsidRPr="00162482" w:rsidRDefault="00070771" w:rsidP="00070771">
      <w:pPr>
        <w:pStyle w:val="Heading1"/>
        <w:numPr>
          <w:ilvl w:val="0"/>
          <w:numId w:val="9"/>
        </w:numPr>
        <w:spacing w:before="360"/>
        <w:ind w:left="425" w:hanging="425"/>
      </w:pPr>
      <w:r w:rsidRPr="00162482">
        <w:rPr>
          <w:noProof/>
          <w:lang w:eastAsia="en-AU"/>
        </w:rPr>
        <w:t>Appendices</w:t>
      </w:r>
    </w:p>
    <w:p w14:paraId="2BC060B8"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Appendix A ─ Approved Special Schools and Special Centres</w:t>
      </w:r>
    </w:p>
    <w:p w14:paraId="0E4B3E13" w14:textId="77777777" w:rsidR="00071064" w:rsidRPr="00070771" w:rsidRDefault="00071064" w:rsidP="00070771">
      <w:pPr>
        <w:pStyle w:val="ListParagraph"/>
        <w:numPr>
          <w:ilvl w:val="0"/>
          <w:numId w:val="41"/>
        </w:numPr>
        <w:spacing w:after="200"/>
        <w:ind w:left="850" w:hanging="425"/>
        <w:contextualSpacing/>
        <w:rPr>
          <w:color w:val="000000"/>
        </w:rPr>
      </w:pPr>
      <w:r w:rsidRPr="00070771">
        <w:rPr>
          <w:color w:val="000000"/>
        </w:rPr>
        <w:t xml:space="preserve">Appendix B ─ Enrolment Process for Special Schools and Special Centres </w:t>
      </w:r>
    </w:p>
    <w:p w14:paraId="77992076" w14:textId="709F9DF9" w:rsidR="00071064" w:rsidRDefault="001604E6" w:rsidP="00070771">
      <w:pPr>
        <w:pStyle w:val="Heading1"/>
        <w:numPr>
          <w:ilvl w:val="0"/>
          <w:numId w:val="9"/>
        </w:numPr>
        <w:spacing w:before="360"/>
        <w:ind w:left="425" w:hanging="425"/>
      </w:pPr>
      <w:r>
        <w:rPr>
          <w:noProof/>
          <w:lang w:eastAsia="en-AU"/>
        </w:rPr>
        <w:t>Related legislation, policies and resources</w:t>
      </w:r>
    </w:p>
    <w:tbl>
      <w:tblPr>
        <w:tblStyle w:val="TableGrid"/>
        <w:tblW w:w="9353" w:type="dxa"/>
        <w:jc w:val="center"/>
        <w:tblLook w:val="04A0" w:firstRow="1" w:lastRow="0" w:firstColumn="1" w:lastColumn="0" w:noHBand="0" w:noVBand="1"/>
      </w:tblPr>
      <w:tblGrid>
        <w:gridCol w:w="1440"/>
        <w:gridCol w:w="7913"/>
      </w:tblGrid>
      <w:tr w:rsidR="001604E6" w:rsidRPr="007728A2" w14:paraId="5A509D30" w14:textId="77777777" w:rsidTr="00DB61C7">
        <w:trPr>
          <w:jc w:val="center"/>
        </w:trPr>
        <w:tc>
          <w:tcPr>
            <w:tcW w:w="1440" w:type="dxa"/>
            <w:vMerge w:val="restart"/>
            <w:shd w:val="clear" w:color="auto" w:fill="FFFFFF" w:themeFill="background1"/>
          </w:tcPr>
          <w:p w14:paraId="41BD9E87" w14:textId="77777777" w:rsidR="001604E6" w:rsidRPr="00593F23" w:rsidRDefault="001604E6" w:rsidP="00D13E4A">
            <w:pPr>
              <w:spacing w:before="60" w:after="60"/>
              <w:rPr>
                <w:rFonts w:asciiTheme="minorHAnsi" w:hAnsiTheme="minorHAnsi" w:cs="Arial"/>
                <w:b/>
                <w:bCs/>
                <w:lang w:val="en-US"/>
              </w:rPr>
            </w:pPr>
            <w:r w:rsidRPr="00593F23">
              <w:rPr>
                <w:rFonts w:asciiTheme="minorHAnsi" w:hAnsiTheme="minorHAnsi" w:cs="Arial"/>
                <w:b/>
                <w:bCs/>
                <w:lang w:val="en-US"/>
              </w:rPr>
              <w:t>Legislation</w:t>
            </w:r>
          </w:p>
        </w:tc>
        <w:tc>
          <w:tcPr>
            <w:tcW w:w="7913" w:type="dxa"/>
          </w:tcPr>
          <w:p w14:paraId="22776B00" w14:textId="77777777" w:rsidR="001604E6" w:rsidRPr="007728A2" w:rsidRDefault="00664AB0" w:rsidP="00D13E4A">
            <w:pPr>
              <w:spacing w:before="60" w:after="60"/>
              <w:rPr>
                <w:rFonts w:asciiTheme="minorHAnsi" w:hAnsiTheme="minorHAnsi" w:cs="Arial"/>
                <w:bCs/>
                <w:color w:val="FF0000"/>
                <w:lang w:val="en-US"/>
              </w:rPr>
            </w:pPr>
            <w:hyperlink r:id="rId17" w:history="1">
              <w:r w:rsidR="001604E6" w:rsidRPr="007728A2">
                <w:rPr>
                  <w:rStyle w:val="Hyperlink"/>
                  <w:rFonts w:asciiTheme="minorHAnsi" w:hAnsiTheme="minorHAnsi"/>
                  <w:i/>
                  <w:iCs/>
                </w:rPr>
                <w:t>Disability Discrimination Act 1992</w:t>
              </w:r>
            </w:hyperlink>
            <w:r w:rsidR="001604E6" w:rsidRPr="007728A2">
              <w:rPr>
                <w:rFonts w:asciiTheme="minorHAnsi" w:hAnsiTheme="minorHAnsi"/>
                <w:iCs/>
              </w:rPr>
              <w:t xml:space="preserve"> – </w:t>
            </w:r>
            <w:r w:rsidR="001604E6">
              <w:rPr>
                <w:rFonts w:asciiTheme="minorHAnsi" w:hAnsiTheme="minorHAnsi"/>
                <w:iCs/>
              </w:rPr>
              <w:t>promotes the elimination of</w:t>
            </w:r>
            <w:r w:rsidR="001604E6" w:rsidRPr="007728A2">
              <w:rPr>
                <w:rFonts w:asciiTheme="minorHAnsi" w:hAnsiTheme="minorHAnsi"/>
                <w:iCs/>
              </w:rPr>
              <w:t xml:space="preserve"> discrimination against persons on the grounds of disability, ensure people with disability have the same rights to equity before the law and promote recognition and acceptance that people with disability have the same fundamental rights as the rest of the community.  </w:t>
            </w:r>
          </w:p>
        </w:tc>
      </w:tr>
      <w:tr w:rsidR="001604E6" w:rsidRPr="007728A2" w14:paraId="565E34FA" w14:textId="77777777" w:rsidTr="00DB61C7">
        <w:trPr>
          <w:jc w:val="center"/>
        </w:trPr>
        <w:tc>
          <w:tcPr>
            <w:tcW w:w="1440" w:type="dxa"/>
            <w:vMerge/>
            <w:shd w:val="clear" w:color="auto" w:fill="FFFFFF" w:themeFill="background1"/>
          </w:tcPr>
          <w:p w14:paraId="61AB317F" w14:textId="77777777" w:rsidR="001604E6" w:rsidRPr="00593F23" w:rsidRDefault="001604E6" w:rsidP="00D13E4A">
            <w:pPr>
              <w:spacing w:before="60" w:after="60"/>
              <w:rPr>
                <w:rFonts w:asciiTheme="minorHAnsi" w:hAnsiTheme="minorHAnsi" w:cs="Arial"/>
                <w:bCs/>
                <w:lang w:val="en-US"/>
              </w:rPr>
            </w:pPr>
          </w:p>
        </w:tc>
        <w:tc>
          <w:tcPr>
            <w:tcW w:w="7913" w:type="dxa"/>
          </w:tcPr>
          <w:p w14:paraId="7F96C706" w14:textId="77777777" w:rsidR="001604E6" w:rsidRPr="007728A2" w:rsidRDefault="00664AB0" w:rsidP="00D13E4A">
            <w:pPr>
              <w:spacing w:before="60" w:after="60"/>
              <w:rPr>
                <w:rFonts w:asciiTheme="minorHAnsi" w:hAnsiTheme="minorHAnsi" w:cs="Arial"/>
                <w:bCs/>
                <w:lang w:val="en-US"/>
              </w:rPr>
            </w:pPr>
            <w:hyperlink r:id="rId18" w:history="1">
              <w:r w:rsidR="001604E6" w:rsidRPr="007728A2">
                <w:rPr>
                  <w:rStyle w:val="Hyperlink"/>
                  <w:rFonts w:asciiTheme="minorHAnsi" w:hAnsiTheme="minorHAnsi"/>
                  <w:bCs/>
                  <w:i/>
                  <w:lang w:val="en-US"/>
                </w:rPr>
                <w:t>Disability Standards for Education 2005</w:t>
              </w:r>
            </w:hyperlink>
            <w:r w:rsidR="001604E6" w:rsidRPr="007728A2">
              <w:rPr>
                <w:rFonts w:asciiTheme="minorHAnsi" w:hAnsiTheme="minorHAnsi"/>
                <w:bCs/>
                <w:i/>
                <w:lang w:val="en-US"/>
              </w:rPr>
              <w:t xml:space="preserve"> – </w:t>
            </w:r>
            <w:r w:rsidR="001604E6" w:rsidRPr="007728A2">
              <w:rPr>
                <w:rFonts w:asciiTheme="minorHAnsi" w:hAnsiTheme="minorHAnsi"/>
                <w:bCs/>
                <w:lang w:val="en-US"/>
              </w:rPr>
              <w:t xml:space="preserve">makes </w:t>
            </w:r>
            <w:r w:rsidR="001604E6" w:rsidRPr="007728A2">
              <w:rPr>
                <w:rFonts w:asciiTheme="minorHAnsi" w:hAnsiTheme="minorHAnsi"/>
                <w:color w:val="222222"/>
                <w:shd w:val="clear" w:color="auto" w:fill="FFFFFF"/>
              </w:rPr>
              <w:t>explicit the obligations of </w:t>
            </w:r>
            <w:r w:rsidR="001604E6" w:rsidRPr="007728A2">
              <w:rPr>
                <w:rFonts w:asciiTheme="minorHAnsi" w:hAnsiTheme="minorHAnsi"/>
                <w:bCs/>
                <w:color w:val="222222"/>
                <w:shd w:val="clear" w:color="auto" w:fill="FFFFFF"/>
              </w:rPr>
              <w:t>education</w:t>
            </w:r>
            <w:r w:rsidR="001604E6" w:rsidRPr="007728A2">
              <w:rPr>
                <w:rFonts w:asciiTheme="minorHAnsi" w:hAnsiTheme="minorHAnsi"/>
                <w:color w:val="222222"/>
                <w:shd w:val="clear" w:color="auto" w:fill="FFFFFF"/>
              </w:rPr>
              <w:t> and training service providers under the </w:t>
            </w:r>
            <w:r w:rsidR="001604E6" w:rsidRPr="007728A2">
              <w:rPr>
                <w:rFonts w:asciiTheme="minorHAnsi" w:hAnsiTheme="minorHAnsi"/>
                <w:bCs/>
                <w:color w:val="222222"/>
                <w:shd w:val="clear" w:color="auto" w:fill="FFFFFF"/>
              </w:rPr>
              <w:t>Disability</w:t>
            </w:r>
            <w:r w:rsidR="001604E6" w:rsidRPr="007728A2">
              <w:rPr>
                <w:rFonts w:asciiTheme="minorHAnsi" w:hAnsiTheme="minorHAnsi"/>
                <w:color w:val="222222"/>
                <w:shd w:val="clear" w:color="auto" w:fill="FFFFFF"/>
              </w:rPr>
              <w:t> Discrimination Act 1992 and the rights of people with </w:t>
            </w:r>
            <w:r w:rsidR="001604E6" w:rsidRPr="007728A2">
              <w:rPr>
                <w:rFonts w:asciiTheme="minorHAnsi" w:hAnsiTheme="minorHAnsi"/>
                <w:bCs/>
                <w:color w:val="222222"/>
                <w:shd w:val="clear" w:color="auto" w:fill="FFFFFF"/>
              </w:rPr>
              <w:t>disabilities</w:t>
            </w:r>
            <w:r w:rsidR="001604E6" w:rsidRPr="007728A2">
              <w:rPr>
                <w:rFonts w:asciiTheme="minorHAnsi" w:hAnsiTheme="minorHAnsi"/>
                <w:color w:val="222222"/>
                <w:shd w:val="clear" w:color="auto" w:fill="FFFFFF"/>
              </w:rPr>
              <w:t> in relation to </w:t>
            </w:r>
            <w:r w:rsidR="001604E6" w:rsidRPr="007728A2">
              <w:rPr>
                <w:rFonts w:asciiTheme="minorHAnsi" w:hAnsiTheme="minorHAnsi"/>
                <w:bCs/>
                <w:color w:val="222222"/>
                <w:shd w:val="clear" w:color="auto" w:fill="FFFFFF"/>
              </w:rPr>
              <w:t>education</w:t>
            </w:r>
            <w:r w:rsidR="001604E6" w:rsidRPr="007728A2">
              <w:rPr>
                <w:rFonts w:asciiTheme="minorHAnsi" w:hAnsiTheme="minorHAnsi"/>
                <w:color w:val="222222"/>
                <w:shd w:val="clear" w:color="auto" w:fill="FFFFFF"/>
              </w:rPr>
              <w:t> and training.</w:t>
            </w:r>
          </w:p>
        </w:tc>
      </w:tr>
      <w:tr w:rsidR="001604E6" w:rsidRPr="007728A2" w14:paraId="74F43649" w14:textId="77777777" w:rsidTr="00DB61C7">
        <w:trPr>
          <w:jc w:val="center"/>
        </w:trPr>
        <w:tc>
          <w:tcPr>
            <w:tcW w:w="1440" w:type="dxa"/>
            <w:vMerge/>
            <w:shd w:val="clear" w:color="auto" w:fill="FFFFFF" w:themeFill="background1"/>
          </w:tcPr>
          <w:p w14:paraId="77234823" w14:textId="77777777" w:rsidR="001604E6" w:rsidRPr="00593F23" w:rsidRDefault="001604E6" w:rsidP="00D13E4A">
            <w:pPr>
              <w:spacing w:before="60" w:after="60"/>
              <w:rPr>
                <w:rFonts w:asciiTheme="minorHAnsi" w:hAnsiTheme="minorHAnsi" w:cs="Arial"/>
                <w:bCs/>
                <w:lang w:val="en-US"/>
              </w:rPr>
            </w:pPr>
          </w:p>
        </w:tc>
        <w:tc>
          <w:tcPr>
            <w:tcW w:w="7913" w:type="dxa"/>
          </w:tcPr>
          <w:p w14:paraId="1F936772" w14:textId="77777777" w:rsidR="001604E6" w:rsidRPr="007728A2" w:rsidRDefault="00664AB0" w:rsidP="00D13E4A">
            <w:pPr>
              <w:spacing w:before="60" w:after="60"/>
              <w:rPr>
                <w:rFonts w:asciiTheme="minorHAnsi" w:hAnsiTheme="minorHAnsi"/>
                <w:iCs/>
              </w:rPr>
            </w:pPr>
            <w:hyperlink r:id="rId19" w:history="1">
              <w:r w:rsidR="001604E6" w:rsidRPr="007728A2">
                <w:rPr>
                  <w:rStyle w:val="Hyperlink"/>
                  <w:rFonts w:asciiTheme="minorHAnsi" w:hAnsiTheme="minorHAnsi"/>
                  <w:i/>
                  <w:iCs/>
                </w:rPr>
                <w:t xml:space="preserve">Education Act 2015 </w:t>
              </w:r>
              <w:r w:rsidR="001604E6" w:rsidRPr="007728A2">
                <w:rPr>
                  <w:rStyle w:val="Hyperlink"/>
                  <w:rFonts w:asciiTheme="minorHAnsi" w:hAnsiTheme="minorHAnsi"/>
                  <w:iCs/>
                </w:rPr>
                <w:t>(NT)</w:t>
              </w:r>
            </w:hyperlink>
            <w:r w:rsidR="001604E6">
              <w:rPr>
                <w:rStyle w:val="Hyperlink"/>
                <w:rFonts w:asciiTheme="minorHAnsi" w:hAnsiTheme="minorHAnsi"/>
                <w:iCs/>
                <w:color w:val="auto"/>
                <w:u w:val="none"/>
              </w:rPr>
              <w:t xml:space="preserve"> </w:t>
            </w:r>
            <w:r w:rsidR="001604E6" w:rsidRPr="007728A2">
              <w:rPr>
                <w:color w:val="141414"/>
                <w:shd w:val="clear" w:color="auto" w:fill="FFFFFF"/>
              </w:rPr>
              <w:t xml:space="preserve">- </w:t>
            </w:r>
            <w:r w:rsidR="001604E6" w:rsidRPr="007728A2">
              <w:rPr>
                <w:rFonts w:asciiTheme="minorHAnsi" w:hAnsiTheme="minorHAnsi"/>
                <w:color w:val="141414"/>
                <w:shd w:val="clear" w:color="auto" w:fill="FFFFFF"/>
              </w:rPr>
              <w:t xml:space="preserve">promotes the high-quality contemporary education to develop students’ potential and maximise </w:t>
            </w:r>
            <w:r w:rsidR="001604E6" w:rsidRPr="00495993">
              <w:rPr>
                <w:rFonts w:asciiTheme="minorHAnsi" w:hAnsiTheme="minorHAnsi"/>
                <w:color w:val="222222"/>
                <w:shd w:val="clear" w:color="auto" w:fill="FFFFFF"/>
              </w:rPr>
              <w:t>their</w:t>
            </w:r>
            <w:r w:rsidR="001604E6" w:rsidRPr="007728A2">
              <w:rPr>
                <w:rFonts w:asciiTheme="minorHAnsi" w:hAnsiTheme="minorHAnsi"/>
                <w:color w:val="141414"/>
                <w:shd w:val="clear" w:color="auto" w:fill="FFFFFF"/>
              </w:rPr>
              <w:t xml:space="preserve"> educational achievement.</w:t>
            </w:r>
          </w:p>
        </w:tc>
      </w:tr>
      <w:tr w:rsidR="001604E6" w:rsidRPr="007728A2" w14:paraId="45F82548" w14:textId="77777777" w:rsidTr="00DB61C7">
        <w:trPr>
          <w:jc w:val="center"/>
        </w:trPr>
        <w:tc>
          <w:tcPr>
            <w:tcW w:w="1440" w:type="dxa"/>
            <w:vMerge/>
            <w:shd w:val="clear" w:color="auto" w:fill="FFFFFF" w:themeFill="background1"/>
          </w:tcPr>
          <w:p w14:paraId="57D37F5C" w14:textId="77777777" w:rsidR="001604E6" w:rsidRPr="00593F23" w:rsidRDefault="001604E6" w:rsidP="00D13E4A">
            <w:pPr>
              <w:spacing w:before="60" w:after="60"/>
              <w:rPr>
                <w:rFonts w:asciiTheme="minorHAnsi" w:hAnsiTheme="minorHAnsi" w:cs="Arial"/>
                <w:bCs/>
                <w:lang w:val="en-US"/>
              </w:rPr>
            </w:pPr>
          </w:p>
        </w:tc>
        <w:tc>
          <w:tcPr>
            <w:tcW w:w="7913" w:type="dxa"/>
          </w:tcPr>
          <w:p w14:paraId="67C9DB8A" w14:textId="77777777" w:rsidR="001604E6" w:rsidRPr="007728A2" w:rsidRDefault="00664AB0" w:rsidP="00D13E4A">
            <w:pPr>
              <w:spacing w:before="60" w:after="60"/>
              <w:rPr>
                <w:rFonts w:asciiTheme="minorHAnsi" w:hAnsiTheme="minorHAnsi"/>
              </w:rPr>
            </w:pPr>
            <w:hyperlink r:id="rId20" w:history="1">
              <w:r w:rsidR="001604E6" w:rsidRPr="007728A2">
                <w:rPr>
                  <w:rStyle w:val="Hyperlink"/>
                  <w:rFonts w:asciiTheme="minorHAnsi" w:hAnsiTheme="minorHAnsi"/>
                  <w:i/>
                  <w:iCs/>
                </w:rPr>
                <w:t>Education and Care Services (National Uniform Legislation) Act 2011</w:t>
              </w:r>
            </w:hyperlink>
            <w:r w:rsidR="001604E6" w:rsidRPr="007728A2">
              <w:rPr>
                <w:rStyle w:val="Hyperlink"/>
                <w:rFonts w:asciiTheme="minorHAnsi" w:hAnsiTheme="minorHAnsi"/>
                <w:i/>
                <w:iCs/>
              </w:rPr>
              <w:t xml:space="preserve"> </w:t>
            </w:r>
            <w:r w:rsidR="001604E6" w:rsidRPr="007728A2">
              <w:rPr>
                <w:rStyle w:val="Hyperlink"/>
                <w:rFonts w:asciiTheme="minorHAnsi" w:hAnsiTheme="minorHAnsi"/>
                <w:iCs/>
              </w:rPr>
              <w:t>(NT)</w:t>
            </w:r>
            <w:r w:rsidR="001604E6">
              <w:rPr>
                <w:rStyle w:val="Hyperlink"/>
                <w:rFonts w:asciiTheme="minorHAnsi" w:hAnsiTheme="minorHAnsi"/>
                <w:iCs/>
                <w:u w:val="none"/>
              </w:rPr>
              <w:t xml:space="preserve"> </w:t>
            </w:r>
            <w:r w:rsidR="001604E6" w:rsidRPr="007728A2">
              <w:rPr>
                <w:rStyle w:val="Hyperlink"/>
                <w:rFonts w:asciiTheme="minorHAnsi" w:hAnsiTheme="minorHAnsi"/>
                <w:iCs/>
                <w:u w:val="none"/>
              </w:rPr>
              <w:t xml:space="preserve">- </w:t>
            </w:r>
            <w:r w:rsidR="001604E6" w:rsidRPr="007728A2">
              <w:rPr>
                <w:rFonts w:asciiTheme="minorHAnsi" w:hAnsiTheme="minorHAnsi" w:cs="Open Sans"/>
                <w:shd w:val="clear" w:color="auto" w:fill="FFFFFF"/>
              </w:rPr>
              <w:t xml:space="preserve">sets a national standard for children’s education and care across </w:t>
            </w:r>
            <w:r w:rsidR="001604E6" w:rsidRPr="00495993">
              <w:rPr>
                <w:rFonts w:asciiTheme="minorHAnsi" w:hAnsiTheme="minorHAnsi"/>
                <w:color w:val="222222"/>
                <w:shd w:val="clear" w:color="auto" w:fill="FFFFFF"/>
              </w:rPr>
              <w:t>Australia</w:t>
            </w:r>
            <w:r w:rsidR="001604E6" w:rsidRPr="007728A2">
              <w:rPr>
                <w:rFonts w:asciiTheme="minorHAnsi" w:hAnsiTheme="minorHAnsi" w:cs="Open Sans"/>
                <w:shd w:val="clear" w:color="auto" w:fill="FFFFFF"/>
              </w:rPr>
              <w:t>.</w:t>
            </w:r>
          </w:p>
        </w:tc>
      </w:tr>
      <w:tr w:rsidR="001604E6" w:rsidRPr="00D60E0E" w14:paraId="17230D32" w14:textId="77777777" w:rsidTr="00DB61C7">
        <w:trPr>
          <w:jc w:val="center"/>
        </w:trPr>
        <w:tc>
          <w:tcPr>
            <w:tcW w:w="1440" w:type="dxa"/>
            <w:vMerge w:val="restart"/>
            <w:shd w:val="clear" w:color="auto" w:fill="FFFFFF" w:themeFill="background1"/>
          </w:tcPr>
          <w:p w14:paraId="5BBB276D" w14:textId="77777777" w:rsidR="001604E6" w:rsidRPr="00593F23" w:rsidRDefault="001604E6" w:rsidP="00D13E4A">
            <w:pPr>
              <w:spacing w:before="60" w:after="60"/>
              <w:rPr>
                <w:rFonts w:cs="Arial"/>
                <w:b/>
                <w:bCs/>
                <w:lang w:val="en-US"/>
              </w:rPr>
            </w:pPr>
            <w:r w:rsidRPr="00593F23">
              <w:rPr>
                <w:rFonts w:cs="Arial"/>
                <w:b/>
                <w:bCs/>
                <w:lang w:val="en-US"/>
              </w:rPr>
              <w:t>Policies and guidelines</w:t>
            </w:r>
          </w:p>
        </w:tc>
        <w:tc>
          <w:tcPr>
            <w:tcW w:w="7913" w:type="dxa"/>
          </w:tcPr>
          <w:p w14:paraId="35E46C7F" w14:textId="71FB6852" w:rsidR="001604E6" w:rsidRPr="001604E6" w:rsidRDefault="00664AB0" w:rsidP="001604E6">
            <w:pPr>
              <w:spacing w:before="60" w:after="60"/>
              <w:rPr>
                <w:rFonts w:cs="Arial"/>
                <w:bCs/>
                <w:color w:val="0563C1" w:themeColor="hyperlink"/>
                <w:sz w:val="24"/>
                <w:u w:val="single"/>
                <w:lang w:val="en-US"/>
              </w:rPr>
            </w:pPr>
            <w:hyperlink r:id="rId21" w:history="1">
              <w:r w:rsidR="001604E6" w:rsidRPr="00465F77">
                <w:rPr>
                  <w:rStyle w:val="Hyperlink"/>
                  <w:noProof/>
                  <w:lang w:eastAsia="en-AU"/>
                </w:rPr>
                <w:t>Enrolment</w:t>
              </w:r>
              <w:r w:rsidR="001604E6" w:rsidRPr="001604E6">
                <w:rPr>
                  <w:rStyle w:val="Hyperlink"/>
                  <w:rFonts w:cs="Arial"/>
                  <w:bCs/>
                  <w:sz w:val="24"/>
                  <w:lang w:val="en-US"/>
                </w:rPr>
                <w:t xml:space="preserve"> Policy</w:t>
              </w:r>
            </w:hyperlink>
            <w:r w:rsidR="001604E6" w:rsidRPr="001604E6">
              <w:rPr>
                <w:rStyle w:val="Hyperlink"/>
                <w:rFonts w:cs="Arial"/>
                <w:bCs/>
                <w:sz w:val="24"/>
                <w:lang w:val="en-US"/>
              </w:rPr>
              <w:t xml:space="preserve"> and Guidelines</w:t>
            </w:r>
          </w:p>
        </w:tc>
      </w:tr>
      <w:tr w:rsidR="001604E6" w:rsidRPr="00D60E0E" w14:paraId="438FF410" w14:textId="77777777" w:rsidTr="00DB61C7">
        <w:trPr>
          <w:jc w:val="center"/>
        </w:trPr>
        <w:tc>
          <w:tcPr>
            <w:tcW w:w="1440" w:type="dxa"/>
            <w:vMerge/>
            <w:shd w:val="clear" w:color="auto" w:fill="FFFFFF" w:themeFill="background1"/>
          </w:tcPr>
          <w:p w14:paraId="36BDEE76" w14:textId="77777777" w:rsidR="001604E6" w:rsidRPr="00593F23" w:rsidRDefault="001604E6" w:rsidP="00D13E4A">
            <w:pPr>
              <w:spacing w:before="60" w:after="60"/>
              <w:rPr>
                <w:rFonts w:cs="Arial"/>
                <w:bCs/>
                <w:lang w:val="en-US"/>
              </w:rPr>
            </w:pPr>
          </w:p>
        </w:tc>
        <w:tc>
          <w:tcPr>
            <w:tcW w:w="7913" w:type="dxa"/>
          </w:tcPr>
          <w:p w14:paraId="2F7200A8" w14:textId="56513B92" w:rsidR="001604E6" w:rsidRPr="001604E6" w:rsidRDefault="00664AB0" w:rsidP="001604E6">
            <w:pPr>
              <w:spacing w:before="60" w:after="60"/>
              <w:rPr>
                <w:noProof/>
                <w:lang w:eastAsia="en-AU"/>
              </w:rPr>
            </w:pPr>
            <w:hyperlink r:id="rId22" w:history="1">
              <w:r w:rsidR="001604E6" w:rsidRPr="00F5326B">
                <w:rPr>
                  <w:rStyle w:val="Hyperlink"/>
                  <w:noProof/>
                  <w:lang w:eastAsia="en-AU"/>
                </w:rPr>
                <w:t>Students with Disability Policy</w:t>
              </w:r>
            </w:hyperlink>
            <w:r w:rsidR="001604E6">
              <w:rPr>
                <w:rStyle w:val="Hyperlink"/>
                <w:noProof/>
                <w:lang w:eastAsia="en-AU"/>
              </w:rPr>
              <w:t xml:space="preserve"> and Guidelines</w:t>
            </w:r>
          </w:p>
        </w:tc>
      </w:tr>
      <w:tr w:rsidR="001604E6" w:rsidRPr="00D60E0E" w14:paraId="0F55F311" w14:textId="77777777" w:rsidTr="00DB61C7">
        <w:trPr>
          <w:jc w:val="center"/>
        </w:trPr>
        <w:tc>
          <w:tcPr>
            <w:tcW w:w="1440" w:type="dxa"/>
            <w:vMerge/>
            <w:shd w:val="clear" w:color="auto" w:fill="FFFFFF" w:themeFill="background1"/>
          </w:tcPr>
          <w:p w14:paraId="0492EB26" w14:textId="77777777" w:rsidR="001604E6" w:rsidRPr="00593F23" w:rsidRDefault="001604E6" w:rsidP="00D13E4A">
            <w:pPr>
              <w:spacing w:before="60" w:after="60"/>
              <w:rPr>
                <w:rFonts w:cs="Arial"/>
                <w:bCs/>
                <w:lang w:val="en-US"/>
              </w:rPr>
            </w:pPr>
          </w:p>
        </w:tc>
        <w:tc>
          <w:tcPr>
            <w:tcW w:w="7913" w:type="dxa"/>
          </w:tcPr>
          <w:p w14:paraId="1353C269" w14:textId="62F376D6" w:rsidR="001604E6" w:rsidRPr="001604E6" w:rsidRDefault="00664AB0" w:rsidP="001604E6">
            <w:pPr>
              <w:spacing w:before="60" w:after="60"/>
              <w:rPr>
                <w:lang w:val="en-US"/>
              </w:rPr>
            </w:pPr>
            <w:hyperlink r:id="rId23" w:history="1">
              <w:r w:rsidR="001604E6" w:rsidRPr="001604E6">
                <w:rPr>
                  <w:rStyle w:val="Hyperlink"/>
                  <w:lang w:val="en-US"/>
                </w:rPr>
                <w:t>Diagnosis Assessment Guidelines</w:t>
              </w:r>
            </w:hyperlink>
          </w:p>
        </w:tc>
      </w:tr>
      <w:tr w:rsidR="001604E6" w:rsidRPr="00D60E0E" w14:paraId="62FB7D54" w14:textId="77777777" w:rsidTr="00DB61C7">
        <w:trPr>
          <w:jc w:val="center"/>
        </w:trPr>
        <w:tc>
          <w:tcPr>
            <w:tcW w:w="1440" w:type="dxa"/>
            <w:vMerge w:val="restart"/>
            <w:shd w:val="clear" w:color="auto" w:fill="FFFFFF" w:themeFill="background1"/>
          </w:tcPr>
          <w:p w14:paraId="6F5A7A23" w14:textId="51C5998C" w:rsidR="001604E6" w:rsidRPr="00593F23" w:rsidRDefault="001604E6" w:rsidP="00D13E4A">
            <w:pPr>
              <w:spacing w:before="60" w:after="60"/>
              <w:rPr>
                <w:rFonts w:cs="Arial"/>
                <w:b/>
                <w:bCs/>
                <w:lang w:val="en-US"/>
              </w:rPr>
            </w:pPr>
            <w:r w:rsidRPr="00593F23">
              <w:rPr>
                <w:rFonts w:cs="Arial"/>
                <w:b/>
                <w:bCs/>
                <w:lang w:val="en-US"/>
              </w:rPr>
              <w:t>Forms</w:t>
            </w:r>
          </w:p>
        </w:tc>
        <w:tc>
          <w:tcPr>
            <w:tcW w:w="7913" w:type="dxa"/>
          </w:tcPr>
          <w:p w14:paraId="7D0C7BEF" w14:textId="0C1A6D1B" w:rsidR="001604E6" w:rsidRPr="007728A2" w:rsidRDefault="00664AB0" w:rsidP="001604E6">
            <w:pPr>
              <w:spacing w:before="60" w:after="60"/>
              <w:rPr>
                <w:lang w:val="en-US"/>
              </w:rPr>
            </w:pPr>
            <w:hyperlink r:id="rId24" w:history="1">
              <w:r w:rsidR="001604E6" w:rsidRPr="001604E6">
                <w:rPr>
                  <w:rStyle w:val="Hyperlink"/>
                  <w:rFonts w:eastAsia="Arial" w:cs="Arial"/>
                  <w:position w:val="-1"/>
                  <w:lang w:val="en-US"/>
                </w:rPr>
                <w:t xml:space="preserve">Request for Verification to </w:t>
              </w:r>
              <w:proofErr w:type="spellStart"/>
              <w:r w:rsidR="001604E6" w:rsidRPr="001604E6">
                <w:rPr>
                  <w:rStyle w:val="Hyperlink"/>
                  <w:rFonts w:eastAsia="Arial" w:cs="Arial"/>
                  <w:position w:val="-1"/>
                  <w:lang w:val="en-US"/>
                </w:rPr>
                <w:t>Enrol</w:t>
              </w:r>
              <w:proofErr w:type="spellEnd"/>
            </w:hyperlink>
          </w:p>
        </w:tc>
      </w:tr>
      <w:tr w:rsidR="001604E6" w:rsidRPr="00D60E0E" w14:paraId="126C5655" w14:textId="77777777" w:rsidTr="00DB61C7">
        <w:trPr>
          <w:jc w:val="center"/>
        </w:trPr>
        <w:tc>
          <w:tcPr>
            <w:tcW w:w="1440" w:type="dxa"/>
            <w:vMerge/>
            <w:shd w:val="clear" w:color="auto" w:fill="FFFFFF" w:themeFill="background1"/>
          </w:tcPr>
          <w:p w14:paraId="6503E2F2" w14:textId="77777777" w:rsidR="001604E6" w:rsidRPr="00593F23" w:rsidRDefault="001604E6" w:rsidP="00D13E4A">
            <w:pPr>
              <w:spacing w:before="60" w:after="60"/>
              <w:rPr>
                <w:rFonts w:cs="Arial"/>
                <w:bCs/>
                <w:lang w:val="en-US"/>
              </w:rPr>
            </w:pPr>
          </w:p>
        </w:tc>
        <w:tc>
          <w:tcPr>
            <w:tcW w:w="7913" w:type="dxa"/>
          </w:tcPr>
          <w:p w14:paraId="6126392D" w14:textId="0C4A95E6" w:rsidR="001604E6" w:rsidRPr="00D60E0E" w:rsidRDefault="00664AB0" w:rsidP="001604E6">
            <w:pPr>
              <w:spacing w:before="60" w:after="60"/>
              <w:rPr>
                <w:rFonts w:cs="Arial"/>
                <w:bCs/>
                <w:sz w:val="24"/>
                <w:lang w:val="en-US"/>
              </w:rPr>
            </w:pPr>
            <w:hyperlink r:id="rId25" w:history="1">
              <w:r w:rsidR="001604E6" w:rsidRPr="001604E6">
                <w:rPr>
                  <w:rStyle w:val="Hyperlink"/>
                  <w:rFonts w:eastAsia="Arial" w:cs="Arial"/>
                  <w:position w:val="-1"/>
                  <w:lang w:val="en-US"/>
                </w:rPr>
                <w:t>Summary Report Functional Placement Review</w:t>
              </w:r>
            </w:hyperlink>
          </w:p>
        </w:tc>
      </w:tr>
      <w:tr w:rsidR="001604E6" w:rsidRPr="00D60E0E" w14:paraId="3F867647" w14:textId="77777777" w:rsidTr="00DB61C7">
        <w:trPr>
          <w:jc w:val="center"/>
        </w:trPr>
        <w:tc>
          <w:tcPr>
            <w:tcW w:w="1440" w:type="dxa"/>
            <w:vMerge/>
            <w:shd w:val="clear" w:color="auto" w:fill="FFFFFF" w:themeFill="background1"/>
          </w:tcPr>
          <w:p w14:paraId="6138AC54" w14:textId="77777777" w:rsidR="001604E6" w:rsidRPr="00593F23" w:rsidRDefault="001604E6" w:rsidP="00D13E4A">
            <w:pPr>
              <w:spacing w:before="60" w:after="60"/>
              <w:rPr>
                <w:rFonts w:cs="Arial"/>
                <w:bCs/>
                <w:lang w:val="en-US"/>
              </w:rPr>
            </w:pPr>
          </w:p>
        </w:tc>
        <w:tc>
          <w:tcPr>
            <w:tcW w:w="7913" w:type="dxa"/>
          </w:tcPr>
          <w:p w14:paraId="56380E39" w14:textId="51624643" w:rsidR="001604E6" w:rsidRPr="00D60E0E" w:rsidRDefault="00664AB0" w:rsidP="001604E6">
            <w:pPr>
              <w:spacing w:before="60" w:after="60"/>
              <w:rPr>
                <w:rFonts w:cs="Arial"/>
                <w:bCs/>
                <w:sz w:val="24"/>
                <w:lang w:val="en-US"/>
              </w:rPr>
            </w:pPr>
            <w:hyperlink r:id="rId26" w:history="1">
              <w:r w:rsidR="001604E6" w:rsidRPr="001604E6">
                <w:rPr>
                  <w:rStyle w:val="Hyperlink"/>
                  <w:rFonts w:eastAsia="Arial" w:cs="Arial"/>
                  <w:position w:val="-1"/>
                  <w:lang w:val="en-US"/>
                </w:rPr>
                <w:t>Obtain Informed Consent Functional Placement</w:t>
              </w:r>
            </w:hyperlink>
            <w:r w:rsidR="001604E6" w:rsidRPr="00070771">
              <w:rPr>
                <w:rStyle w:val="Hyperlink"/>
              </w:rPr>
              <w:t xml:space="preserve"> </w:t>
            </w:r>
          </w:p>
        </w:tc>
      </w:tr>
    </w:tbl>
    <w:p w14:paraId="5030F79F" w14:textId="77777777" w:rsidR="008E32B1" w:rsidRDefault="008E32B1" w:rsidP="00071064">
      <w:pPr>
        <w:widowControl w:val="0"/>
        <w:spacing w:after="120" w:line="293" w:lineRule="exact"/>
        <w:ind w:right="-23"/>
        <w:rPr>
          <w:rFonts w:eastAsia="Arial" w:cs="Arial"/>
          <w:position w:val="-1"/>
          <w:sz w:val="24"/>
          <w:lang w:val="en-US"/>
        </w:rPr>
      </w:pPr>
    </w:p>
    <w:p w14:paraId="01986F80" w14:textId="77777777" w:rsidR="008E32B1" w:rsidRDefault="008E32B1" w:rsidP="00071064">
      <w:pPr>
        <w:widowControl w:val="0"/>
        <w:spacing w:after="120" w:line="293" w:lineRule="exact"/>
        <w:ind w:right="-23"/>
        <w:rPr>
          <w:rFonts w:eastAsia="Arial" w:cs="Arial"/>
          <w:position w:val="-1"/>
          <w:sz w:val="24"/>
          <w:lang w:val="en-US"/>
        </w:rPr>
      </w:pPr>
    </w:p>
    <w:p w14:paraId="4FFA21B8" w14:textId="77777777" w:rsidR="008E32B1" w:rsidRDefault="008E32B1" w:rsidP="00071064">
      <w:pPr>
        <w:widowControl w:val="0"/>
        <w:spacing w:after="120" w:line="293" w:lineRule="exact"/>
        <w:ind w:right="-23"/>
        <w:rPr>
          <w:rFonts w:eastAsia="Arial" w:cs="Arial"/>
          <w:position w:val="-1"/>
          <w:sz w:val="24"/>
          <w:lang w:val="en-US"/>
        </w:rPr>
      </w:pPr>
    </w:p>
    <w:p w14:paraId="49EC6DBB" w14:textId="77777777" w:rsidR="008E32B1" w:rsidRDefault="008E32B1" w:rsidP="00071064">
      <w:pPr>
        <w:widowControl w:val="0"/>
        <w:spacing w:after="120" w:line="293" w:lineRule="exact"/>
        <w:ind w:right="-23"/>
        <w:rPr>
          <w:rFonts w:eastAsia="Arial" w:cs="Arial"/>
          <w:position w:val="-1"/>
          <w:sz w:val="24"/>
          <w:lang w:val="en-US"/>
        </w:rPr>
      </w:pPr>
    </w:p>
    <w:p w14:paraId="0E3A74BB" w14:textId="77777777" w:rsidR="008E32B1" w:rsidRDefault="008E32B1" w:rsidP="00071064">
      <w:pPr>
        <w:widowControl w:val="0"/>
        <w:spacing w:after="120" w:line="293" w:lineRule="exact"/>
        <w:ind w:right="-23"/>
        <w:rPr>
          <w:rFonts w:eastAsia="Arial" w:cs="Arial"/>
          <w:position w:val="-1"/>
          <w:sz w:val="24"/>
          <w:lang w:val="en-US"/>
        </w:rPr>
      </w:pPr>
    </w:p>
    <w:p w14:paraId="739CDC95" w14:textId="77777777" w:rsidR="008E32B1" w:rsidRDefault="008E32B1" w:rsidP="00071064">
      <w:pPr>
        <w:widowControl w:val="0"/>
        <w:spacing w:after="120" w:line="293" w:lineRule="exact"/>
        <w:ind w:right="-23"/>
        <w:rPr>
          <w:rFonts w:eastAsia="Arial" w:cs="Arial"/>
          <w:position w:val="-1"/>
          <w:sz w:val="24"/>
          <w:lang w:val="en-US"/>
        </w:rPr>
      </w:pPr>
    </w:p>
    <w:p w14:paraId="63C7383D" w14:textId="77777777" w:rsidR="008E32B1" w:rsidRDefault="008E32B1" w:rsidP="00071064">
      <w:pPr>
        <w:widowControl w:val="0"/>
        <w:spacing w:after="120" w:line="293" w:lineRule="exact"/>
        <w:ind w:right="-23"/>
        <w:rPr>
          <w:rFonts w:eastAsia="Arial" w:cs="Arial"/>
          <w:position w:val="-1"/>
          <w:sz w:val="24"/>
          <w:lang w:val="en-US"/>
        </w:rPr>
      </w:pPr>
    </w:p>
    <w:p w14:paraId="6CC55C97" w14:textId="77777777" w:rsidR="008E32B1" w:rsidRDefault="008E32B1" w:rsidP="00071064">
      <w:pPr>
        <w:widowControl w:val="0"/>
        <w:spacing w:after="120" w:line="293" w:lineRule="exact"/>
        <w:ind w:right="-23"/>
        <w:rPr>
          <w:rFonts w:eastAsia="Arial" w:cs="Arial"/>
          <w:position w:val="-1"/>
          <w:sz w:val="24"/>
          <w:lang w:val="en-US"/>
        </w:rPr>
      </w:pPr>
    </w:p>
    <w:p w14:paraId="5A8A050B" w14:textId="77777777" w:rsidR="008E32B1" w:rsidRPr="001604E6" w:rsidRDefault="008E32B1" w:rsidP="008E32B1">
      <w:pPr>
        <w:jc w:val="right"/>
        <w:rPr>
          <w:b/>
          <w:sz w:val="28"/>
        </w:rPr>
      </w:pPr>
      <w:r w:rsidRPr="001604E6">
        <w:rPr>
          <w:b/>
          <w:sz w:val="28"/>
        </w:rPr>
        <w:t>Appendix A</w:t>
      </w:r>
    </w:p>
    <w:p w14:paraId="7BF059D3" w14:textId="710A2DBE" w:rsidR="008E32B1" w:rsidRPr="00162482" w:rsidRDefault="008E32B1" w:rsidP="001604E6">
      <w:pPr>
        <w:pStyle w:val="Heading3"/>
        <w:jc w:val="center"/>
      </w:pPr>
      <w:r w:rsidRPr="00162482">
        <w:t>APPROVED SPECIAL SCHOOLS AND SPECIAL CENTRES</w:t>
      </w:r>
    </w:p>
    <w:p w14:paraId="4EB2E3E5" w14:textId="77777777" w:rsidR="008E32B1" w:rsidRPr="00DB61C7" w:rsidRDefault="008E32B1" w:rsidP="008E32B1">
      <w:pPr>
        <w:rPr>
          <w:i/>
        </w:rPr>
      </w:pPr>
      <w:r w:rsidRPr="00DB61C7">
        <w:t xml:space="preserve">These Special Schools and Special Centres are approved by the Department of Education as settings for students with high support needs arising from an intellectual disability. </w:t>
      </w:r>
    </w:p>
    <w:p w14:paraId="3FDDA5ED" w14:textId="77777777" w:rsidR="008E32B1" w:rsidRPr="00DB61C7" w:rsidRDefault="008E32B1" w:rsidP="008E32B1">
      <w:pPr>
        <w:pStyle w:val="Heading4"/>
        <w:numPr>
          <w:ilvl w:val="0"/>
          <w:numId w:val="0"/>
        </w:numPr>
        <w:rPr>
          <w:sz w:val="22"/>
          <w:szCs w:val="22"/>
        </w:rPr>
      </w:pPr>
      <w:r w:rsidRPr="00DB61C7">
        <w:rPr>
          <w:sz w:val="22"/>
          <w:szCs w:val="22"/>
        </w:rPr>
        <w:t>Special Schools</w:t>
      </w:r>
    </w:p>
    <w:p w14:paraId="353357DB" w14:textId="77777777" w:rsidR="008E32B1" w:rsidRPr="00DB61C7" w:rsidRDefault="008E32B1" w:rsidP="008E32B1">
      <w:pPr>
        <w:pStyle w:val="ListParagraph"/>
        <w:numPr>
          <w:ilvl w:val="0"/>
          <w:numId w:val="36"/>
        </w:numPr>
        <w:tabs>
          <w:tab w:val="left" w:pos="567"/>
          <w:tab w:val="left" w:pos="3686"/>
          <w:tab w:val="left" w:pos="5954"/>
        </w:tabs>
        <w:spacing w:after="0"/>
        <w:ind w:left="0" w:firstLine="0"/>
        <w:contextualSpacing/>
      </w:pPr>
      <w:proofErr w:type="spellStart"/>
      <w:r w:rsidRPr="00DB61C7">
        <w:t>Nemarluk</w:t>
      </w:r>
      <w:proofErr w:type="spellEnd"/>
      <w:r w:rsidRPr="00DB61C7">
        <w:t xml:space="preserve"> School </w:t>
      </w:r>
      <w:r w:rsidRPr="00DB61C7">
        <w:tab/>
        <w:t xml:space="preserve">Darwin </w:t>
      </w:r>
      <w:r w:rsidRPr="00DB61C7">
        <w:tab/>
        <w:t>(P-6)</w:t>
      </w:r>
    </w:p>
    <w:p w14:paraId="0DBE2F79" w14:textId="77777777" w:rsidR="008E32B1" w:rsidRPr="00DB61C7" w:rsidRDefault="008E32B1" w:rsidP="008E32B1">
      <w:pPr>
        <w:pStyle w:val="ListParagraph"/>
        <w:numPr>
          <w:ilvl w:val="0"/>
          <w:numId w:val="36"/>
        </w:numPr>
        <w:tabs>
          <w:tab w:val="left" w:pos="567"/>
          <w:tab w:val="left" w:pos="3686"/>
          <w:tab w:val="left" w:pos="5954"/>
        </w:tabs>
        <w:spacing w:after="0"/>
        <w:ind w:left="0" w:firstLine="0"/>
        <w:contextualSpacing/>
      </w:pPr>
      <w:proofErr w:type="spellStart"/>
      <w:r w:rsidRPr="00DB61C7">
        <w:t>Henbury</w:t>
      </w:r>
      <w:proofErr w:type="spellEnd"/>
      <w:r w:rsidRPr="00DB61C7">
        <w:t xml:space="preserve"> School  </w:t>
      </w:r>
      <w:r w:rsidRPr="00DB61C7">
        <w:tab/>
        <w:t xml:space="preserve">Darwin </w:t>
      </w:r>
      <w:r w:rsidRPr="00DB61C7">
        <w:tab/>
        <w:t>(7-12)</w:t>
      </w:r>
    </w:p>
    <w:p w14:paraId="542FF04D" w14:textId="77777777" w:rsidR="008E32B1" w:rsidRPr="00DB61C7" w:rsidRDefault="008E32B1" w:rsidP="008E32B1">
      <w:pPr>
        <w:pStyle w:val="ListParagraph"/>
        <w:numPr>
          <w:ilvl w:val="0"/>
          <w:numId w:val="36"/>
        </w:numPr>
        <w:tabs>
          <w:tab w:val="left" w:pos="567"/>
          <w:tab w:val="left" w:pos="3686"/>
          <w:tab w:val="left" w:pos="5954"/>
        </w:tabs>
        <w:spacing w:after="0"/>
        <w:ind w:left="0" w:firstLine="0"/>
        <w:contextualSpacing/>
      </w:pPr>
      <w:r w:rsidRPr="00DB61C7">
        <w:t xml:space="preserve">Forrest Parade School </w:t>
      </w:r>
      <w:r w:rsidRPr="00DB61C7">
        <w:tab/>
        <w:t>Palmerston</w:t>
      </w:r>
      <w:r w:rsidRPr="00DB61C7">
        <w:tab/>
        <w:t xml:space="preserve">(P-6) </w:t>
      </w:r>
    </w:p>
    <w:p w14:paraId="4E228E6B" w14:textId="77777777" w:rsidR="008E32B1" w:rsidRPr="00DB61C7" w:rsidRDefault="008E32B1" w:rsidP="008E32B1">
      <w:pPr>
        <w:pStyle w:val="ListParagraph"/>
        <w:numPr>
          <w:ilvl w:val="0"/>
          <w:numId w:val="36"/>
        </w:numPr>
        <w:tabs>
          <w:tab w:val="left" w:pos="567"/>
          <w:tab w:val="left" w:pos="3686"/>
          <w:tab w:val="left" w:pos="5954"/>
        </w:tabs>
        <w:spacing w:after="0"/>
        <w:ind w:left="0" w:firstLine="0"/>
        <w:contextualSpacing/>
      </w:pPr>
      <w:r w:rsidRPr="00DB61C7">
        <w:t xml:space="preserve">Kintore School  </w:t>
      </w:r>
      <w:r w:rsidRPr="00DB61C7">
        <w:tab/>
        <w:t xml:space="preserve">Katherine </w:t>
      </w:r>
      <w:r w:rsidRPr="00DB61C7">
        <w:tab/>
        <w:t>(P-12)</w:t>
      </w:r>
    </w:p>
    <w:p w14:paraId="1EBE6D8C" w14:textId="77777777" w:rsidR="008E32B1" w:rsidRPr="00DB61C7" w:rsidRDefault="008E32B1" w:rsidP="008E32B1">
      <w:pPr>
        <w:pStyle w:val="ListParagraph"/>
        <w:numPr>
          <w:ilvl w:val="0"/>
          <w:numId w:val="36"/>
        </w:numPr>
        <w:tabs>
          <w:tab w:val="left" w:pos="567"/>
          <w:tab w:val="left" w:pos="3686"/>
          <w:tab w:val="left" w:pos="5954"/>
        </w:tabs>
        <w:spacing w:after="0"/>
        <w:ind w:left="0" w:firstLine="0"/>
        <w:contextualSpacing/>
      </w:pPr>
      <w:r w:rsidRPr="00DB61C7">
        <w:t xml:space="preserve">Acacia Hill School </w:t>
      </w:r>
      <w:r w:rsidRPr="00DB61C7">
        <w:tab/>
        <w:t xml:space="preserve">Alice Springs </w:t>
      </w:r>
      <w:r w:rsidRPr="00DB61C7">
        <w:tab/>
        <w:t>(P-12)</w:t>
      </w:r>
    </w:p>
    <w:p w14:paraId="0A7D6310" w14:textId="77777777" w:rsidR="008E32B1" w:rsidRPr="00DB61C7" w:rsidRDefault="008E32B1" w:rsidP="008E32B1"/>
    <w:p w14:paraId="074E1011" w14:textId="77777777" w:rsidR="008E32B1" w:rsidRPr="00DB61C7" w:rsidRDefault="008E32B1" w:rsidP="008E32B1">
      <w:pPr>
        <w:pStyle w:val="Heading4"/>
        <w:numPr>
          <w:ilvl w:val="0"/>
          <w:numId w:val="0"/>
        </w:numPr>
        <w:rPr>
          <w:sz w:val="22"/>
          <w:szCs w:val="22"/>
        </w:rPr>
      </w:pPr>
      <w:r w:rsidRPr="00DB61C7">
        <w:rPr>
          <w:sz w:val="22"/>
          <w:szCs w:val="22"/>
        </w:rPr>
        <w:t>Special Centres</w:t>
      </w:r>
    </w:p>
    <w:p w14:paraId="58CB18F1" w14:textId="77777777" w:rsidR="008E32B1" w:rsidRPr="00DB61C7" w:rsidRDefault="008E32B1" w:rsidP="008E32B1">
      <w:r w:rsidRPr="00DB61C7">
        <w:t>Special Centres are located at the following schools:</w:t>
      </w:r>
    </w:p>
    <w:p w14:paraId="0288BB4F" w14:textId="77777777" w:rsidR="008E32B1" w:rsidRPr="00DB61C7" w:rsidRDefault="008E32B1" w:rsidP="008E32B1">
      <w:pPr>
        <w:pStyle w:val="ListParagraph"/>
        <w:numPr>
          <w:ilvl w:val="0"/>
          <w:numId w:val="37"/>
        </w:numPr>
        <w:tabs>
          <w:tab w:val="left" w:pos="567"/>
          <w:tab w:val="left" w:pos="5954"/>
        </w:tabs>
        <w:spacing w:after="0"/>
        <w:ind w:left="0" w:firstLine="0"/>
        <w:contextualSpacing/>
      </w:pPr>
      <w:r w:rsidRPr="00DB61C7">
        <w:t xml:space="preserve">Humpty Doo Primary School </w:t>
      </w:r>
      <w:r w:rsidRPr="00DB61C7">
        <w:tab/>
        <w:t>(P-6)</w:t>
      </w:r>
    </w:p>
    <w:p w14:paraId="52866C70" w14:textId="77777777" w:rsidR="008E32B1" w:rsidRPr="00DB61C7" w:rsidRDefault="008E32B1" w:rsidP="008E32B1">
      <w:pPr>
        <w:pStyle w:val="ListParagraph"/>
        <w:numPr>
          <w:ilvl w:val="0"/>
          <w:numId w:val="37"/>
        </w:numPr>
        <w:tabs>
          <w:tab w:val="left" w:pos="567"/>
          <w:tab w:val="left" w:pos="5954"/>
        </w:tabs>
        <w:spacing w:after="0"/>
        <w:ind w:left="0" w:firstLine="0"/>
        <w:contextualSpacing/>
      </w:pPr>
      <w:r w:rsidRPr="00DB61C7">
        <w:t>Nhulunbuy Primary School</w:t>
      </w:r>
      <w:r w:rsidRPr="00DB61C7">
        <w:tab/>
        <w:t>(P-6)</w:t>
      </w:r>
    </w:p>
    <w:p w14:paraId="09FADB03" w14:textId="77777777" w:rsidR="008E32B1" w:rsidRPr="00DB61C7" w:rsidRDefault="008E32B1" w:rsidP="008E32B1">
      <w:pPr>
        <w:pStyle w:val="ListParagraph"/>
        <w:numPr>
          <w:ilvl w:val="0"/>
          <w:numId w:val="37"/>
        </w:numPr>
        <w:tabs>
          <w:tab w:val="left" w:pos="567"/>
          <w:tab w:val="left" w:pos="5954"/>
        </w:tabs>
        <w:spacing w:after="0"/>
        <w:ind w:left="0" w:firstLine="0"/>
        <w:contextualSpacing/>
      </w:pPr>
      <w:proofErr w:type="spellStart"/>
      <w:r w:rsidRPr="00DB61C7">
        <w:t>Woodroffe</w:t>
      </w:r>
      <w:proofErr w:type="spellEnd"/>
      <w:r w:rsidRPr="00DB61C7">
        <w:t xml:space="preserve"> Primary School</w:t>
      </w:r>
      <w:r w:rsidRPr="00DB61C7">
        <w:tab/>
        <w:t>(P-6)</w:t>
      </w:r>
    </w:p>
    <w:p w14:paraId="77B0AFCB" w14:textId="77777777" w:rsidR="008E32B1" w:rsidRPr="00DB61C7" w:rsidRDefault="008E32B1" w:rsidP="008E32B1">
      <w:pPr>
        <w:pStyle w:val="ListParagraph"/>
        <w:numPr>
          <w:ilvl w:val="0"/>
          <w:numId w:val="37"/>
        </w:numPr>
        <w:tabs>
          <w:tab w:val="left" w:pos="567"/>
          <w:tab w:val="left" w:pos="5954"/>
        </w:tabs>
        <w:spacing w:after="0"/>
        <w:ind w:left="0" w:firstLine="0"/>
        <w:contextualSpacing/>
      </w:pPr>
      <w:proofErr w:type="spellStart"/>
      <w:r w:rsidRPr="00DB61C7">
        <w:t>Centralian</w:t>
      </w:r>
      <w:proofErr w:type="spellEnd"/>
      <w:r w:rsidRPr="00DB61C7">
        <w:t xml:space="preserve"> Middle School </w:t>
      </w:r>
      <w:r w:rsidRPr="00DB61C7">
        <w:tab/>
        <w:t>(7-9)</w:t>
      </w:r>
    </w:p>
    <w:p w14:paraId="5054F74E" w14:textId="77777777" w:rsidR="008E32B1" w:rsidRPr="00DB61C7" w:rsidRDefault="008E32B1" w:rsidP="008E32B1">
      <w:pPr>
        <w:pStyle w:val="ListParagraph"/>
        <w:numPr>
          <w:ilvl w:val="0"/>
          <w:numId w:val="37"/>
        </w:numPr>
        <w:tabs>
          <w:tab w:val="left" w:pos="567"/>
          <w:tab w:val="left" w:pos="5954"/>
        </w:tabs>
        <w:spacing w:after="0"/>
        <w:ind w:left="0" w:firstLine="0"/>
        <w:contextualSpacing/>
      </w:pPr>
      <w:r w:rsidRPr="00DB61C7">
        <w:t xml:space="preserve">Katherine High School </w:t>
      </w:r>
      <w:r w:rsidRPr="00DB61C7">
        <w:tab/>
        <w:t>(7-12)</w:t>
      </w:r>
    </w:p>
    <w:p w14:paraId="66A04F37" w14:textId="77777777" w:rsidR="008E32B1" w:rsidRPr="00DB61C7" w:rsidRDefault="008E32B1" w:rsidP="008E32B1">
      <w:pPr>
        <w:pStyle w:val="ListParagraph"/>
        <w:numPr>
          <w:ilvl w:val="0"/>
          <w:numId w:val="37"/>
        </w:numPr>
        <w:tabs>
          <w:tab w:val="left" w:pos="567"/>
          <w:tab w:val="left" w:pos="5954"/>
        </w:tabs>
        <w:spacing w:after="0"/>
        <w:ind w:left="0" w:firstLine="0"/>
        <w:contextualSpacing/>
      </w:pPr>
      <w:r w:rsidRPr="00DB61C7">
        <w:t xml:space="preserve">Nhulunbuy High School </w:t>
      </w:r>
      <w:r w:rsidRPr="00DB61C7">
        <w:tab/>
        <w:t>(7-12)</w:t>
      </w:r>
    </w:p>
    <w:p w14:paraId="2F0BCFB1" w14:textId="77777777" w:rsidR="008E32B1" w:rsidRPr="00DB61C7" w:rsidRDefault="008E32B1" w:rsidP="008E32B1">
      <w:pPr>
        <w:pStyle w:val="ListParagraph"/>
        <w:numPr>
          <w:ilvl w:val="0"/>
          <w:numId w:val="37"/>
        </w:numPr>
        <w:tabs>
          <w:tab w:val="left" w:pos="567"/>
          <w:tab w:val="left" w:pos="5954"/>
        </w:tabs>
        <w:spacing w:after="0"/>
        <w:ind w:left="0" w:firstLine="0"/>
        <w:contextualSpacing/>
      </w:pPr>
      <w:r w:rsidRPr="00DB61C7">
        <w:t xml:space="preserve">Palmerston Senior College </w:t>
      </w:r>
      <w:r w:rsidRPr="00DB61C7">
        <w:tab/>
        <w:t>(7-12)</w:t>
      </w:r>
    </w:p>
    <w:p w14:paraId="732B838D" w14:textId="77777777" w:rsidR="008E32B1" w:rsidRPr="00DB61C7" w:rsidRDefault="008E32B1" w:rsidP="008E32B1">
      <w:pPr>
        <w:pStyle w:val="ListParagraph"/>
        <w:numPr>
          <w:ilvl w:val="0"/>
          <w:numId w:val="37"/>
        </w:numPr>
        <w:tabs>
          <w:tab w:val="left" w:pos="567"/>
          <w:tab w:val="left" w:pos="5954"/>
        </w:tabs>
        <w:spacing w:after="0"/>
        <w:ind w:left="0" w:firstLine="0"/>
        <w:contextualSpacing/>
      </w:pPr>
      <w:proofErr w:type="spellStart"/>
      <w:r w:rsidRPr="00DB61C7">
        <w:t>Taminmin</w:t>
      </w:r>
      <w:proofErr w:type="spellEnd"/>
      <w:r w:rsidRPr="00DB61C7">
        <w:t xml:space="preserve"> College </w:t>
      </w:r>
      <w:r w:rsidRPr="00DB61C7">
        <w:tab/>
        <w:t>(10-12)</w:t>
      </w:r>
    </w:p>
    <w:p w14:paraId="6762B8A6" w14:textId="77777777" w:rsidR="008E32B1" w:rsidRPr="00DB61C7" w:rsidRDefault="008E32B1" w:rsidP="008E32B1">
      <w:pPr>
        <w:pStyle w:val="ListParagraph"/>
        <w:numPr>
          <w:ilvl w:val="0"/>
          <w:numId w:val="37"/>
        </w:numPr>
        <w:tabs>
          <w:tab w:val="left" w:pos="567"/>
          <w:tab w:val="left" w:pos="5954"/>
        </w:tabs>
        <w:spacing w:after="0"/>
        <w:ind w:left="0" w:firstLine="0"/>
        <w:contextualSpacing/>
      </w:pPr>
      <w:proofErr w:type="spellStart"/>
      <w:r w:rsidRPr="00DB61C7">
        <w:t>Centralian</w:t>
      </w:r>
      <w:proofErr w:type="spellEnd"/>
      <w:r w:rsidRPr="00DB61C7">
        <w:t xml:space="preserve"> Senior College</w:t>
      </w:r>
      <w:r w:rsidRPr="00DB61C7">
        <w:tab/>
        <w:t>(10-12)</w:t>
      </w:r>
    </w:p>
    <w:p w14:paraId="51529F08" w14:textId="77777777" w:rsidR="008E32B1" w:rsidRPr="00DB61C7" w:rsidRDefault="008E32B1" w:rsidP="008E32B1">
      <w:pPr>
        <w:pStyle w:val="ListParagraph"/>
        <w:numPr>
          <w:ilvl w:val="0"/>
          <w:numId w:val="37"/>
        </w:numPr>
        <w:tabs>
          <w:tab w:val="left" w:pos="567"/>
          <w:tab w:val="left" w:pos="5954"/>
        </w:tabs>
        <w:spacing w:after="0"/>
        <w:ind w:left="0" w:firstLine="0"/>
        <w:contextualSpacing/>
      </w:pPr>
      <w:r w:rsidRPr="00DB61C7">
        <w:t>Tennant Creek Primary School</w:t>
      </w:r>
      <w:r w:rsidRPr="00DB61C7">
        <w:tab/>
        <w:t>(P – 6)</w:t>
      </w:r>
    </w:p>
    <w:p w14:paraId="69ABD0DE" w14:textId="77777777" w:rsidR="008E32B1" w:rsidRPr="00DB61C7" w:rsidRDefault="008E32B1" w:rsidP="00071064">
      <w:pPr>
        <w:widowControl w:val="0"/>
        <w:spacing w:after="120" w:line="293" w:lineRule="exact"/>
        <w:ind w:right="-23"/>
        <w:rPr>
          <w:rFonts w:eastAsia="Arial" w:cs="Arial"/>
          <w:position w:val="-1"/>
          <w:lang w:val="en-US"/>
        </w:rPr>
      </w:pPr>
    </w:p>
    <w:p w14:paraId="7F78C21D" w14:textId="77777777" w:rsidR="00071064" w:rsidRDefault="00071064" w:rsidP="00071064">
      <w:pPr>
        <w:rPr>
          <w:lang w:val="en-US"/>
        </w:rPr>
      </w:pPr>
    </w:p>
    <w:p w14:paraId="56BBE133" w14:textId="77777777" w:rsidR="008E32B1" w:rsidRDefault="008E32B1" w:rsidP="00071064">
      <w:pPr>
        <w:rPr>
          <w:lang w:val="en-US"/>
        </w:rPr>
      </w:pPr>
    </w:p>
    <w:p w14:paraId="00BB3560" w14:textId="77777777" w:rsidR="008E32B1" w:rsidRDefault="008E32B1" w:rsidP="00071064">
      <w:pPr>
        <w:rPr>
          <w:lang w:val="en-US"/>
        </w:rPr>
      </w:pPr>
    </w:p>
    <w:p w14:paraId="28FB612B" w14:textId="77777777" w:rsidR="008E32B1" w:rsidRDefault="008E32B1" w:rsidP="00071064">
      <w:pPr>
        <w:rPr>
          <w:lang w:val="en-US"/>
        </w:rPr>
      </w:pPr>
    </w:p>
    <w:p w14:paraId="4ECB786D" w14:textId="77777777" w:rsidR="008E32B1" w:rsidRDefault="008E32B1" w:rsidP="00071064">
      <w:pPr>
        <w:rPr>
          <w:lang w:val="en-US"/>
        </w:rPr>
      </w:pPr>
    </w:p>
    <w:p w14:paraId="6ED7CFB7" w14:textId="77777777" w:rsidR="008E32B1" w:rsidRDefault="008E32B1" w:rsidP="00071064">
      <w:pPr>
        <w:rPr>
          <w:lang w:val="en-US"/>
        </w:rPr>
      </w:pPr>
    </w:p>
    <w:p w14:paraId="68488707" w14:textId="77777777" w:rsidR="008E32B1" w:rsidRDefault="008E32B1" w:rsidP="00071064">
      <w:pPr>
        <w:rPr>
          <w:lang w:val="en-US"/>
        </w:rPr>
      </w:pPr>
    </w:p>
    <w:p w14:paraId="417118F2" w14:textId="77777777" w:rsidR="008E32B1" w:rsidRDefault="008E32B1" w:rsidP="00071064">
      <w:pPr>
        <w:rPr>
          <w:lang w:val="en-US"/>
        </w:rPr>
      </w:pPr>
    </w:p>
    <w:p w14:paraId="2AD6C9FE" w14:textId="77777777" w:rsidR="008E32B1" w:rsidRDefault="008E32B1" w:rsidP="00071064">
      <w:pPr>
        <w:rPr>
          <w:lang w:val="en-US"/>
        </w:rPr>
      </w:pPr>
    </w:p>
    <w:p w14:paraId="0D0FD318" w14:textId="77777777" w:rsidR="008E32B1" w:rsidRDefault="008E32B1" w:rsidP="00071064">
      <w:pPr>
        <w:rPr>
          <w:lang w:val="en-US"/>
        </w:rPr>
      </w:pPr>
    </w:p>
    <w:p w14:paraId="3321ED93" w14:textId="77777777" w:rsidR="008E32B1" w:rsidRPr="001604E6" w:rsidRDefault="008E32B1" w:rsidP="008E32B1">
      <w:pPr>
        <w:jc w:val="right"/>
        <w:rPr>
          <w:b/>
          <w:sz w:val="28"/>
        </w:rPr>
      </w:pPr>
      <w:r w:rsidRPr="001604E6">
        <w:rPr>
          <w:b/>
          <w:sz w:val="28"/>
        </w:rPr>
        <w:lastRenderedPageBreak/>
        <w:t>Appendix B</w:t>
      </w:r>
    </w:p>
    <w:p w14:paraId="37A40089" w14:textId="77777777" w:rsidR="008E32B1" w:rsidRPr="00162482" w:rsidRDefault="008E32B1" w:rsidP="001604E6">
      <w:pPr>
        <w:pStyle w:val="Heading3"/>
        <w:jc w:val="center"/>
      </w:pPr>
      <w:r w:rsidRPr="00162482">
        <w:t>ENROLMENT PROCESS FOR SPECIAL SCHOOLS AND SPECIAL CENTRES</w:t>
      </w:r>
    </w:p>
    <w:p w14:paraId="29B56355" w14:textId="77777777" w:rsidR="00071064" w:rsidRDefault="008E32B1" w:rsidP="00071064">
      <w:pPr>
        <w:rPr>
          <w:lang w:val="en-US"/>
        </w:rPr>
      </w:pPr>
      <w:r>
        <w:rPr>
          <w:b/>
          <w:noProof/>
          <w:lang w:eastAsia="en-AU"/>
        </w:rPr>
        <w:drawing>
          <wp:anchor distT="0" distB="0" distL="114300" distR="114300" simplePos="0" relativeHeight="251659264" behindDoc="1" locked="0" layoutInCell="1" allowOverlap="1" wp14:anchorId="010E9A8F" wp14:editId="284C1E97">
            <wp:simplePos x="0" y="0"/>
            <wp:positionH relativeFrom="margin">
              <wp:posOffset>422910</wp:posOffset>
            </wp:positionH>
            <wp:positionV relativeFrom="paragraph">
              <wp:posOffset>28575</wp:posOffset>
            </wp:positionV>
            <wp:extent cx="5734050" cy="7783195"/>
            <wp:effectExtent l="0" t="0" r="0" b="8255"/>
            <wp:wrapTight wrapText="bothSides">
              <wp:wrapPolygon edited="0">
                <wp:start x="0" y="0"/>
                <wp:lineTo x="0" y="21570"/>
                <wp:lineTo x="21528" y="21570"/>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rolment in special schools and special centres - Flowchart - Enrolment Process  V.03 Feb 2015.jpg"/>
                    <pic:cNvPicPr/>
                  </pic:nvPicPr>
                  <pic:blipFill>
                    <a:blip r:embed="rId27">
                      <a:extLst>
                        <a:ext uri="{28A0092B-C50C-407E-A947-70E740481C1C}">
                          <a14:useLocalDpi xmlns:a14="http://schemas.microsoft.com/office/drawing/2010/main" val="0"/>
                        </a:ext>
                      </a:extLst>
                    </a:blip>
                    <a:stretch>
                      <a:fillRect/>
                    </a:stretch>
                  </pic:blipFill>
                  <pic:spPr>
                    <a:xfrm>
                      <a:off x="0" y="0"/>
                      <a:ext cx="5734050" cy="7783195"/>
                    </a:xfrm>
                    <a:prstGeom prst="rect">
                      <a:avLst/>
                    </a:prstGeom>
                  </pic:spPr>
                </pic:pic>
              </a:graphicData>
            </a:graphic>
            <wp14:sizeRelH relativeFrom="margin">
              <wp14:pctWidth>0</wp14:pctWidth>
            </wp14:sizeRelH>
            <wp14:sizeRelV relativeFrom="margin">
              <wp14:pctHeight>0</wp14:pctHeight>
            </wp14:sizeRelV>
          </wp:anchor>
        </w:drawing>
      </w:r>
    </w:p>
    <w:p w14:paraId="2EB08C5F" w14:textId="77777777" w:rsidR="008E32B1" w:rsidRPr="00071064" w:rsidRDefault="008E32B1" w:rsidP="00071064">
      <w:pPr>
        <w:rPr>
          <w:lang w:val="en-US"/>
        </w:rPr>
      </w:pPr>
    </w:p>
    <w:p w14:paraId="4605DFD8" w14:textId="77777777" w:rsidR="00071064" w:rsidRPr="00162482" w:rsidRDefault="00071064" w:rsidP="00071064">
      <w:pPr>
        <w:spacing w:after="0"/>
        <w:rPr>
          <w:rFonts w:cs="Arial"/>
          <w:bCs/>
          <w:sz w:val="24"/>
          <w:lang w:val="en-US"/>
        </w:rPr>
      </w:pPr>
    </w:p>
    <w:p w14:paraId="6A69384F" w14:textId="77777777" w:rsidR="00071064" w:rsidRPr="00071064" w:rsidRDefault="00071064" w:rsidP="00071064">
      <w:pPr>
        <w:rPr>
          <w:lang w:val="en-US"/>
        </w:rPr>
      </w:pPr>
    </w:p>
    <w:p w14:paraId="61A21C8B" w14:textId="77777777" w:rsidR="00D87F48" w:rsidRPr="00D87F48" w:rsidRDefault="00D87F48" w:rsidP="00D87F48">
      <w:pPr>
        <w:rPr>
          <w:rFonts w:cs="Arial"/>
          <w:sz w:val="24"/>
          <w:lang w:val="en-US"/>
        </w:rPr>
      </w:pPr>
    </w:p>
    <w:p w14:paraId="232DE547" w14:textId="77777777" w:rsidR="00D87F48" w:rsidRPr="00D87F48" w:rsidRDefault="00D87F48" w:rsidP="00D87F48">
      <w:pPr>
        <w:rPr>
          <w:rFonts w:cs="Arial"/>
          <w:sz w:val="24"/>
          <w:lang w:val="en-US"/>
        </w:rPr>
      </w:pPr>
    </w:p>
    <w:p w14:paraId="32C19409" w14:textId="77777777" w:rsidR="00D1086D" w:rsidRPr="00162482" w:rsidRDefault="00D1086D" w:rsidP="00D87F48">
      <w:pPr>
        <w:rPr>
          <w:lang w:val="en-US"/>
        </w:rPr>
      </w:pPr>
    </w:p>
    <w:p w14:paraId="4758DC6F" w14:textId="77777777" w:rsidR="00D1086D" w:rsidRPr="00D1086D" w:rsidRDefault="00D1086D" w:rsidP="00D87F48">
      <w:pPr>
        <w:rPr>
          <w:lang w:val="en-US"/>
        </w:rPr>
      </w:pPr>
    </w:p>
    <w:sectPr w:rsidR="00D1086D" w:rsidRPr="00D1086D" w:rsidSect="00A567EE">
      <w:headerReference w:type="default" r:id="rId28"/>
      <w:footerReference w:type="default" r:id="rId29"/>
      <w:headerReference w:type="first" r:id="rId30"/>
      <w:footerReference w:type="first" r:id="rId31"/>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4423C" w14:textId="77777777" w:rsidR="00664AB0" w:rsidRDefault="00664AB0" w:rsidP="007332FF">
      <w:r>
        <w:separator/>
      </w:r>
    </w:p>
  </w:endnote>
  <w:endnote w:type="continuationSeparator" w:id="0">
    <w:p w14:paraId="48CE80D6" w14:textId="77777777" w:rsidR="00664AB0" w:rsidRDefault="00664AB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E41A4"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75406EE" w14:textId="77777777" w:rsidTr="00D47DC7">
      <w:trPr>
        <w:cantSplit/>
        <w:trHeight w:hRule="exact" w:val="850"/>
      </w:trPr>
      <w:tc>
        <w:tcPr>
          <w:tcW w:w="10318" w:type="dxa"/>
          <w:vAlign w:val="bottom"/>
        </w:tcPr>
        <w:p w14:paraId="64791BE0"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45AEC">
                <w:rPr>
                  <w:rStyle w:val="PageNumber"/>
                  <w:b/>
                </w:rPr>
                <w:t>EDUCATION</w:t>
              </w:r>
            </w:sdtContent>
          </w:sdt>
          <w:r w:rsidRPr="00CE6614">
            <w:rPr>
              <w:rStyle w:val="PageNumber"/>
            </w:rPr>
            <w:t xml:space="preserve"> </w:t>
          </w:r>
        </w:p>
        <w:p w14:paraId="152F3E6A" w14:textId="101CE8B7" w:rsidR="0056377B" w:rsidRDefault="00664AB0" w:rsidP="0056377B">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19-10-11T00:00:00Z">
                <w:dateFormat w:val="d MMMM yyyy"/>
                <w:lid w:val="en-AU"/>
                <w:storeMappedDataAs w:val="dateTime"/>
                <w:calendar w:val="gregorian"/>
              </w:date>
            </w:sdtPr>
            <w:sdtEndPr>
              <w:rPr>
                <w:rStyle w:val="PageNumber"/>
              </w:rPr>
            </w:sdtEndPr>
            <w:sdtContent>
              <w:r w:rsidR="00DB61C7">
                <w:rPr>
                  <w:rStyle w:val="PageNumber"/>
                </w:rPr>
                <w:t>11 October 2019</w:t>
              </w:r>
            </w:sdtContent>
          </w:sdt>
          <w:r w:rsidR="00D47DC7" w:rsidRPr="00CE6614">
            <w:rPr>
              <w:rStyle w:val="PageNumber"/>
            </w:rPr>
            <w:t xml:space="preserve"> | Version </w:t>
          </w:r>
          <w:r w:rsidR="0056377B">
            <w:rPr>
              <w:rStyle w:val="PageNumber"/>
            </w:rPr>
            <w:t>2.1</w:t>
          </w:r>
          <w:r w:rsidR="00D47DC7">
            <w:rPr>
              <w:rStyle w:val="PageNumber"/>
            </w:rPr>
            <w:t xml:space="preserve"> </w:t>
          </w:r>
        </w:p>
        <w:p w14:paraId="507A1A69" w14:textId="0007ADDD" w:rsidR="00CA36A0" w:rsidRPr="00AC4488" w:rsidRDefault="00D47DC7" w:rsidP="0056377B">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E149A">
            <w:rPr>
              <w:rStyle w:val="PageNumber"/>
              <w:noProof/>
            </w:rPr>
            <w:t>11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E149A">
            <w:rPr>
              <w:rStyle w:val="PageNumber"/>
              <w:noProof/>
            </w:rPr>
            <w:t>11</w:t>
          </w:r>
          <w:r w:rsidRPr="00AC4488">
            <w:rPr>
              <w:rStyle w:val="PageNumber"/>
            </w:rPr>
            <w:fldChar w:fldCharType="end"/>
          </w:r>
        </w:p>
      </w:tc>
    </w:tr>
  </w:tbl>
  <w:p w14:paraId="6D9AE207"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0DD8"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6932864F" w14:textId="77777777" w:rsidTr="008921B4">
      <w:trPr>
        <w:cantSplit/>
        <w:trHeight w:hRule="exact" w:val="1134"/>
      </w:trPr>
      <w:tc>
        <w:tcPr>
          <w:tcW w:w="7767" w:type="dxa"/>
          <w:vAlign w:val="bottom"/>
        </w:tcPr>
        <w:p w14:paraId="318DDC54" w14:textId="77777777" w:rsidR="00D47DC7" w:rsidRDefault="00D47DC7" w:rsidP="00D47DC7">
          <w:pPr>
            <w:spacing w:after="0"/>
            <w:rPr>
              <w:rStyle w:val="PageNumber"/>
              <w:b/>
            </w:rPr>
          </w:pPr>
          <w:r>
            <w:rPr>
              <w:rStyle w:val="PageNumber"/>
            </w:rPr>
            <w:t xml:space="preserve">Department of </w:t>
          </w:r>
          <w:sdt>
            <w:sdtPr>
              <w:rPr>
                <w:b/>
                <w:sz w:val="19"/>
              </w:rPr>
              <w:alias w:val="Company"/>
              <w:tag w:val=""/>
              <w:id w:val="-1550452142"/>
              <w:dataBinding w:prefixMappings="xmlns:ns0='http://schemas.openxmlformats.org/officeDocument/2006/extended-properties' " w:xpath="/ns0:Properties[1]/ns0:Company[1]" w:storeItemID="{6668398D-A668-4E3E-A5EB-62B293D839F1}"/>
              <w:text w:multiLine="1"/>
            </w:sdtPr>
            <w:sdtEndPr/>
            <w:sdtContent>
              <w:r w:rsidR="00145AEC" w:rsidRPr="00145AEC">
                <w:rPr>
                  <w:b/>
                  <w:sz w:val="19"/>
                </w:rPr>
                <w:t>EDUCATION</w:t>
              </w:r>
            </w:sdtContent>
          </w:sdt>
        </w:p>
        <w:p w14:paraId="2A4A5996" w14:textId="1C68BC0D" w:rsidR="00D47DC7" w:rsidRPr="00CE6614" w:rsidRDefault="00664AB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19-10-11T00:00:00Z">
                <w:dateFormat w:val="d MMMM yyyy"/>
                <w:lid w:val="en-AU"/>
                <w:storeMappedDataAs w:val="dateTime"/>
                <w:calendar w:val="gregorian"/>
              </w:date>
            </w:sdtPr>
            <w:sdtEndPr>
              <w:rPr>
                <w:rStyle w:val="PageNumber"/>
              </w:rPr>
            </w:sdtEndPr>
            <w:sdtContent>
              <w:r w:rsidR="00DB61C7">
                <w:rPr>
                  <w:rStyle w:val="PageNumber"/>
                </w:rPr>
                <w:t>11 October 2019</w:t>
              </w:r>
            </w:sdtContent>
          </w:sdt>
          <w:r w:rsidR="00D47DC7" w:rsidRPr="00CE6614">
            <w:rPr>
              <w:rStyle w:val="PageNumber"/>
            </w:rPr>
            <w:t xml:space="preserve"> | Version </w:t>
          </w:r>
          <w:r w:rsidR="0056377B">
            <w:rPr>
              <w:rStyle w:val="PageNumber"/>
            </w:rPr>
            <w:t>2.1</w:t>
          </w:r>
        </w:p>
        <w:p w14:paraId="015B9C86" w14:textId="34CD2B94"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E149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E149A">
            <w:rPr>
              <w:rStyle w:val="PageNumber"/>
              <w:noProof/>
            </w:rPr>
            <w:t>11</w:t>
          </w:r>
          <w:r w:rsidRPr="00AC4488">
            <w:rPr>
              <w:rStyle w:val="PageNumber"/>
            </w:rPr>
            <w:fldChar w:fldCharType="end"/>
          </w:r>
        </w:p>
      </w:tc>
      <w:tc>
        <w:tcPr>
          <w:tcW w:w="2551" w:type="dxa"/>
          <w:vAlign w:val="bottom"/>
        </w:tcPr>
        <w:p w14:paraId="329069AB" w14:textId="77777777" w:rsidR="0071700C" w:rsidRPr="001E14EB" w:rsidRDefault="0071700C" w:rsidP="0071700C">
          <w:pPr>
            <w:spacing w:after="0"/>
            <w:jc w:val="right"/>
          </w:pPr>
          <w:r>
            <w:rPr>
              <w:noProof/>
              <w:lang w:eastAsia="en-AU"/>
            </w:rPr>
            <w:drawing>
              <wp:inline distT="0" distB="0" distL="0" distR="0" wp14:anchorId="1F3C2F10" wp14:editId="62E62F35">
                <wp:extent cx="1574700" cy="561600"/>
                <wp:effectExtent l="0" t="0" r="6985"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700" cy="561600"/>
                        </a:xfrm>
                        <a:prstGeom prst="rect">
                          <a:avLst/>
                        </a:prstGeom>
                        <a:noFill/>
                        <a:ln>
                          <a:noFill/>
                        </a:ln>
                      </pic:spPr>
                    </pic:pic>
                  </a:graphicData>
                </a:graphic>
              </wp:inline>
            </w:drawing>
          </w:r>
          <w:r w:rsidRPr="00785C24">
            <w:rPr>
              <w:rStyle w:val="PageNumber"/>
              <w:noProof/>
              <w:lang w:eastAsia="en-AU"/>
            </w:rPr>
            <w:t xml:space="preserve"> </w:t>
          </w:r>
        </w:p>
      </w:tc>
    </w:tr>
  </w:tbl>
  <w:p w14:paraId="52576B17"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883B2" w14:textId="77777777" w:rsidR="00664AB0" w:rsidRDefault="00664AB0" w:rsidP="007332FF">
      <w:r>
        <w:separator/>
      </w:r>
    </w:p>
  </w:footnote>
  <w:footnote w:type="continuationSeparator" w:id="0">
    <w:p w14:paraId="4FECAA40" w14:textId="77777777" w:rsidR="00664AB0" w:rsidRDefault="00664AB0" w:rsidP="007332FF">
      <w:r>
        <w:continuationSeparator/>
      </w:r>
    </w:p>
  </w:footnote>
  <w:footnote w:id="1">
    <w:p w14:paraId="483BC882" w14:textId="77777777" w:rsidR="001F2C56" w:rsidRPr="00915494" w:rsidRDefault="001F2C56" w:rsidP="001F2C56">
      <w:pPr>
        <w:pStyle w:val="FootnoteText"/>
        <w:rPr>
          <w:lang w:val="en-US"/>
        </w:rPr>
      </w:pPr>
      <w:r>
        <w:rPr>
          <w:rStyle w:val="FootnoteReference"/>
        </w:rPr>
        <w:footnoteRef/>
      </w:r>
      <w:r>
        <w:t xml:space="preserve"> </w:t>
      </w:r>
      <w:r w:rsidRPr="00A33BD0">
        <w:rPr>
          <w:rFonts w:cs="Arial"/>
          <w:i/>
          <w:iCs/>
          <w:sz w:val="14"/>
          <w:szCs w:val="14"/>
        </w:rPr>
        <w:t>Disability Standards for Education 2005</w:t>
      </w:r>
      <w:r w:rsidRPr="005251C0">
        <w:rPr>
          <w:rFonts w:cs="Arial"/>
          <w:sz w:val="14"/>
          <w:szCs w:val="14"/>
        </w:rPr>
        <w:t xml:space="preserve"> </w:t>
      </w:r>
      <w:hyperlink r:id="rId1" w:history="1">
        <w:r w:rsidRPr="005251C0">
          <w:rPr>
            <w:rStyle w:val="Hyperlink"/>
            <w:rFonts w:cs="Arial"/>
            <w:sz w:val="14"/>
            <w:szCs w:val="14"/>
          </w:rPr>
          <w:t>https://education.gov.au/disability-standards-education</w:t>
        </w:r>
      </w:hyperlink>
    </w:p>
  </w:footnote>
  <w:footnote w:id="2">
    <w:p w14:paraId="38880E3A" w14:textId="77777777" w:rsidR="001F2C56" w:rsidRPr="00915494" w:rsidRDefault="001F2C56" w:rsidP="001F2C56">
      <w:pPr>
        <w:pStyle w:val="FootnoteText"/>
        <w:rPr>
          <w:lang w:val="en-US"/>
        </w:rPr>
      </w:pPr>
      <w:r>
        <w:rPr>
          <w:rStyle w:val="FootnoteReference"/>
        </w:rPr>
        <w:footnoteRef/>
      </w:r>
      <w:r>
        <w:t xml:space="preserve"> </w:t>
      </w:r>
      <w:r w:rsidRPr="00A33BD0">
        <w:rPr>
          <w:i/>
          <w:sz w:val="14"/>
          <w:szCs w:val="14"/>
        </w:rPr>
        <w:t>Disability Discrimination Act 1992</w:t>
      </w:r>
      <w:r>
        <w:rPr>
          <w:i/>
          <w:sz w:val="14"/>
          <w:szCs w:val="14"/>
        </w:rPr>
        <w:t xml:space="preserve"> (</w:t>
      </w:r>
      <w:proofErr w:type="spellStart"/>
      <w:r>
        <w:rPr>
          <w:i/>
          <w:sz w:val="14"/>
          <w:szCs w:val="14"/>
        </w:rPr>
        <w:t>Cwlth</w:t>
      </w:r>
      <w:proofErr w:type="spellEnd"/>
      <w:r>
        <w:rPr>
          <w:i/>
          <w:sz w:val="14"/>
          <w:szCs w:val="14"/>
        </w:rPr>
        <w:t>)</w:t>
      </w:r>
      <w:r w:rsidRPr="005251C0">
        <w:rPr>
          <w:sz w:val="14"/>
          <w:szCs w:val="14"/>
        </w:rPr>
        <w:t xml:space="preserve"> </w:t>
      </w:r>
      <w:hyperlink r:id="rId2" w:history="1">
        <w:r w:rsidRPr="005251C0">
          <w:rPr>
            <w:rStyle w:val="Hyperlink"/>
            <w:sz w:val="14"/>
            <w:szCs w:val="14"/>
          </w:rPr>
          <w:t>https://www.legislation.gov.au/Series/C2004A04426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87D8" w14:textId="77777777" w:rsidR="00983000" w:rsidRPr="00162207" w:rsidRDefault="00664AB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B02C22">
          <w:t>Enrolment in Special Schools and Special Centres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14:paraId="0795E0C3" w14:textId="77777777" w:rsidR="00E54F9E" w:rsidRDefault="00B02C22" w:rsidP="00DB61C7">
        <w:pPr>
          <w:pStyle w:val="Title"/>
          <w:rPr>
            <w:rStyle w:val="TitleChar"/>
          </w:rPr>
        </w:pPr>
        <w:r>
          <w:rPr>
            <w:rStyle w:val="TitleChar"/>
          </w:rPr>
          <w:t>Enrolment in Special Schools and Special Centres Guidelines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5450"/>
      <w:gridCol w:w="988"/>
      <w:gridCol w:w="1770"/>
    </w:tblGrid>
    <w:tr w:rsidR="00B02C22" w14:paraId="1E8E1BA6" w14:textId="77777777" w:rsidTr="00353430">
      <w:tc>
        <w:tcPr>
          <w:tcW w:w="2122" w:type="dxa"/>
          <w:vAlign w:val="center"/>
        </w:tcPr>
        <w:p w14:paraId="1BDC5024" w14:textId="77777777" w:rsidR="00B02C22" w:rsidRDefault="00B02C22" w:rsidP="00B02C22">
          <w:pPr>
            <w:spacing w:after="0"/>
            <w:ind w:left="-110"/>
          </w:pPr>
          <w:r w:rsidRPr="00E27600">
            <w:t>Responsibility of:</w:t>
          </w:r>
        </w:p>
      </w:tc>
      <w:tc>
        <w:tcPr>
          <w:tcW w:w="5528" w:type="dxa"/>
          <w:vAlign w:val="center"/>
        </w:tcPr>
        <w:p w14:paraId="6DFB2A80" w14:textId="77777777" w:rsidR="00B02C22" w:rsidRDefault="00B02C22" w:rsidP="00B02C22">
          <w:pPr>
            <w:spacing w:after="0"/>
            <w:ind w:left="-110"/>
          </w:pPr>
          <w:r>
            <w:t>Student Wellbeing and Inclusion</w:t>
          </w:r>
        </w:p>
      </w:tc>
      <w:tc>
        <w:tcPr>
          <w:tcW w:w="992" w:type="dxa"/>
          <w:vAlign w:val="center"/>
        </w:tcPr>
        <w:p w14:paraId="579A5DE5" w14:textId="77777777" w:rsidR="00B02C22" w:rsidRDefault="00B02C22" w:rsidP="00B02C22">
          <w:pPr>
            <w:spacing w:after="0"/>
            <w:ind w:left="-110"/>
          </w:pPr>
          <w:r w:rsidRPr="00E27600">
            <w:t>File</w:t>
          </w:r>
          <w:r>
            <w:t>:</w:t>
          </w:r>
        </w:p>
      </w:tc>
      <w:tc>
        <w:tcPr>
          <w:tcW w:w="1666" w:type="dxa"/>
          <w:vAlign w:val="center"/>
        </w:tcPr>
        <w:p w14:paraId="5810FB86" w14:textId="70EAB9E9" w:rsidR="00B02C22" w:rsidRDefault="00465F77" w:rsidP="00B02C22">
          <w:pPr>
            <w:spacing w:after="0"/>
            <w:jc w:val="right"/>
          </w:pPr>
          <w:r>
            <w:t>FILE</w:t>
          </w:r>
          <w:r w:rsidR="00B02C22">
            <w:t>2018/3833</w:t>
          </w:r>
        </w:p>
      </w:tc>
    </w:tr>
    <w:tr w:rsidR="00B02C22" w14:paraId="48046C79" w14:textId="77777777" w:rsidTr="00353430">
      <w:tc>
        <w:tcPr>
          <w:tcW w:w="2122" w:type="dxa"/>
          <w:vAlign w:val="center"/>
        </w:tcPr>
        <w:p w14:paraId="4CC76C39" w14:textId="4C29C4E0" w:rsidR="00B02C22" w:rsidRDefault="001604E6" w:rsidP="00B02C22">
          <w:pPr>
            <w:spacing w:after="0"/>
            <w:ind w:left="-110"/>
          </w:pPr>
          <w:r>
            <w:t>Effective d</w:t>
          </w:r>
          <w:r w:rsidR="00B02C22" w:rsidRPr="00E27600">
            <w:t>ate:</w:t>
          </w:r>
        </w:p>
      </w:tc>
      <w:tc>
        <w:tcPr>
          <w:tcW w:w="5528" w:type="dxa"/>
          <w:vAlign w:val="center"/>
        </w:tcPr>
        <w:p w14:paraId="198F9409" w14:textId="77777777" w:rsidR="00B02C22" w:rsidRDefault="00B02C22" w:rsidP="00B02C22">
          <w:pPr>
            <w:spacing w:after="0"/>
            <w:ind w:left="-110"/>
          </w:pPr>
          <w:r>
            <w:t>June</w:t>
          </w:r>
          <w:r w:rsidRPr="00E27600">
            <w:t xml:space="preserve"> 2016</w:t>
          </w:r>
        </w:p>
      </w:tc>
      <w:tc>
        <w:tcPr>
          <w:tcW w:w="992" w:type="dxa"/>
          <w:vAlign w:val="center"/>
        </w:tcPr>
        <w:p w14:paraId="342EE221" w14:textId="77777777" w:rsidR="00B02C22" w:rsidRDefault="00B02C22" w:rsidP="00B02C22">
          <w:pPr>
            <w:spacing w:after="0"/>
            <w:ind w:left="-110"/>
          </w:pPr>
          <w:r w:rsidRPr="00E27600">
            <w:t>EDOC:</w:t>
          </w:r>
        </w:p>
      </w:tc>
      <w:tc>
        <w:tcPr>
          <w:tcW w:w="1666" w:type="dxa"/>
          <w:vAlign w:val="center"/>
        </w:tcPr>
        <w:p w14:paraId="05A5E30F" w14:textId="45922F2B" w:rsidR="00B02C22" w:rsidRDefault="00241B67" w:rsidP="00B02C22">
          <w:pPr>
            <w:spacing w:after="0"/>
            <w:jc w:val="right"/>
          </w:pPr>
          <w:r>
            <w:t>50:D19:102406</w:t>
          </w:r>
        </w:p>
      </w:tc>
    </w:tr>
    <w:tr w:rsidR="00B02C22" w14:paraId="000C9EAF" w14:textId="77777777" w:rsidTr="00353430">
      <w:tc>
        <w:tcPr>
          <w:tcW w:w="2122" w:type="dxa"/>
          <w:vAlign w:val="center"/>
        </w:tcPr>
        <w:p w14:paraId="6CC2365F" w14:textId="5A4CFFF0" w:rsidR="00B02C22" w:rsidRDefault="00B02C22" w:rsidP="00B02C22">
          <w:pPr>
            <w:spacing w:after="0"/>
            <w:ind w:left="-110"/>
          </w:pPr>
          <w:r w:rsidRPr="00E27600">
            <w:t xml:space="preserve">Next </w:t>
          </w:r>
          <w:r w:rsidR="001604E6" w:rsidRPr="00E27600">
            <w:t>review date</w:t>
          </w:r>
          <w:r w:rsidRPr="00E27600">
            <w:t>:</w:t>
          </w:r>
        </w:p>
      </w:tc>
      <w:tc>
        <w:tcPr>
          <w:tcW w:w="5528" w:type="dxa"/>
          <w:vAlign w:val="center"/>
        </w:tcPr>
        <w:p w14:paraId="71ACC13C" w14:textId="77777777" w:rsidR="00B02C22" w:rsidRDefault="00B02C22" w:rsidP="00B02C22">
          <w:pPr>
            <w:spacing w:after="0"/>
            <w:ind w:left="-110"/>
          </w:pPr>
          <w:r>
            <w:t xml:space="preserve">June </w:t>
          </w:r>
          <w:r w:rsidRPr="00E27600">
            <w:t>2018</w:t>
          </w:r>
        </w:p>
      </w:tc>
      <w:tc>
        <w:tcPr>
          <w:tcW w:w="2658" w:type="dxa"/>
          <w:gridSpan w:val="2"/>
          <w:vAlign w:val="center"/>
        </w:tcPr>
        <w:p w14:paraId="0B7E1C34" w14:textId="77777777" w:rsidR="00B02C22" w:rsidRDefault="00B02C22" w:rsidP="00B02C22">
          <w:pPr>
            <w:spacing w:after="0"/>
            <w:ind w:left="-110"/>
          </w:pPr>
        </w:p>
      </w:tc>
    </w:tr>
    <w:tr w:rsidR="00B02C22" w14:paraId="0602024A" w14:textId="77777777" w:rsidTr="00353430">
      <w:tc>
        <w:tcPr>
          <w:tcW w:w="2122" w:type="dxa"/>
          <w:vAlign w:val="center"/>
        </w:tcPr>
        <w:p w14:paraId="7F303DFE" w14:textId="46E018D6" w:rsidR="00B02C22" w:rsidRDefault="001604E6" w:rsidP="00B02C22">
          <w:pPr>
            <w:spacing w:after="0"/>
            <w:ind w:left="-110"/>
          </w:pPr>
          <w:r>
            <w:t>Target a</w:t>
          </w:r>
          <w:r w:rsidR="00B02C22" w:rsidRPr="00E27600">
            <w:t>udience:</w:t>
          </w:r>
        </w:p>
      </w:tc>
      <w:tc>
        <w:tcPr>
          <w:tcW w:w="5528" w:type="dxa"/>
          <w:vAlign w:val="center"/>
        </w:tcPr>
        <w:p w14:paraId="78C72FBC" w14:textId="644A80FD" w:rsidR="00B02C22" w:rsidRDefault="001604E6" w:rsidP="00B02C22">
          <w:pPr>
            <w:spacing w:after="0"/>
            <w:ind w:left="-110"/>
          </w:pPr>
          <w:r>
            <w:t>Corporate and school staff, parents and community</w:t>
          </w:r>
        </w:p>
      </w:tc>
      <w:tc>
        <w:tcPr>
          <w:tcW w:w="2658" w:type="dxa"/>
          <w:gridSpan w:val="2"/>
          <w:vAlign w:val="center"/>
        </w:tcPr>
        <w:p w14:paraId="0C7F2D85" w14:textId="77777777" w:rsidR="00B02C22" w:rsidRDefault="00B02C22" w:rsidP="00B02C22">
          <w:pPr>
            <w:spacing w:after="0"/>
            <w:ind w:left="-110"/>
          </w:pPr>
        </w:p>
      </w:tc>
    </w:tr>
  </w:tbl>
  <w:p w14:paraId="161E827D" w14:textId="77777777" w:rsidR="00B02C22" w:rsidRPr="00B02C22" w:rsidRDefault="00B02C22" w:rsidP="00B02C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E0E"/>
    <w:multiLevelType w:val="hybridMultilevel"/>
    <w:tmpl w:val="873EB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E306D"/>
    <w:multiLevelType w:val="hybridMultilevel"/>
    <w:tmpl w:val="131C9A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F508E9"/>
    <w:multiLevelType w:val="hybridMultilevel"/>
    <w:tmpl w:val="F9E0AED8"/>
    <w:lvl w:ilvl="0" w:tplc="5706130C">
      <w:start w:val="1"/>
      <w:numFmt w:val="decimal"/>
      <w:pStyle w:val="Heading2"/>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7C2E41"/>
    <w:multiLevelType w:val="hybridMultilevel"/>
    <w:tmpl w:val="635AF61A"/>
    <w:lvl w:ilvl="0" w:tplc="E7C86D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4A07E4"/>
    <w:multiLevelType w:val="hybridMultilevel"/>
    <w:tmpl w:val="C1F8EF5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5C6BE1"/>
    <w:multiLevelType w:val="hybridMultilevel"/>
    <w:tmpl w:val="CEF05014"/>
    <w:lvl w:ilvl="0" w:tplc="268E65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9F62457"/>
    <w:multiLevelType w:val="hybridMultilevel"/>
    <w:tmpl w:val="92C89FE4"/>
    <w:lvl w:ilvl="0" w:tplc="DF00A38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7243788"/>
    <w:multiLevelType w:val="hybridMultilevel"/>
    <w:tmpl w:val="385A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2F7C5A84"/>
    <w:multiLevelType w:val="hybridMultilevel"/>
    <w:tmpl w:val="814E015C"/>
    <w:lvl w:ilvl="0" w:tplc="4836C9FC">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07A79BF"/>
    <w:multiLevelType w:val="hybridMultilevel"/>
    <w:tmpl w:val="F42E11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40433DC"/>
    <w:multiLevelType w:val="hybridMultilevel"/>
    <w:tmpl w:val="C302CD6C"/>
    <w:lvl w:ilvl="0" w:tplc="268E65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CC1A01"/>
    <w:multiLevelType w:val="hybridMultilevel"/>
    <w:tmpl w:val="9B6C09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8695F2A"/>
    <w:multiLevelType w:val="hybridMultilevel"/>
    <w:tmpl w:val="1A70AC38"/>
    <w:lvl w:ilvl="0" w:tplc="8F52E7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9680BFA"/>
    <w:multiLevelType w:val="hybridMultilevel"/>
    <w:tmpl w:val="37AAE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2F27235"/>
    <w:multiLevelType w:val="hybridMultilevel"/>
    <w:tmpl w:val="832EE714"/>
    <w:lvl w:ilvl="0" w:tplc="7EC8306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1F0975"/>
    <w:multiLevelType w:val="hybridMultilevel"/>
    <w:tmpl w:val="F1305728"/>
    <w:lvl w:ilvl="0" w:tplc="D6448A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9FD3A20"/>
    <w:multiLevelType w:val="multilevel"/>
    <w:tmpl w:val="3E5E177A"/>
    <w:name w:val="NTG Table Bullet List3322222222222"/>
    <w:numStyleLink w:val="Tablenumberlist"/>
  </w:abstractNum>
  <w:abstractNum w:abstractNumId="38" w15:restartNumberingAfterBreak="0">
    <w:nsid w:val="4A402E08"/>
    <w:multiLevelType w:val="hybridMultilevel"/>
    <w:tmpl w:val="5AE44B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BC04485"/>
    <w:multiLevelType w:val="hybridMultilevel"/>
    <w:tmpl w:val="D39EF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4E8D3527"/>
    <w:multiLevelType w:val="hybridMultilevel"/>
    <w:tmpl w:val="93DE194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F761D18"/>
    <w:multiLevelType w:val="hybridMultilevel"/>
    <w:tmpl w:val="A510FEDA"/>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4" w15:restartNumberingAfterBreak="0">
    <w:nsid w:val="51BA0B7C"/>
    <w:multiLevelType w:val="hybridMultilevel"/>
    <w:tmpl w:val="AE2C7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842BC6"/>
    <w:multiLevelType w:val="multilevel"/>
    <w:tmpl w:val="0C78A7AC"/>
    <w:numStyleLink w:val="Tablebulletlist"/>
  </w:abstractNum>
  <w:abstractNum w:abstractNumId="46" w15:restartNumberingAfterBreak="0">
    <w:nsid w:val="53D8503C"/>
    <w:multiLevelType w:val="hybridMultilevel"/>
    <w:tmpl w:val="AB80E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F21354"/>
    <w:multiLevelType w:val="hybridMultilevel"/>
    <w:tmpl w:val="6B80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073867"/>
    <w:multiLevelType w:val="hybridMultilevel"/>
    <w:tmpl w:val="F36E6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B9A5FFE"/>
    <w:multiLevelType w:val="multilevel"/>
    <w:tmpl w:val="0C78A7AC"/>
    <w:name w:val="NTG Table Bullet List33222222222222"/>
    <w:numStyleLink w:val="Tablebulletlist"/>
  </w:abstractNum>
  <w:abstractNum w:abstractNumId="53" w15:restartNumberingAfterBreak="0">
    <w:nsid w:val="5D444259"/>
    <w:multiLevelType w:val="multilevel"/>
    <w:tmpl w:val="0C78A7AC"/>
    <w:name w:val="NTG Table Bullet List332222"/>
    <w:numStyleLink w:val="Tablebulletlist"/>
  </w:abstractNum>
  <w:abstractNum w:abstractNumId="54" w15:restartNumberingAfterBreak="0">
    <w:nsid w:val="5FF32BC5"/>
    <w:multiLevelType w:val="hybridMultilevel"/>
    <w:tmpl w:val="D55807EA"/>
    <w:lvl w:ilvl="0" w:tplc="80CA64B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2395E44"/>
    <w:multiLevelType w:val="hybridMultilevel"/>
    <w:tmpl w:val="1D047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30E6CB5"/>
    <w:multiLevelType w:val="hybridMultilevel"/>
    <w:tmpl w:val="E32498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32D0CA5"/>
    <w:multiLevelType w:val="hybridMultilevel"/>
    <w:tmpl w:val="95FA1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5007CF9"/>
    <w:multiLevelType w:val="hybridMultilevel"/>
    <w:tmpl w:val="4230A4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6AA6248A"/>
    <w:multiLevelType w:val="hybridMultilevel"/>
    <w:tmpl w:val="0CEE5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00F2EAC"/>
    <w:multiLevelType w:val="hybridMultilevel"/>
    <w:tmpl w:val="82C6436E"/>
    <w:lvl w:ilvl="0" w:tplc="268E65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453664D"/>
    <w:multiLevelType w:val="multilevel"/>
    <w:tmpl w:val="0C78A7AC"/>
    <w:name w:val="NTG Table Bullet List3322222222222222222"/>
    <w:numStyleLink w:val="Tablebulletlist"/>
  </w:abstractNum>
  <w:abstractNum w:abstractNumId="64" w15:restartNumberingAfterBreak="0">
    <w:nsid w:val="74EE32E2"/>
    <w:multiLevelType w:val="hybridMultilevel"/>
    <w:tmpl w:val="8D104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6141D1E"/>
    <w:multiLevelType w:val="multilevel"/>
    <w:tmpl w:val="0C78A7AC"/>
    <w:name w:val="NTG Table Bullet List332222222222"/>
    <w:numStyleLink w:val="Tablebulletlist"/>
  </w:abstractNum>
  <w:abstractNum w:abstractNumId="6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7" w15:restartNumberingAfterBreak="0">
    <w:nsid w:val="7A0D248D"/>
    <w:multiLevelType w:val="hybridMultilevel"/>
    <w:tmpl w:val="BBBEECEA"/>
    <w:lvl w:ilvl="0" w:tplc="B31478F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18"/>
  </w:num>
  <w:num w:numId="3">
    <w:abstractNumId w:val="66"/>
  </w:num>
  <w:num w:numId="4">
    <w:abstractNumId w:val="39"/>
  </w:num>
  <w:num w:numId="5">
    <w:abstractNumId w:val="23"/>
  </w:num>
  <w:num w:numId="6">
    <w:abstractNumId w:val="13"/>
  </w:num>
  <w:num w:numId="7">
    <w:abstractNumId w:val="45"/>
  </w:num>
  <w:num w:numId="8">
    <w:abstractNumId w:val="22"/>
  </w:num>
  <w:num w:numId="9">
    <w:abstractNumId w:val="67"/>
  </w:num>
  <w:num w:numId="10">
    <w:abstractNumId w:val="61"/>
  </w:num>
  <w:num w:numId="11">
    <w:abstractNumId w:val="62"/>
  </w:num>
  <w:num w:numId="12">
    <w:abstractNumId w:val="10"/>
  </w:num>
  <w:num w:numId="13">
    <w:abstractNumId w:val="64"/>
  </w:num>
  <w:num w:numId="14">
    <w:abstractNumId w:val="44"/>
  </w:num>
  <w:num w:numId="15">
    <w:abstractNumId w:val="0"/>
  </w:num>
  <w:num w:numId="16">
    <w:abstractNumId w:val="33"/>
  </w:num>
  <w:num w:numId="17">
    <w:abstractNumId w:val="6"/>
  </w:num>
  <w:num w:numId="18">
    <w:abstractNumId w:val="55"/>
  </w:num>
  <w:num w:numId="19">
    <w:abstractNumId w:val="57"/>
  </w:num>
  <w:num w:numId="20">
    <w:abstractNumId w:val="50"/>
  </w:num>
  <w:num w:numId="21">
    <w:abstractNumId w:val="36"/>
  </w:num>
  <w:num w:numId="22">
    <w:abstractNumId w:val="27"/>
  </w:num>
  <w:num w:numId="23">
    <w:abstractNumId w:val="14"/>
  </w:num>
  <w:num w:numId="24">
    <w:abstractNumId w:val="29"/>
  </w:num>
  <w:num w:numId="25">
    <w:abstractNumId w:val="32"/>
  </w:num>
  <w:num w:numId="26">
    <w:abstractNumId w:val="1"/>
  </w:num>
  <w:num w:numId="27">
    <w:abstractNumId w:val="54"/>
  </w:num>
  <w:num w:numId="28">
    <w:abstractNumId w:val="38"/>
  </w:num>
  <w:num w:numId="29">
    <w:abstractNumId w:val="59"/>
  </w:num>
  <w:num w:numId="30">
    <w:abstractNumId w:val="42"/>
  </w:num>
  <w:num w:numId="31">
    <w:abstractNumId w:val="30"/>
  </w:num>
  <w:num w:numId="32">
    <w:abstractNumId w:val="26"/>
  </w:num>
  <w:num w:numId="33">
    <w:abstractNumId w:val="58"/>
  </w:num>
  <w:num w:numId="34">
    <w:abstractNumId w:val="40"/>
  </w:num>
  <w:num w:numId="35">
    <w:abstractNumId w:val="56"/>
  </w:num>
  <w:num w:numId="36">
    <w:abstractNumId w:val="51"/>
  </w:num>
  <w:num w:numId="37">
    <w:abstractNumId w:val="19"/>
  </w:num>
  <w:num w:numId="38">
    <w:abstractNumId w:val="35"/>
  </w:num>
  <w:num w:numId="39">
    <w:abstractNumId w:val="8"/>
  </w:num>
  <w:num w:numId="40">
    <w:abstractNumId w:val="46"/>
  </w:num>
  <w:num w:numId="41">
    <w:abstractNumId w:val="7"/>
  </w:num>
  <w:num w:numId="42">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7D"/>
    <w:rsid w:val="000010A5"/>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0771"/>
    <w:rsid w:val="00071064"/>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DAF"/>
    <w:rsid w:val="00104E7F"/>
    <w:rsid w:val="001137EC"/>
    <w:rsid w:val="001152F5"/>
    <w:rsid w:val="00117743"/>
    <w:rsid w:val="00117F5B"/>
    <w:rsid w:val="00122283"/>
    <w:rsid w:val="00132658"/>
    <w:rsid w:val="00145AEC"/>
    <w:rsid w:val="00150DC0"/>
    <w:rsid w:val="0015394D"/>
    <w:rsid w:val="00156CD4"/>
    <w:rsid w:val="001604E6"/>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2C56"/>
    <w:rsid w:val="001F59E6"/>
    <w:rsid w:val="00203F1C"/>
    <w:rsid w:val="00206936"/>
    <w:rsid w:val="00206C6F"/>
    <w:rsid w:val="00206FBD"/>
    <w:rsid w:val="00207746"/>
    <w:rsid w:val="00230031"/>
    <w:rsid w:val="00235C01"/>
    <w:rsid w:val="00241B67"/>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448C"/>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361"/>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5F77"/>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377B"/>
    <w:rsid w:val="00564C12"/>
    <w:rsid w:val="005654B8"/>
    <w:rsid w:val="00570D94"/>
    <w:rsid w:val="005762CC"/>
    <w:rsid w:val="00582D3D"/>
    <w:rsid w:val="00590040"/>
    <w:rsid w:val="00591C1D"/>
    <w:rsid w:val="00593F23"/>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2BB6"/>
    <w:rsid w:val="00664AB0"/>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2C9E"/>
    <w:rsid w:val="007332FF"/>
    <w:rsid w:val="007408F5"/>
    <w:rsid w:val="00741EAE"/>
    <w:rsid w:val="00755248"/>
    <w:rsid w:val="0076190B"/>
    <w:rsid w:val="0076355D"/>
    <w:rsid w:val="00763A2D"/>
    <w:rsid w:val="007676A4"/>
    <w:rsid w:val="00777795"/>
    <w:rsid w:val="00782FD0"/>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32B1"/>
    <w:rsid w:val="008E510B"/>
    <w:rsid w:val="00902B13"/>
    <w:rsid w:val="00911941"/>
    <w:rsid w:val="0092024D"/>
    <w:rsid w:val="00925146"/>
    <w:rsid w:val="00925F0F"/>
    <w:rsid w:val="00932F6B"/>
    <w:rsid w:val="00942E7D"/>
    <w:rsid w:val="009444F0"/>
    <w:rsid w:val="009468BC"/>
    <w:rsid w:val="00947FAE"/>
    <w:rsid w:val="009616DF"/>
    <w:rsid w:val="0096542F"/>
    <w:rsid w:val="00967FA7"/>
    <w:rsid w:val="00971645"/>
    <w:rsid w:val="0097786F"/>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E71CB"/>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C22"/>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149A"/>
    <w:rsid w:val="00CE640F"/>
    <w:rsid w:val="00CE76BC"/>
    <w:rsid w:val="00CF540E"/>
    <w:rsid w:val="00D02F07"/>
    <w:rsid w:val="00D1086D"/>
    <w:rsid w:val="00D15D88"/>
    <w:rsid w:val="00D27D49"/>
    <w:rsid w:val="00D27EBE"/>
    <w:rsid w:val="00D36A49"/>
    <w:rsid w:val="00D47DC7"/>
    <w:rsid w:val="00D517C6"/>
    <w:rsid w:val="00D57302"/>
    <w:rsid w:val="00D71D84"/>
    <w:rsid w:val="00D72464"/>
    <w:rsid w:val="00D72A57"/>
    <w:rsid w:val="00D768EB"/>
    <w:rsid w:val="00D81E17"/>
    <w:rsid w:val="00D82D1E"/>
    <w:rsid w:val="00D832D9"/>
    <w:rsid w:val="00D87F48"/>
    <w:rsid w:val="00D90F00"/>
    <w:rsid w:val="00D96804"/>
    <w:rsid w:val="00D975C0"/>
    <w:rsid w:val="00DA5285"/>
    <w:rsid w:val="00DB191D"/>
    <w:rsid w:val="00DB4F91"/>
    <w:rsid w:val="00DB61C7"/>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FF83"/>
  <w15:docId w15:val="{060B5107-A7C5-4A9D-9614-088C387B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2"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numPr>
        <w:numId w:val="17"/>
      </w:numPr>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numPr>
        <w:numId w:val="32"/>
      </w:numPr>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FollowedHyperlink">
    <w:name w:val="FollowedHyperlink"/>
    <w:basedOn w:val="DefaultParagraphFont"/>
    <w:uiPriority w:val="99"/>
    <w:semiHidden/>
    <w:unhideWhenUsed/>
    <w:rsid w:val="00B02C22"/>
    <w:rPr>
      <w:color w:val="8C4799" w:themeColor="followedHyperlink"/>
      <w:u w:val="single"/>
    </w:rPr>
  </w:style>
  <w:style w:type="numbering" w:customStyle="1" w:styleId="Style6">
    <w:name w:val="Style6"/>
    <w:uiPriority w:val="99"/>
    <w:rsid w:val="00D57302"/>
    <w:pPr>
      <w:numPr>
        <w:numId w:val="18"/>
      </w:numPr>
    </w:pPr>
  </w:style>
  <w:style w:type="character" w:styleId="CommentReference">
    <w:name w:val="annotation reference"/>
    <w:basedOn w:val="DefaultParagraphFont"/>
    <w:uiPriority w:val="99"/>
    <w:semiHidden/>
    <w:unhideWhenUsed/>
    <w:rsid w:val="00732C9E"/>
    <w:rPr>
      <w:sz w:val="16"/>
      <w:szCs w:val="16"/>
    </w:rPr>
  </w:style>
  <w:style w:type="paragraph" w:styleId="CommentText">
    <w:name w:val="annotation text"/>
    <w:basedOn w:val="Normal"/>
    <w:link w:val="CommentTextChar"/>
    <w:uiPriority w:val="99"/>
    <w:semiHidden/>
    <w:unhideWhenUsed/>
    <w:rsid w:val="00732C9E"/>
    <w:rPr>
      <w:sz w:val="20"/>
      <w:szCs w:val="20"/>
    </w:rPr>
  </w:style>
  <w:style w:type="character" w:customStyle="1" w:styleId="CommentTextChar">
    <w:name w:val="Comment Text Char"/>
    <w:basedOn w:val="DefaultParagraphFont"/>
    <w:link w:val="CommentText"/>
    <w:uiPriority w:val="99"/>
    <w:semiHidden/>
    <w:rsid w:val="00732C9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32C9E"/>
    <w:rPr>
      <w:b/>
      <w:bCs/>
    </w:rPr>
  </w:style>
  <w:style w:type="character" w:customStyle="1" w:styleId="CommentSubjectChar">
    <w:name w:val="Comment Subject Char"/>
    <w:basedOn w:val="CommentTextChar"/>
    <w:link w:val="CommentSubject"/>
    <w:uiPriority w:val="99"/>
    <w:semiHidden/>
    <w:rsid w:val="00732C9E"/>
    <w:rPr>
      <w:rFonts w:ascii="Lato" w:hAnsi="Lato"/>
      <w:b/>
      <w:bCs/>
      <w:sz w:val="20"/>
      <w:szCs w:val="20"/>
    </w:rPr>
  </w:style>
  <w:style w:type="paragraph" w:styleId="FootnoteText">
    <w:name w:val="footnote text"/>
    <w:basedOn w:val="Normal"/>
    <w:link w:val="FootnoteTextChar"/>
    <w:uiPriority w:val="99"/>
    <w:rsid w:val="001F2C56"/>
    <w:pPr>
      <w:spacing w:after="0"/>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1F2C56"/>
    <w:rPr>
      <w:rFonts w:eastAsia="Times New Roman"/>
      <w:sz w:val="20"/>
      <w:szCs w:val="20"/>
    </w:rPr>
  </w:style>
  <w:style w:type="character" w:styleId="FootnoteReference">
    <w:name w:val="footnote reference"/>
    <w:basedOn w:val="DefaultParagraphFont"/>
    <w:uiPriority w:val="99"/>
    <w:rsid w:val="001F2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nt.gov.au/education/policies/enrolment" TargetMode="External"/><Relationship Id="rId18" Type="http://schemas.openxmlformats.org/officeDocument/2006/relationships/hyperlink" Target="https://docs.education.gov.au/system/files/doc/other/disability_standards_for_education_2005_plus_guidance_notes.pdf" TargetMode="External"/><Relationship Id="rId26" Type="http://schemas.openxmlformats.org/officeDocument/2006/relationships/hyperlink" Target="https://education.nt.gov.au/education/policies/enrolment" TargetMode="External"/><Relationship Id="rId3" Type="http://schemas.openxmlformats.org/officeDocument/2006/relationships/numbering" Target="numbering.xml"/><Relationship Id="rId21" Type="http://schemas.openxmlformats.org/officeDocument/2006/relationships/hyperlink" Target="https://education.nt.gov.au/education/policies/enrolment" TargetMode="External"/><Relationship Id="rId7" Type="http://schemas.openxmlformats.org/officeDocument/2006/relationships/footnotes" Target="footnotes.xml"/><Relationship Id="rId12" Type="http://schemas.openxmlformats.org/officeDocument/2006/relationships/hyperlink" Target="https://legislation.nt.gov.au/en/Legislation/EDUCATION-ACT-2015" TargetMode="External"/><Relationship Id="rId17" Type="http://schemas.openxmlformats.org/officeDocument/2006/relationships/hyperlink" Target="https://www.legislation.gov.au/Details/C2018C00125/Html/Text" TargetMode="External"/><Relationship Id="rId25" Type="http://schemas.openxmlformats.org/officeDocument/2006/relationships/hyperlink" Target="https://education.nt.gov.au/education/policies/enrol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nt.gov.au/policies/enrolment" TargetMode="External"/><Relationship Id="rId20" Type="http://schemas.openxmlformats.org/officeDocument/2006/relationships/hyperlink" Target="https://legislation.nt.gov.au/Legislation/EDUCATION-AND-CARE-SERVICES-NATIONAL-UNIFORM-LEGISLATION-ACT-201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nt.gov.au/policies/students-with-disability" TargetMode="External"/><Relationship Id="rId24" Type="http://schemas.openxmlformats.org/officeDocument/2006/relationships/hyperlink" Target="https://education.nt.gov.au/education/policies/enrolmen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ducation.nt.gov.au/policies/enrolment" TargetMode="External"/><Relationship Id="rId23" Type="http://schemas.openxmlformats.org/officeDocument/2006/relationships/hyperlink" Target="https://education.nt.gov.au/policies/students-with-disability" TargetMode="External"/><Relationship Id="rId28" Type="http://schemas.openxmlformats.org/officeDocument/2006/relationships/header" Target="header1.xml"/><Relationship Id="rId10" Type="http://schemas.openxmlformats.org/officeDocument/2006/relationships/hyperlink" Target="https://education.nt.gov.au/policies/students-with-disability" TargetMode="External"/><Relationship Id="rId19" Type="http://schemas.openxmlformats.org/officeDocument/2006/relationships/hyperlink" Target="https://legislation.nt.gov.au/Legislation/EDUCATION-ACT-2015"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education.nt.gov.au/education/policies/enrolment" TargetMode="External"/><Relationship Id="rId14" Type="http://schemas.openxmlformats.org/officeDocument/2006/relationships/hyperlink" Target="https://education.nt.gov.au/policies/enrolment" TargetMode="External"/><Relationship Id="rId22" Type="http://schemas.openxmlformats.org/officeDocument/2006/relationships/hyperlink" Target="https://education.nt.gov.au/policies/students-with-disability" TargetMode="External"/><Relationship Id="rId27" Type="http://schemas.openxmlformats.org/officeDocument/2006/relationships/image" Target="media/image1.jpg"/><Relationship Id="rId3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Series/C2004A04426" TargetMode="External"/><Relationship Id="rId1" Type="http://schemas.openxmlformats.org/officeDocument/2006/relationships/hyperlink" Target="https://education.gov.au/disability-standards-education"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6EE7E0-BA95-4371-926B-0A77F3EB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3472</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Enrolment in Special Schools and Special Centres Guidelines</vt:lpstr>
    </vt:vector>
  </TitlesOfParts>
  <Company>EDUCATION</Company>
  <LinksUpToDate>false</LinksUpToDate>
  <CharactersWithSpaces>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in Special Schools and Special Centres Guidelines</dc:title>
  <dc:creator>Northern Territory Government - Department of Education</dc:creator>
  <cp:keywords>Enrolment, special schools, special centres</cp:keywords>
  <cp:lastModifiedBy>Danny Key</cp:lastModifiedBy>
  <cp:revision>2</cp:revision>
  <cp:lastPrinted>2019-07-29T01:45:00Z</cp:lastPrinted>
  <dcterms:created xsi:type="dcterms:W3CDTF">2019-10-14T00:42:00Z</dcterms:created>
  <dcterms:modified xsi:type="dcterms:W3CDTF">2019-10-14T00:42:00Z</dcterms:modified>
</cp:coreProperties>
</file>