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913D" w14:textId="3BB53C9F" w:rsidR="00AD6C42" w:rsidRPr="00DC043C" w:rsidRDefault="00BB7226" w:rsidP="00AF508F">
      <w:pPr>
        <w:pStyle w:val="Subtitle0"/>
        <w:rPr>
          <w:rFonts w:eastAsiaTheme="majorEastAsia"/>
          <w:noProof/>
          <w:lang w:eastAsia="en-AU"/>
        </w:rPr>
      </w:pPr>
      <w:r>
        <w:rPr>
          <w:rFonts w:eastAsiaTheme="majorEastAsia"/>
          <w:noProof/>
          <w:lang w:eastAsia="en-AU"/>
        </w:rPr>
        <w:t>Policy statement</w:t>
      </w:r>
    </w:p>
    <w:p w14:paraId="352483E7" w14:textId="5B28E912" w:rsidR="00B13CFA" w:rsidRDefault="000E3BC3" w:rsidP="00E53D5D">
      <w:r>
        <w:t>Under</w:t>
      </w:r>
      <w:r w:rsidR="00B13CFA">
        <w:t xml:space="preserve"> the </w:t>
      </w:r>
      <w:r w:rsidR="00B13CFA" w:rsidRPr="002D62BE">
        <w:rPr>
          <w:i/>
        </w:rPr>
        <w:t>Education</w:t>
      </w:r>
      <w:hyperlink r:id="rId9">
        <w:r w:rsidR="00B13CFA" w:rsidRPr="002D62BE">
          <w:rPr>
            <w:i/>
          </w:rPr>
          <w:t xml:space="preserve"> </w:t>
        </w:r>
      </w:hyperlink>
      <w:hyperlink r:id="rId10">
        <w:r w:rsidR="00B13CFA" w:rsidRPr="002D62BE">
          <w:rPr>
            <w:i/>
          </w:rPr>
          <w:t>Act</w:t>
        </w:r>
      </w:hyperlink>
      <w:r w:rsidR="00B13CFA" w:rsidRPr="002D62BE">
        <w:rPr>
          <w:i/>
        </w:rPr>
        <w:t xml:space="preserve"> 2015</w:t>
      </w:r>
      <w:hyperlink r:id="rId11">
        <w:r w:rsidR="00B13CFA" w:rsidRPr="002D62BE">
          <w:t xml:space="preserve"> </w:t>
        </w:r>
      </w:hyperlink>
      <w:r w:rsidR="00B13CFA">
        <w:t xml:space="preserve">(the </w:t>
      </w:r>
      <w:r w:rsidRPr="00EC4C4E">
        <w:t>Act</w:t>
      </w:r>
      <w:r w:rsidR="00B13CFA">
        <w:t xml:space="preserve">), </w:t>
      </w:r>
      <w:r w:rsidR="00C35670">
        <w:t xml:space="preserve">all children and young people of compulsory school age </w:t>
      </w:r>
      <w:r w:rsidR="00F73272">
        <w:t>must be enrolled in an N</w:t>
      </w:r>
      <w:r>
        <w:t xml:space="preserve">orthern </w:t>
      </w:r>
      <w:r w:rsidR="00F73272">
        <w:t>T</w:t>
      </w:r>
      <w:r>
        <w:t>erritory (NT)</w:t>
      </w:r>
      <w:r w:rsidR="00F73272">
        <w:t xml:space="preserve"> Government school or a registered non-government school</w:t>
      </w:r>
      <w:r w:rsidR="00785F27">
        <w:t xml:space="preserve"> and attend school </w:t>
      </w:r>
      <w:r w:rsidR="00D60DBC">
        <w:t xml:space="preserve">each day that the school is open for instruction, unless </w:t>
      </w:r>
      <w:r w:rsidR="009F190C">
        <w:t>the student has entered a compulsory participation phase and is participating in an eligible option.</w:t>
      </w:r>
    </w:p>
    <w:p w14:paraId="567CA531" w14:textId="7930A9AF" w:rsidR="00B13CFA" w:rsidRDefault="00E53D5D" w:rsidP="00E53D5D">
      <w:pPr>
        <w:rPr>
          <w:lang w:eastAsia="en-AU"/>
        </w:rPr>
      </w:pPr>
      <w:r>
        <w:rPr>
          <w:lang w:eastAsia="en-AU"/>
        </w:rPr>
        <w:t xml:space="preserve">The </w:t>
      </w:r>
      <w:r w:rsidR="00B13CFA">
        <w:rPr>
          <w:lang w:eastAsia="en-AU"/>
        </w:rPr>
        <w:t xml:space="preserve">NT Department of Education (department) </w:t>
      </w:r>
      <w:r w:rsidR="0020362A">
        <w:rPr>
          <w:lang w:eastAsia="en-AU"/>
        </w:rPr>
        <w:t xml:space="preserve">actively promotes and works </w:t>
      </w:r>
      <w:r w:rsidR="00D72049">
        <w:rPr>
          <w:lang w:eastAsia="en-AU"/>
        </w:rPr>
        <w:t xml:space="preserve">in partnership with families, children and young people to ensure enrolment and attendance. </w:t>
      </w:r>
      <w:r w:rsidR="003A5FB6">
        <w:rPr>
          <w:lang w:eastAsia="en-AU"/>
        </w:rPr>
        <w:t>Where reasonable</w:t>
      </w:r>
      <w:r w:rsidR="00F0649E">
        <w:rPr>
          <w:lang w:eastAsia="en-AU"/>
        </w:rPr>
        <w:t xml:space="preserve"> and</w:t>
      </w:r>
      <w:r w:rsidR="0094692B">
        <w:rPr>
          <w:lang w:eastAsia="en-AU"/>
        </w:rPr>
        <w:t xml:space="preserve"> sustained </w:t>
      </w:r>
      <w:r w:rsidR="003A5FB6">
        <w:rPr>
          <w:lang w:eastAsia="en-AU"/>
        </w:rPr>
        <w:t xml:space="preserve">efforts have been exhausted to satisfactorily achieve compulsory enrolment and attendance, enforcement powers provided for under the </w:t>
      </w:r>
      <w:r w:rsidR="003A5FB6" w:rsidRPr="00EC4C4E">
        <w:rPr>
          <w:lang w:eastAsia="en-AU"/>
        </w:rPr>
        <w:t>Act</w:t>
      </w:r>
      <w:r w:rsidR="003A5FB6">
        <w:rPr>
          <w:lang w:eastAsia="en-AU"/>
        </w:rPr>
        <w:t xml:space="preserve"> may be undertaken</w:t>
      </w:r>
      <w:r w:rsidR="00807ADC">
        <w:rPr>
          <w:lang w:eastAsia="en-AU"/>
        </w:rPr>
        <w:t>. This document outlines procedures to be followed and executed by authorised persons when enrolment and attendance enforcement powers are used.</w:t>
      </w:r>
      <w:r w:rsidR="00FD48EF">
        <w:rPr>
          <w:lang w:eastAsia="en-AU"/>
        </w:rPr>
        <w:t xml:space="preserve"> Enforcement powers cannot be applied to children enrolled in preschools. </w:t>
      </w:r>
    </w:p>
    <w:p w14:paraId="08C8009A" w14:textId="50B29597" w:rsidR="00530178" w:rsidRDefault="00530178" w:rsidP="00E53D5D">
      <w:pPr>
        <w:rPr>
          <w:lang w:eastAsia="en-AU"/>
        </w:rPr>
      </w:pPr>
      <w:r>
        <w:rPr>
          <w:lang w:eastAsia="en-AU"/>
        </w:rPr>
        <w:t>For enforcement procedures relating to eligible options, go to</w:t>
      </w:r>
      <w:r w:rsidR="000E3BC3">
        <w:rPr>
          <w:lang w:eastAsia="en-AU"/>
        </w:rPr>
        <w:t xml:space="preserve"> the department’s Enrolment webpage.</w:t>
      </w:r>
    </w:p>
    <w:p w14:paraId="11F9BDED" w14:textId="77777777" w:rsidR="008849B8" w:rsidRPr="00DC043C" w:rsidRDefault="008849B8" w:rsidP="008849B8">
      <w:pPr>
        <w:pStyle w:val="Heading1"/>
        <w:keepNext w:val="0"/>
        <w:keepLines w:val="0"/>
        <w:ind w:left="431" w:hanging="431"/>
        <w:rPr>
          <w:rFonts w:asciiTheme="majorHAnsi" w:eastAsiaTheme="majorEastAsia" w:hAnsiTheme="majorHAnsi" w:cstheme="majorBidi"/>
          <w:bCs/>
          <w:noProof/>
          <w:color w:val="1F1F5F" w:themeColor="text1"/>
          <w:lang w:eastAsia="en-AU"/>
        </w:rPr>
      </w:pPr>
      <w:bookmarkStart w:id="0" w:name="_Toc103340900"/>
      <w:r>
        <w:rPr>
          <w:rFonts w:asciiTheme="majorHAnsi" w:eastAsiaTheme="majorEastAsia" w:hAnsiTheme="majorHAnsi" w:cstheme="majorBidi"/>
          <w:bCs/>
          <w:noProof/>
          <w:color w:val="1F1F5F" w:themeColor="text1"/>
          <w:lang w:eastAsia="en-AU"/>
        </w:rPr>
        <w:t>R</w:t>
      </w:r>
      <w:r w:rsidRPr="00DC043C">
        <w:rPr>
          <w:rFonts w:asciiTheme="majorHAnsi" w:eastAsiaTheme="majorEastAsia" w:hAnsiTheme="majorHAnsi" w:cstheme="majorBidi"/>
          <w:bCs/>
          <w:noProof/>
          <w:color w:val="1F1F5F" w:themeColor="text1"/>
          <w:lang w:eastAsia="en-AU"/>
        </w:rPr>
        <w:t xml:space="preserve">oles and </w:t>
      </w:r>
      <w:r>
        <w:rPr>
          <w:rFonts w:asciiTheme="majorHAnsi" w:eastAsiaTheme="majorEastAsia" w:hAnsiTheme="majorHAnsi" w:cstheme="majorBidi"/>
          <w:bCs/>
          <w:noProof/>
          <w:color w:val="1F1F5F" w:themeColor="text1"/>
          <w:lang w:eastAsia="en-AU"/>
        </w:rPr>
        <w:t>r</w:t>
      </w:r>
      <w:r w:rsidRPr="00DC043C">
        <w:rPr>
          <w:rFonts w:asciiTheme="majorHAnsi" w:eastAsiaTheme="majorEastAsia" w:hAnsiTheme="majorHAnsi" w:cstheme="majorBidi"/>
          <w:bCs/>
          <w:noProof/>
          <w:color w:val="1F1F5F" w:themeColor="text1"/>
          <w:lang w:eastAsia="en-AU"/>
        </w:rPr>
        <w:t>esponsibilities</w:t>
      </w:r>
    </w:p>
    <w:p w14:paraId="0CBB848C" w14:textId="77777777" w:rsidR="00ED6D4E" w:rsidRDefault="0076357A" w:rsidP="0076357A">
      <w:pPr>
        <w:keepNext/>
        <w:keepLines/>
        <w:spacing w:before="240"/>
        <w:outlineLvl w:val="2"/>
        <w:rPr>
          <w:rStyle w:val="Heading3Char"/>
        </w:rPr>
      </w:pPr>
      <w:bookmarkStart w:id="1" w:name="_Toc103340907"/>
      <w:r w:rsidRPr="00877150">
        <w:rPr>
          <w:rStyle w:val="Heading3Char"/>
        </w:rPr>
        <w:t xml:space="preserve">Principals or </w:t>
      </w:r>
      <w:r w:rsidR="000E3BC3" w:rsidRPr="00877150">
        <w:rPr>
          <w:rStyle w:val="Heading3Char"/>
        </w:rPr>
        <w:t>nominated staff member</w:t>
      </w:r>
      <w:r w:rsidR="00ED6D4E">
        <w:rPr>
          <w:rStyle w:val="Heading3Char"/>
        </w:rPr>
        <w:t>s</w:t>
      </w:r>
    </w:p>
    <w:p w14:paraId="05C7B3B6" w14:textId="11B9D730" w:rsidR="0076357A" w:rsidRPr="00ED6D4E" w:rsidRDefault="00ED6D4E" w:rsidP="00ED6D4E">
      <w:pPr>
        <w:rPr>
          <w:lang w:eastAsia="en-AU"/>
        </w:rPr>
      </w:pPr>
      <w:r w:rsidRPr="00ED6D4E">
        <w:rPr>
          <w:lang w:eastAsia="en-AU"/>
        </w:rPr>
        <w:t>Principals or nominated staff members must:</w:t>
      </w:r>
      <w:r w:rsidR="000E3BC3" w:rsidRPr="00ED6D4E">
        <w:rPr>
          <w:lang w:eastAsia="en-AU"/>
        </w:rPr>
        <w:t xml:space="preserve"> </w:t>
      </w:r>
      <w:bookmarkEnd w:id="1"/>
    </w:p>
    <w:p w14:paraId="5945F700" w14:textId="66AA25AD" w:rsidR="0076357A" w:rsidRDefault="0076357A" w:rsidP="0076357A">
      <w:pPr>
        <w:numPr>
          <w:ilvl w:val="0"/>
          <w:numId w:val="27"/>
        </w:numPr>
        <w:spacing w:after="120"/>
        <w:rPr>
          <w:rFonts w:eastAsia="Times New Roman"/>
          <w:iCs/>
          <w:lang w:eastAsia="en-AU"/>
        </w:rPr>
      </w:pPr>
      <w:r w:rsidRPr="0076357A">
        <w:rPr>
          <w:rFonts w:eastAsia="Times New Roman"/>
          <w:iCs/>
          <w:lang w:eastAsia="en-AU"/>
        </w:rPr>
        <w:t xml:space="preserve">monitor </w:t>
      </w:r>
      <w:r>
        <w:rPr>
          <w:rFonts w:eastAsia="Times New Roman"/>
          <w:iCs/>
          <w:lang w:eastAsia="en-AU"/>
        </w:rPr>
        <w:t xml:space="preserve">the </w:t>
      </w:r>
      <w:r w:rsidR="007640F3">
        <w:rPr>
          <w:rFonts w:eastAsia="Times New Roman"/>
          <w:iCs/>
          <w:lang w:eastAsia="en-AU"/>
        </w:rPr>
        <w:t>intensive support roll</w:t>
      </w:r>
    </w:p>
    <w:p w14:paraId="65AEC0A9" w14:textId="0404DEA0" w:rsidR="00ED35E0" w:rsidRPr="00ED35E0" w:rsidRDefault="004C5BB0" w:rsidP="00ED35E0">
      <w:pPr>
        <w:numPr>
          <w:ilvl w:val="0"/>
          <w:numId w:val="27"/>
        </w:numPr>
        <w:spacing w:after="120"/>
        <w:rPr>
          <w:rFonts w:eastAsia="Times New Roman"/>
          <w:iCs/>
          <w:lang w:eastAsia="en-AU"/>
        </w:rPr>
      </w:pPr>
      <w:r>
        <w:rPr>
          <w:rFonts w:eastAsia="Times New Roman"/>
          <w:iCs/>
          <w:lang w:eastAsia="en-AU"/>
        </w:rPr>
        <w:t xml:space="preserve">ensure relevant staff </w:t>
      </w:r>
      <w:r w:rsidR="00ED35E0">
        <w:rPr>
          <w:rFonts w:eastAsia="Times New Roman"/>
          <w:iCs/>
          <w:lang w:eastAsia="en-AU"/>
        </w:rPr>
        <w:t>understand enforcement powers and procedures through appropriate professional development</w:t>
      </w:r>
    </w:p>
    <w:p w14:paraId="65CF541E" w14:textId="3903019F" w:rsidR="004C5BB0" w:rsidRDefault="00DD215E" w:rsidP="0076357A">
      <w:pPr>
        <w:numPr>
          <w:ilvl w:val="0"/>
          <w:numId w:val="27"/>
        </w:numPr>
        <w:spacing w:after="120"/>
        <w:rPr>
          <w:rFonts w:eastAsia="Times New Roman"/>
          <w:iCs/>
          <w:lang w:eastAsia="en-AU"/>
        </w:rPr>
      </w:pPr>
      <w:r>
        <w:rPr>
          <w:rFonts w:eastAsia="Times New Roman"/>
          <w:iCs/>
          <w:lang w:eastAsia="en-AU"/>
        </w:rPr>
        <w:t xml:space="preserve">ensure appropriate support is in place to facilitate student re-entry, such as </w:t>
      </w:r>
      <w:r w:rsidR="0070176D">
        <w:rPr>
          <w:rFonts w:eastAsia="Times New Roman"/>
          <w:iCs/>
          <w:lang w:eastAsia="en-AU"/>
        </w:rPr>
        <w:t xml:space="preserve">applying re-engagement strategies or making </w:t>
      </w:r>
      <w:r w:rsidR="00E83AD9">
        <w:rPr>
          <w:rFonts w:eastAsia="Times New Roman"/>
          <w:iCs/>
          <w:lang w:eastAsia="en-AU"/>
        </w:rPr>
        <w:t>flexible education arrangements</w:t>
      </w:r>
    </w:p>
    <w:p w14:paraId="4361FE63" w14:textId="49DD41FE" w:rsidR="00E83AD9" w:rsidRDefault="00015565" w:rsidP="0076357A">
      <w:pPr>
        <w:numPr>
          <w:ilvl w:val="0"/>
          <w:numId w:val="27"/>
        </w:numPr>
        <w:spacing w:after="120"/>
        <w:rPr>
          <w:rFonts w:eastAsia="Times New Roman"/>
          <w:iCs/>
          <w:lang w:eastAsia="en-AU"/>
        </w:rPr>
      </w:pPr>
      <w:r>
        <w:rPr>
          <w:rFonts w:eastAsia="Times New Roman"/>
          <w:iCs/>
          <w:lang w:eastAsia="en-AU"/>
        </w:rPr>
        <w:t xml:space="preserve">ensure all school-level efforts </w:t>
      </w:r>
      <w:r w:rsidR="00B673DA">
        <w:rPr>
          <w:rFonts w:eastAsia="Times New Roman"/>
          <w:iCs/>
          <w:lang w:eastAsia="en-AU"/>
        </w:rPr>
        <w:t xml:space="preserve">to re-engage the student </w:t>
      </w:r>
      <w:r>
        <w:rPr>
          <w:rFonts w:eastAsia="Times New Roman"/>
          <w:iCs/>
          <w:lang w:eastAsia="en-AU"/>
        </w:rPr>
        <w:t xml:space="preserve">have been exhausted before </w:t>
      </w:r>
      <w:r w:rsidR="0056136A">
        <w:rPr>
          <w:rFonts w:eastAsia="Times New Roman"/>
          <w:iCs/>
          <w:lang w:eastAsia="en-AU"/>
        </w:rPr>
        <w:t>making a referral</w:t>
      </w:r>
      <w:r>
        <w:rPr>
          <w:rFonts w:eastAsia="Times New Roman"/>
          <w:iCs/>
          <w:lang w:eastAsia="en-AU"/>
        </w:rPr>
        <w:t xml:space="preserve"> to Student Engagement Programs and Services.</w:t>
      </w:r>
    </w:p>
    <w:p w14:paraId="06FE5309" w14:textId="711EB641" w:rsidR="00015565" w:rsidRDefault="00003AF8" w:rsidP="00EC4C4E">
      <w:pPr>
        <w:pStyle w:val="Heading3"/>
      </w:pPr>
      <w:r w:rsidRPr="00003AF8">
        <w:t>Authorised persons</w:t>
      </w:r>
    </w:p>
    <w:p w14:paraId="4242DED0" w14:textId="1211FD2D" w:rsidR="00FC2CD4" w:rsidRPr="00FC2CD4" w:rsidRDefault="00FC2CD4" w:rsidP="00FC2CD4">
      <w:r>
        <w:t>Authorised persons will:</w:t>
      </w:r>
    </w:p>
    <w:p w14:paraId="7BD18A50" w14:textId="57E9B2E5" w:rsidR="005A360C" w:rsidRDefault="00C55CB9" w:rsidP="005A360C">
      <w:pPr>
        <w:numPr>
          <w:ilvl w:val="0"/>
          <w:numId w:val="27"/>
        </w:numPr>
        <w:spacing w:after="120"/>
        <w:rPr>
          <w:rFonts w:eastAsia="Times New Roman"/>
          <w:iCs/>
          <w:lang w:eastAsia="en-AU"/>
        </w:rPr>
      </w:pPr>
      <w:r>
        <w:rPr>
          <w:rFonts w:eastAsia="Times New Roman"/>
          <w:iCs/>
          <w:lang w:eastAsia="en-AU"/>
        </w:rPr>
        <w:t>undertake</w:t>
      </w:r>
      <w:r w:rsidR="005A360C">
        <w:rPr>
          <w:rFonts w:eastAsia="Times New Roman"/>
          <w:iCs/>
          <w:lang w:eastAsia="en-AU"/>
        </w:rPr>
        <w:t xml:space="preserve"> </w:t>
      </w:r>
      <w:r w:rsidR="004C14B0">
        <w:rPr>
          <w:rFonts w:eastAsia="Times New Roman"/>
          <w:iCs/>
          <w:lang w:eastAsia="en-AU"/>
        </w:rPr>
        <w:t>appropriate professional development</w:t>
      </w:r>
      <w:r w:rsidR="005A360C">
        <w:rPr>
          <w:rFonts w:eastAsia="Times New Roman"/>
          <w:iCs/>
          <w:lang w:eastAsia="en-AU"/>
        </w:rPr>
        <w:t xml:space="preserve"> on enrolment and attendance enforcement</w:t>
      </w:r>
    </w:p>
    <w:p w14:paraId="7A4AEC8D" w14:textId="03EED0EB" w:rsidR="005A360C" w:rsidRPr="005A360C" w:rsidRDefault="006964EB" w:rsidP="005A360C">
      <w:pPr>
        <w:numPr>
          <w:ilvl w:val="0"/>
          <w:numId w:val="27"/>
        </w:numPr>
        <w:spacing w:after="120"/>
        <w:rPr>
          <w:rFonts w:eastAsia="Times New Roman"/>
          <w:iCs/>
          <w:lang w:eastAsia="en-AU"/>
        </w:rPr>
      </w:pPr>
      <w:r w:rsidRPr="006964EB">
        <w:rPr>
          <w:rFonts w:eastAsia="Times New Roman"/>
          <w:iCs/>
          <w:lang w:eastAsia="en-AU"/>
        </w:rPr>
        <w:t xml:space="preserve">support schools </w:t>
      </w:r>
      <w:r>
        <w:rPr>
          <w:rFonts w:eastAsia="Times New Roman"/>
          <w:iCs/>
          <w:lang w:eastAsia="en-AU"/>
        </w:rPr>
        <w:t>in their implementation of engagement strategies</w:t>
      </w:r>
    </w:p>
    <w:p w14:paraId="0B5EC2F9" w14:textId="244D720E" w:rsidR="006964EB" w:rsidRDefault="006964EB" w:rsidP="006964EB">
      <w:pPr>
        <w:numPr>
          <w:ilvl w:val="0"/>
          <w:numId w:val="27"/>
        </w:numPr>
        <w:spacing w:after="120"/>
        <w:rPr>
          <w:rFonts w:eastAsia="Times New Roman"/>
          <w:iCs/>
          <w:lang w:eastAsia="en-AU"/>
        </w:rPr>
      </w:pPr>
      <w:r>
        <w:rPr>
          <w:rFonts w:eastAsia="Times New Roman"/>
          <w:iCs/>
          <w:lang w:eastAsia="en-AU"/>
        </w:rPr>
        <w:t>maintain accurate records of their actions in the department’s mandated case management system</w:t>
      </w:r>
      <w:r w:rsidR="000155DD">
        <w:rPr>
          <w:rFonts w:eastAsia="Times New Roman"/>
          <w:iCs/>
          <w:lang w:eastAsia="en-AU"/>
        </w:rPr>
        <w:t>.</w:t>
      </w:r>
    </w:p>
    <w:p w14:paraId="42127155" w14:textId="572A64B6" w:rsidR="004300F0" w:rsidRDefault="00C55CB9" w:rsidP="00F46D79">
      <w:pPr>
        <w:pStyle w:val="Heading3"/>
      </w:pPr>
      <w:r w:rsidRPr="00C55CB9">
        <w:t>Student Engagement Programs and Services</w:t>
      </w:r>
    </w:p>
    <w:p w14:paraId="10669142" w14:textId="6A433903" w:rsidR="00FC2CD4" w:rsidRPr="00FC2CD4" w:rsidRDefault="00FC2CD4" w:rsidP="00FC2CD4">
      <w:r>
        <w:t>Student Engagement Programs and Services will:</w:t>
      </w:r>
    </w:p>
    <w:bookmarkEnd w:id="0"/>
    <w:p w14:paraId="57C2B14C" w14:textId="77777777" w:rsidR="00C55CB9" w:rsidRDefault="00C55CB9" w:rsidP="00C55CB9">
      <w:pPr>
        <w:numPr>
          <w:ilvl w:val="0"/>
          <w:numId w:val="27"/>
        </w:numPr>
        <w:spacing w:after="120"/>
        <w:rPr>
          <w:rFonts w:eastAsia="Times New Roman"/>
          <w:iCs/>
          <w:lang w:eastAsia="en-AU"/>
        </w:rPr>
      </w:pPr>
      <w:r>
        <w:rPr>
          <w:lang w:eastAsia="en-AU"/>
        </w:rPr>
        <w:t xml:space="preserve">ensure authorised persons </w:t>
      </w:r>
      <w:r>
        <w:rPr>
          <w:rFonts w:eastAsia="Times New Roman"/>
          <w:iCs/>
          <w:lang w:eastAsia="en-AU"/>
        </w:rPr>
        <w:t>undertake the training on enrolment and attendance enforcement</w:t>
      </w:r>
    </w:p>
    <w:p w14:paraId="0AB45FDA" w14:textId="2FC6335D" w:rsidR="00F46D79" w:rsidRPr="00FC2CD4" w:rsidRDefault="00F31C18" w:rsidP="00FC2CD4">
      <w:pPr>
        <w:pStyle w:val="ListParagraph"/>
        <w:numPr>
          <w:ilvl w:val="0"/>
          <w:numId w:val="41"/>
        </w:numPr>
        <w:rPr>
          <w:lang w:eastAsia="en-AU"/>
        </w:rPr>
      </w:pPr>
      <w:r>
        <w:rPr>
          <w:lang w:eastAsia="en-AU"/>
        </w:rPr>
        <w:lastRenderedPageBreak/>
        <w:t xml:space="preserve">refer </w:t>
      </w:r>
      <w:r w:rsidR="00024944">
        <w:rPr>
          <w:lang w:eastAsia="en-AU"/>
        </w:rPr>
        <w:t xml:space="preserve">cases of </w:t>
      </w:r>
      <w:r>
        <w:rPr>
          <w:lang w:eastAsia="en-AU"/>
        </w:rPr>
        <w:t>unsuccessful</w:t>
      </w:r>
      <w:r w:rsidR="00053962">
        <w:rPr>
          <w:lang w:eastAsia="en-AU"/>
        </w:rPr>
        <w:t xml:space="preserve"> re-engagement to Education Regulation after the issue of an infringement notice.</w:t>
      </w:r>
    </w:p>
    <w:p w14:paraId="181D6053" w14:textId="5E01EB7F" w:rsidR="00FE2FBB" w:rsidRPr="008D0CB9" w:rsidRDefault="00FE2FBB" w:rsidP="00FE2FBB">
      <w:pPr>
        <w:pStyle w:val="Heading1"/>
        <w:keepNext w:val="0"/>
        <w:keepLines w:val="0"/>
        <w:ind w:left="431" w:hanging="431"/>
        <w:rPr>
          <w:rFonts w:asciiTheme="majorHAnsi" w:eastAsiaTheme="majorEastAsia" w:hAnsiTheme="majorHAnsi" w:cstheme="majorBidi"/>
          <w:bCs/>
          <w:noProof/>
          <w:color w:val="1F1F5F" w:themeColor="text1"/>
          <w:lang w:eastAsia="en-AU"/>
        </w:rPr>
      </w:pPr>
      <w:r w:rsidRPr="008D0CB9">
        <w:rPr>
          <w:rFonts w:asciiTheme="majorHAnsi" w:eastAsiaTheme="majorEastAsia" w:hAnsiTheme="majorHAnsi" w:cstheme="majorBidi"/>
          <w:bCs/>
          <w:noProof/>
          <w:color w:val="1F1F5F" w:themeColor="text1"/>
          <w:lang w:eastAsia="en-AU"/>
        </w:rPr>
        <w:t>Enforcement powers</w:t>
      </w:r>
    </w:p>
    <w:p w14:paraId="3A051DA1" w14:textId="29D01AAB" w:rsidR="00FE2FBB" w:rsidRDefault="00FE2FBB" w:rsidP="00FE2FBB">
      <w:pPr>
        <w:rPr>
          <w:lang w:eastAsia="en-AU"/>
        </w:rPr>
      </w:pPr>
      <w:r w:rsidRPr="008D0CB9">
        <w:rPr>
          <w:lang w:eastAsia="en-AU"/>
        </w:rPr>
        <w:t>Authorised persons have discretion to use enforcement powers for non-compliance with compulsory enrolment and attendance requirements.</w:t>
      </w:r>
    </w:p>
    <w:p w14:paraId="3E278D13" w14:textId="7ADC0417" w:rsidR="00033F97" w:rsidRDefault="00033F97" w:rsidP="00EC4C4E">
      <w:pPr>
        <w:pStyle w:val="Heading3"/>
      </w:pPr>
      <w:r>
        <w:t xml:space="preserve">Identification </w:t>
      </w:r>
      <w:r w:rsidR="004300F0">
        <w:t>r</w:t>
      </w:r>
      <w:r>
        <w:t>equirements</w:t>
      </w:r>
    </w:p>
    <w:p w14:paraId="0BC3DC1A" w14:textId="6595F04C" w:rsidR="00033F97" w:rsidRPr="00EC4C4E" w:rsidRDefault="00033F97" w:rsidP="00EC4C4E">
      <w:pPr>
        <w:keepNext/>
        <w:keepLines/>
        <w:spacing w:before="240"/>
        <w:outlineLvl w:val="2"/>
        <w:rPr>
          <w:rFonts w:ascii="Lato Semibold" w:hAnsi="Lato Semibold" w:cs="Arial"/>
          <w:color w:val="1F1F5F"/>
          <w:sz w:val="28"/>
          <w:szCs w:val="26"/>
        </w:rPr>
      </w:pPr>
      <w:r>
        <w:rPr>
          <w:lang w:eastAsia="en-AU"/>
        </w:rPr>
        <w:t xml:space="preserve">An authorised person may exercise a power in relation to a person only if the authorised person produces </w:t>
      </w:r>
      <w:r w:rsidR="00264613">
        <w:rPr>
          <w:lang w:eastAsia="en-AU"/>
        </w:rPr>
        <w:t xml:space="preserve">their </w:t>
      </w:r>
      <w:r>
        <w:rPr>
          <w:lang w:eastAsia="en-AU"/>
        </w:rPr>
        <w:t>identity card to the person for inspection prior to enforcing or executing any powers under the Act.</w:t>
      </w:r>
    </w:p>
    <w:p w14:paraId="507E2EBB" w14:textId="77777777" w:rsidR="00FE2FBB" w:rsidRPr="008D0CB9" w:rsidRDefault="00FE2FBB" w:rsidP="00EC4C4E">
      <w:pPr>
        <w:pStyle w:val="Heading3"/>
      </w:pPr>
      <w:bookmarkStart w:id="2" w:name="_Toc103340901"/>
      <w:bookmarkStart w:id="3" w:name="_Hlk129096470"/>
      <w:r w:rsidRPr="008D0CB9">
        <w:t>Request for information</w:t>
      </w:r>
      <w:bookmarkEnd w:id="2"/>
    </w:p>
    <w:bookmarkEnd w:id="3"/>
    <w:p w14:paraId="5AED65B2" w14:textId="77777777" w:rsidR="00076670" w:rsidRDefault="00076670" w:rsidP="00076670">
      <w:pPr>
        <w:rPr>
          <w:lang w:eastAsia="en-AU"/>
        </w:rPr>
      </w:pPr>
      <w:r w:rsidRPr="008D0CB9">
        <w:rPr>
          <w:lang w:eastAsia="en-AU"/>
        </w:rPr>
        <w:t xml:space="preserve">Authorised persons may request information </w:t>
      </w:r>
      <w:r>
        <w:rPr>
          <w:lang w:eastAsia="en-AU"/>
        </w:rPr>
        <w:t xml:space="preserve">to determine why </w:t>
      </w:r>
      <w:r w:rsidRPr="008D0CB9">
        <w:rPr>
          <w:lang w:eastAsia="en-AU"/>
        </w:rPr>
        <w:t xml:space="preserve">a compulsory school-age child </w:t>
      </w:r>
      <w:r>
        <w:rPr>
          <w:lang w:eastAsia="en-AU"/>
        </w:rPr>
        <w:t>or young person</w:t>
      </w:r>
      <w:r w:rsidRPr="008D0CB9">
        <w:rPr>
          <w:lang w:eastAsia="en-AU"/>
        </w:rPr>
        <w:t xml:space="preserve"> is </w:t>
      </w:r>
      <w:r>
        <w:rPr>
          <w:lang w:eastAsia="en-AU"/>
        </w:rPr>
        <w:t xml:space="preserve">not at school </w:t>
      </w:r>
      <w:r w:rsidRPr="008D0CB9">
        <w:rPr>
          <w:lang w:eastAsia="en-AU"/>
        </w:rPr>
        <w:t>during school hours</w:t>
      </w:r>
      <w:r>
        <w:rPr>
          <w:lang w:eastAsia="en-AU"/>
        </w:rPr>
        <w:t>. In requesting this information, an authorised person may:</w:t>
      </w:r>
    </w:p>
    <w:p w14:paraId="60634284" w14:textId="77777777" w:rsidR="00076670" w:rsidRDefault="00076670" w:rsidP="00076670">
      <w:pPr>
        <w:numPr>
          <w:ilvl w:val="0"/>
          <w:numId w:val="31"/>
        </w:numPr>
        <w:spacing w:after="120"/>
        <w:rPr>
          <w:rFonts w:eastAsia="Times New Roman"/>
          <w:iCs/>
          <w:lang w:eastAsia="en-AU"/>
        </w:rPr>
      </w:pPr>
      <w:r w:rsidRPr="00A93D8B">
        <w:rPr>
          <w:rFonts w:eastAsia="Times New Roman"/>
          <w:iCs/>
          <w:lang w:eastAsia="en-AU"/>
        </w:rPr>
        <w:t xml:space="preserve">take </w:t>
      </w:r>
      <w:r>
        <w:rPr>
          <w:rFonts w:eastAsia="Times New Roman"/>
          <w:iCs/>
          <w:lang w:eastAsia="en-AU"/>
        </w:rPr>
        <w:t>the details of a child or young person including their name, age, address and their explanation as to why they are not attending school</w:t>
      </w:r>
    </w:p>
    <w:p w14:paraId="5AFBAE86" w14:textId="0CDAD7C4" w:rsidR="00076670" w:rsidRPr="00A93D8B" w:rsidRDefault="00076670" w:rsidP="00076670">
      <w:pPr>
        <w:numPr>
          <w:ilvl w:val="0"/>
          <w:numId w:val="31"/>
        </w:numPr>
        <w:spacing w:after="120"/>
        <w:rPr>
          <w:rFonts w:eastAsia="Times New Roman"/>
          <w:iCs/>
          <w:lang w:eastAsia="en-AU"/>
        </w:rPr>
      </w:pPr>
      <w:r>
        <w:rPr>
          <w:rFonts w:eastAsia="Times New Roman"/>
          <w:iCs/>
          <w:lang w:eastAsia="en-AU"/>
        </w:rPr>
        <w:t>visit</w:t>
      </w:r>
      <w:r w:rsidRPr="00A93D8B">
        <w:rPr>
          <w:rFonts w:eastAsia="Times New Roman"/>
          <w:iCs/>
          <w:lang w:eastAsia="en-AU"/>
        </w:rPr>
        <w:t xml:space="preserve"> </w:t>
      </w:r>
      <w:r w:rsidR="00244781">
        <w:rPr>
          <w:rFonts w:eastAsia="Times New Roman"/>
          <w:iCs/>
          <w:lang w:eastAsia="en-AU"/>
        </w:rPr>
        <w:t xml:space="preserve">the parent and or </w:t>
      </w:r>
      <w:r>
        <w:rPr>
          <w:rFonts w:eastAsia="Times New Roman"/>
          <w:iCs/>
          <w:lang w:eastAsia="en-AU"/>
        </w:rPr>
        <w:t>the child or young person at their address</w:t>
      </w:r>
      <w:r w:rsidRPr="00A93D8B">
        <w:rPr>
          <w:rFonts w:eastAsia="Times New Roman"/>
          <w:iCs/>
          <w:lang w:eastAsia="en-AU"/>
        </w:rPr>
        <w:t xml:space="preserve"> </w:t>
      </w:r>
      <w:r>
        <w:rPr>
          <w:rFonts w:eastAsia="Times New Roman"/>
          <w:iCs/>
          <w:lang w:eastAsia="en-AU"/>
        </w:rPr>
        <w:t xml:space="preserve">or </w:t>
      </w:r>
      <w:r w:rsidRPr="00A93D8B">
        <w:rPr>
          <w:rFonts w:eastAsia="Times New Roman"/>
          <w:iCs/>
          <w:lang w:eastAsia="en-AU"/>
        </w:rPr>
        <w:t>another appropriate place</w:t>
      </w:r>
    </w:p>
    <w:p w14:paraId="04632C17" w14:textId="77777777" w:rsidR="00076670" w:rsidRDefault="00076670" w:rsidP="00076670">
      <w:pPr>
        <w:numPr>
          <w:ilvl w:val="0"/>
          <w:numId w:val="31"/>
        </w:numPr>
        <w:spacing w:after="120"/>
        <w:rPr>
          <w:rFonts w:eastAsia="Times New Roman"/>
          <w:iCs/>
          <w:lang w:eastAsia="en-AU"/>
        </w:rPr>
      </w:pPr>
      <w:r w:rsidRPr="00A93D8B">
        <w:rPr>
          <w:rFonts w:eastAsia="Times New Roman"/>
          <w:iCs/>
          <w:lang w:eastAsia="en-AU"/>
        </w:rPr>
        <w:t xml:space="preserve">ask questions regarding the </w:t>
      </w:r>
      <w:r>
        <w:rPr>
          <w:rFonts w:eastAsia="Times New Roman"/>
          <w:iCs/>
          <w:lang w:eastAsia="en-AU"/>
        </w:rPr>
        <w:t>child or young person’s</w:t>
      </w:r>
      <w:r w:rsidRPr="00A93D8B">
        <w:rPr>
          <w:rFonts w:eastAsia="Times New Roman"/>
          <w:iCs/>
          <w:lang w:eastAsia="en-AU"/>
        </w:rPr>
        <w:t xml:space="preserve"> enrolment </w:t>
      </w:r>
      <w:r>
        <w:rPr>
          <w:rFonts w:eastAsia="Times New Roman"/>
          <w:iCs/>
          <w:lang w:eastAsia="en-AU"/>
        </w:rPr>
        <w:t xml:space="preserve">to </w:t>
      </w:r>
      <w:r w:rsidRPr="00A93D8B">
        <w:rPr>
          <w:rFonts w:eastAsia="Times New Roman"/>
          <w:iCs/>
          <w:lang w:eastAsia="en-AU"/>
        </w:rPr>
        <w:t xml:space="preserve">any other person apparently aged 14 or </w:t>
      </w:r>
      <w:r>
        <w:rPr>
          <w:rFonts w:eastAsia="Times New Roman"/>
          <w:iCs/>
          <w:lang w:eastAsia="en-AU"/>
        </w:rPr>
        <w:t>above</w:t>
      </w:r>
      <w:r w:rsidRPr="00A93D8B">
        <w:rPr>
          <w:rFonts w:eastAsia="Times New Roman"/>
          <w:iCs/>
          <w:lang w:eastAsia="en-AU"/>
        </w:rPr>
        <w:t xml:space="preserve"> </w:t>
      </w:r>
      <w:r>
        <w:rPr>
          <w:rFonts w:eastAsia="Times New Roman"/>
          <w:iCs/>
          <w:lang w:eastAsia="en-AU"/>
        </w:rPr>
        <w:t>who is present. Questions can also include details of all children and young people of compulsory school-age who usually reside at the same address.</w:t>
      </w:r>
    </w:p>
    <w:p w14:paraId="12EAE3EB" w14:textId="77EA13ED" w:rsidR="00D918B8" w:rsidRDefault="00D918B8" w:rsidP="00EC4C4E">
      <w:pPr>
        <w:pStyle w:val="Heading3"/>
      </w:pPr>
      <w:r>
        <w:t xml:space="preserve">Information notice </w:t>
      </w:r>
    </w:p>
    <w:p w14:paraId="0028C01D" w14:textId="4EAE31C6" w:rsidR="00984CC1" w:rsidRDefault="00034F7E" w:rsidP="00D918B8">
      <w:r>
        <w:t xml:space="preserve">An information notice </w:t>
      </w:r>
      <w:r w:rsidR="00231A1A">
        <w:t xml:space="preserve">is provided as the first point of formal contact between an authorised person and </w:t>
      </w:r>
      <w:r w:rsidR="00244781">
        <w:t>the</w:t>
      </w:r>
      <w:r w:rsidR="00231A1A">
        <w:t xml:space="preserve"> parent </w:t>
      </w:r>
      <w:r w:rsidR="00244781">
        <w:t xml:space="preserve">of a child </w:t>
      </w:r>
      <w:r w:rsidR="00231A1A">
        <w:t>or a child living independently</w:t>
      </w:r>
      <w:r w:rsidR="00984CC1">
        <w:t xml:space="preserve">. It is used to request information about the child or young person’s non-compliance with compulsory enrolment and attendance requirements and </w:t>
      </w:r>
      <w:r w:rsidR="00BE1D35">
        <w:t xml:space="preserve">notifying them of legal consequences. </w:t>
      </w:r>
    </w:p>
    <w:p w14:paraId="26A03945" w14:textId="47B8ADA8" w:rsidR="00033F97" w:rsidRDefault="00033F97" w:rsidP="00EC4C4E">
      <w:pPr>
        <w:pStyle w:val="Heading3"/>
      </w:pPr>
      <w:r>
        <w:t xml:space="preserve">Compliance </w:t>
      </w:r>
      <w:r w:rsidR="004300F0">
        <w:t>n</w:t>
      </w:r>
      <w:r>
        <w:t>otice</w:t>
      </w:r>
    </w:p>
    <w:p w14:paraId="6BC1D4F8" w14:textId="4D343C99" w:rsidR="00033F97" w:rsidRDefault="00033F97" w:rsidP="00D918B8">
      <w:r>
        <w:t>A compliance notice is a legal written warning of the belief a person has breached the Act. The</w:t>
      </w:r>
      <w:r w:rsidR="004300F0">
        <w:t xml:space="preserve"> Chief Executive</w:t>
      </w:r>
      <w:r>
        <w:t xml:space="preserve"> </w:t>
      </w:r>
      <w:r w:rsidR="004300F0">
        <w:t>(</w:t>
      </w:r>
      <w:r>
        <w:t>CE</w:t>
      </w:r>
      <w:r w:rsidR="004300F0">
        <w:t>)</w:t>
      </w:r>
      <w:r>
        <w:t xml:space="preserve"> has a discretion under the Act to issue a compliance notice. Authorised persons have the delegated authority to issue a compliance notice on behalf of the CE.</w:t>
      </w:r>
    </w:p>
    <w:p w14:paraId="4DBCDCBD" w14:textId="7E66139B" w:rsidR="00033F97" w:rsidRDefault="00033F97" w:rsidP="00D918B8">
      <w:r>
        <w:t xml:space="preserve">A compliance notice is issued to a parent or </w:t>
      </w:r>
      <w:r w:rsidR="00231A1A">
        <w:t xml:space="preserve">a </w:t>
      </w:r>
      <w:r>
        <w:t>child living independently specif</w:t>
      </w:r>
      <w:r w:rsidR="00F65104">
        <w:t>ying</w:t>
      </w:r>
      <w:r>
        <w:t xml:space="preserve"> what must be done to comply with the notice. Normally, the direction will be around compelling a student to attend school or to participate in an eligible option.</w:t>
      </w:r>
      <w:r w:rsidR="00D918B8">
        <w:t xml:space="preserve"> </w:t>
      </w:r>
      <w:r>
        <w:t xml:space="preserve">Failure to comply with a compliance notice can result in an infringement notice being issued or prosecution. An infringement notice can be issued to, or prosecution can be commenced against, </w:t>
      </w:r>
      <w:r w:rsidR="00244781">
        <w:t>the</w:t>
      </w:r>
      <w:r>
        <w:t xml:space="preserve"> parent </w:t>
      </w:r>
      <w:r w:rsidR="00244781">
        <w:t xml:space="preserve">of a child </w:t>
      </w:r>
      <w:r>
        <w:t xml:space="preserve">or a child </w:t>
      </w:r>
      <w:r w:rsidR="00244781">
        <w:t xml:space="preserve">living independently </w:t>
      </w:r>
      <w:r>
        <w:t>for non-compliance.</w:t>
      </w:r>
    </w:p>
    <w:p w14:paraId="05352427" w14:textId="616D2B4E" w:rsidR="00033F97" w:rsidRPr="00D918B8" w:rsidRDefault="00033F97" w:rsidP="00D918B8">
      <w:pPr>
        <w:rPr>
          <w:rFonts w:eastAsia="Times New Roman"/>
          <w:lang w:eastAsia="en-AU"/>
        </w:rPr>
      </w:pPr>
      <w:r>
        <w:t>If a person complies with the conditions within a compliance notice, the issuing officer must by written notice revoke the compliance notice to the person it was originally issued to.</w:t>
      </w:r>
    </w:p>
    <w:p w14:paraId="61E0DF9C" w14:textId="77777777" w:rsidR="001D0375" w:rsidRPr="008D0CB9" w:rsidRDefault="001D0375" w:rsidP="001D0375">
      <w:pPr>
        <w:keepNext/>
        <w:keepLines/>
        <w:spacing w:before="240"/>
        <w:ind w:left="720" w:hanging="720"/>
        <w:outlineLvl w:val="2"/>
        <w:rPr>
          <w:rFonts w:ascii="Lato Semibold" w:hAnsi="Lato Semibold" w:cs="Arial"/>
          <w:color w:val="1F1F5F"/>
          <w:sz w:val="28"/>
          <w:szCs w:val="26"/>
          <w:lang w:eastAsia="en-AU"/>
        </w:rPr>
      </w:pPr>
      <w:bookmarkStart w:id="4" w:name="_Toc103340914"/>
      <w:r w:rsidRPr="008D0CB9">
        <w:rPr>
          <w:rFonts w:ascii="Lato Semibold" w:hAnsi="Lato Semibold" w:cs="Arial"/>
          <w:color w:val="1F1F5F"/>
          <w:sz w:val="28"/>
          <w:szCs w:val="26"/>
          <w:lang w:eastAsia="en-AU"/>
        </w:rPr>
        <w:lastRenderedPageBreak/>
        <w:t>Direction to enrol</w:t>
      </w:r>
      <w:bookmarkEnd w:id="4"/>
    </w:p>
    <w:p w14:paraId="0E6A7CE2" w14:textId="38ECC84C" w:rsidR="005E1129" w:rsidRPr="004300F0" w:rsidRDefault="005E1129" w:rsidP="00FE2FBB">
      <w:pPr>
        <w:rPr>
          <w:lang w:eastAsia="en-AU"/>
        </w:rPr>
      </w:pPr>
      <w:r w:rsidRPr="004300F0">
        <w:rPr>
          <w:lang w:eastAsia="en-AU"/>
        </w:rPr>
        <w:t xml:space="preserve">A direction to enrol is a written notice issued by an authorised </w:t>
      </w:r>
      <w:r w:rsidR="00033F97" w:rsidRPr="004300F0">
        <w:rPr>
          <w:lang w:eastAsia="en-AU"/>
        </w:rPr>
        <w:t>person</w:t>
      </w:r>
      <w:r w:rsidRPr="004300F0">
        <w:rPr>
          <w:lang w:eastAsia="en-AU"/>
        </w:rPr>
        <w:t xml:space="preserve"> to a parent or to a child living independently, requiring the child or young person to be enrolled in a school within 10 school days after the notice is issued.</w:t>
      </w:r>
    </w:p>
    <w:p w14:paraId="66C83E91" w14:textId="4B485310" w:rsidR="007D24E6" w:rsidRPr="004300F0" w:rsidRDefault="007D24E6" w:rsidP="00FE2FBB">
      <w:pPr>
        <w:rPr>
          <w:lang w:eastAsia="en-AU"/>
        </w:rPr>
      </w:pPr>
      <w:r w:rsidRPr="004300F0">
        <w:rPr>
          <w:lang w:eastAsia="en-AU"/>
        </w:rPr>
        <w:t>An authorised person must:</w:t>
      </w:r>
    </w:p>
    <w:p w14:paraId="18FEE99E" w14:textId="77777777" w:rsidR="0074675E" w:rsidRPr="004300F0" w:rsidRDefault="0074675E" w:rsidP="0074675E">
      <w:pPr>
        <w:numPr>
          <w:ilvl w:val="0"/>
          <w:numId w:val="36"/>
        </w:numPr>
        <w:spacing w:after="120"/>
        <w:rPr>
          <w:rFonts w:eastAsia="Times New Roman"/>
          <w:iCs/>
          <w:lang w:eastAsia="en-AU"/>
        </w:rPr>
      </w:pPr>
      <w:r w:rsidRPr="004300F0">
        <w:rPr>
          <w:rFonts w:eastAsia="Times New Roman"/>
          <w:iCs/>
          <w:lang w:eastAsia="en-AU"/>
        </w:rPr>
        <w:t>have formed a reasonable belief prior to exercising their discretion to issue a direction to enrol</w:t>
      </w:r>
    </w:p>
    <w:p w14:paraId="704FE36F" w14:textId="50D5A131" w:rsidR="0074675E" w:rsidRPr="004300F0" w:rsidRDefault="0074675E" w:rsidP="0074675E">
      <w:pPr>
        <w:numPr>
          <w:ilvl w:val="0"/>
          <w:numId w:val="36"/>
        </w:numPr>
        <w:spacing w:after="120"/>
        <w:rPr>
          <w:rFonts w:eastAsia="Times New Roman"/>
          <w:iCs/>
          <w:lang w:eastAsia="en-AU"/>
        </w:rPr>
      </w:pPr>
      <w:r w:rsidRPr="004300F0">
        <w:rPr>
          <w:rFonts w:eastAsia="Times New Roman"/>
          <w:iCs/>
          <w:lang w:eastAsia="en-AU"/>
        </w:rPr>
        <w:t>clearly explain in the written notice what a direction to enrol means and what the consequences are for non-compliance</w:t>
      </w:r>
    </w:p>
    <w:p w14:paraId="08F43B59" w14:textId="7CF1F78B" w:rsidR="0074675E" w:rsidRPr="004300F0" w:rsidRDefault="0074675E" w:rsidP="0074675E">
      <w:pPr>
        <w:numPr>
          <w:ilvl w:val="0"/>
          <w:numId w:val="36"/>
        </w:numPr>
        <w:spacing w:after="120"/>
        <w:rPr>
          <w:rFonts w:eastAsia="Times New Roman"/>
          <w:iCs/>
          <w:lang w:eastAsia="en-AU"/>
        </w:rPr>
      </w:pPr>
      <w:r w:rsidRPr="004300F0">
        <w:rPr>
          <w:rFonts w:eastAsia="Times New Roman"/>
          <w:iCs/>
          <w:lang w:eastAsia="en-AU"/>
        </w:rPr>
        <w:t xml:space="preserve">provide advice on the enrolment process and the next steps </w:t>
      </w:r>
      <w:r w:rsidR="00CD01AF" w:rsidRPr="004300F0">
        <w:rPr>
          <w:rFonts w:eastAsia="Times New Roman"/>
          <w:iCs/>
          <w:lang w:eastAsia="en-AU"/>
        </w:rPr>
        <w:t xml:space="preserve">to be undertaken by </w:t>
      </w:r>
      <w:r w:rsidRPr="004300F0">
        <w:rPr>
          <w:rFonts w:eastAsia="Times New Roman"/>
          <w:iCs/>
          <w:lang w:eastAsia="en-AU"/>
        </w:rPr>
        <w:t xml:space="preserve">the parent or </w:t>
      </w:r>
      <w:r w:rsidR="00CD01AF" w:rsidRPr="004300F0">
        <w:rPr>
          <w:rFonts w:eastAsia="Times New Roman"/>
          <w:iCs/>
          <w:lang w:eastAsia="en-AU"/>
        </w:rPr>
        <w:t xml:space="preserve">by the </w:t>
      </w:r>
      <w:r w:rsidRPr="004300F0">
        <w:rPr>
          <w:rFonts w:eastAsia="Times New Roman"/>
          <w:iCs/>
          <w:lang w:eastAsia="en-AU"/>
        </w:rPr>
        <w:t>child living independently</w:t>
      </w:r>
    </w:p>
    <w:p w14:paraId="1C958ADE" w14:textId="77777777" w:rsidR="0074675E" w:rsidRPr="004300F0" w:rsidRDefault="0074675E" w:rsidP="0074675E">
      <w:pPr>
        <w:numPr>
          <w:ilvl w:val="0"/>
          <w:numId w:val="36"/>
        </w:numPr>
        <w:spacing w:after="120"/>
        <w:rPr>
          <w:rFonts w:eastAsia="Times New Roman"/>
          <w:iCs/>
          <w:lang w:eastAsia="en-AU"/>
        </w:rPr>
      </w:pPr>
      <w:r w:rsidRPr="004300F0">
        <w:rPr>
          <w:rFonts w:eastAsia="Times New Roman"/>
          <w:iCs/>
          <w:lang w:eastAsia="en-AU"/>
        </w:rPr>
        <w:t>seek information to determine if there are any barriers to enrolment and or attendance</w:t>
      </w:r>
    </w:p>
    <w:p w14:paraId="2FFD2FB4" w14:textId="77777777" w:rsidR="0074675E" w:rsidRPr="004300F0" w:rsidRDefault="0074675E" w:rsidP="0074675E">
      <w:pPr>
        <w:numPr>
          <w:ilvl w:val="0"/>
          <w:numId w:val="36"/>
        </w:numPr>
        <w:spacing w:after="120"/>
        <w:rPr>
          <w:rFonts w:eastAsia="Times New Roman"/>
          <w:iCs/>
          <w:lang w:eastAsia="en-AU"/>
        </w:rPr>
      </w:pPr>
      <w:r w:rsidRPr="004300F0">
        <w:rPr>
          <w:rFonts w:eastAsia="Times New Roman"/>
          <w:iCs/>
          <w:lang w:eastAsia="en-AU"/>
        </w:rPr>
        <w:t>liaise with the school where enrolment is intended</w:t>
      </w:r>
    </w:p>
    <w:p w14:paraId="0209CEBE" w14:textId="152103E5" w:rsidR="00CA2A71" w:rsidRPr="004300F0" w:rsidRDefault="00CA2A71" w:rsidP="0074675E">
      <w:pPr>
        <w:numPr>
          <w:ilvl w:val="0"/>
          <w:numId w:val="36"/>
        </w:numPr>
        <w:spacing w:after="120"/>
        <w:rPr>
          <w:rFonts w:eastAsia="Times New Roman"/>
          <w:iCs/>
          <w:lang w:eastAsia="en-AU"/>
        </w:rPr>
      </w:pPr>
      <w:r w:rsidRPr="004300F0">
        <w:rPr>
          <w:rFonts w:eastAsia="Times New Roman"/>
          <w:iCs/>
          <w:lang w:eastAsia="en-AU"/>
        </w:rPr>
        <w:t>contact the nominated school on the date by which the child is expected to be enrolled</w:t>
      </w:r>
      <w:r w:rsidR="00B34F19" w:rsidRPr="004300F0">
        <w:rPr>
          <w:rFonts w:eastAsia="Times New Roman"/>
          <w:iCs/>
          <w:lang w:eastAsia="en-AU"/>
        </w:rPr>
        <w:t xml:space="preserve"> to ensure enrolment has been completed</w:t>
      </w:r>
    </w:p>
    <w:p w14:paraId="0CEED083" w14:textId="19839AAF" w:rsidR="0074675E" w:rsidRPr="004300F0" w:rsidRDefault="0074675E" w:rsidP="0074675E">
      <w:pPr>
        <w:numPr>
          <w:ilvl w:val="0"/>
          <w:numId w:val="36"/>
        </w:numPr>
        <w:ind w:left="714" w:hanging="357"/>
        <w:rPr>
          <w:rFonts w:eastAsia="Times New Roman"/>
          <w:iCs/>
          <w:lang w:eastAsia="en-AU"/>
        </w:rPr>
      </w:pPr>
      <w:r w:rsidRPr="004300F0">
        <w:rPr>
          <w:rFonts w:eastAsia="Times New Roman"/>
          <w:iCs/>
          <w:lang w:eastAsia="en-AU"/>
        </w:rPr>
        <w:t xml:space="preserve">continue to monitor until the child </w:t>
      </w:r>
      <w:r w:rsidR="00B34F19" w:rsidRPr="004300F0">
        <w:rPr>
          <w:rFonts w:eastAsia="Times New Roman"/>
          <w:iCs/>
          <w:lang w:eastAsia="en-AU"/>
        </w:rPr>
        <w:t xml:space="preserve">or young person </w:t>
      </w:r>
      <w:r w:rsidRPr="004300F0">
        <w:rPr>
          <w:rFonts w:eastAsia="Times New Roman"/>
          <w:iCs/>
          <w:lang w:eastAsia="en-AU"/>
        </w:rPr>
        <w:t>is appropriately engaged in school.</w:t>
      </w:r>
    </w:p>
    <w:p w14:paraId="40C1F89F" w14:textId="36E37C44" w:rsidR="0074675E" w:rsidRPr="004300F0" w:rsidRDefault="0074675E" w:rsidP="0074675E">
      <w:pPr>
        <w:rPr>
          <w:lang w:eastAsia="en-AU"/>
        </w:rPr>
      </w:pPr>
      <w:r w:rsidRPr="004300F0">
        <w:rPr>
          <w:lang w:eastAsia="en-AU"/>
        </w:rPr>
        <w:t xml:space="preserve">If the child is not enrolled, the </w:t>
      </w:r>
      <w:r w:rsidR="00C64DFC" w:rsidRPr="004300F0">
        <w:rPr>
          <w:lang w:eastAsia="en-AU"/>
        </w:rPr>
        <w:t>authorised person</w:t>
      </w:r>
      <w:r w:rsidRPr="004300F0">
        <w:rPr>
          <w:lang w:eastAsia="en-AU"/>
        </w:rPr>
        <w:t>:</w:t>
      </w:r>
    </w:p>
    <w:p w14:paraId="6C6BCD17" w14:textId="77777777" w:rsidR="0074675E" w:rsidRPr="0074675E" w:rsidRDefault="0074675E" w:rsidP="0074675E">
      <w:pPr>
        <w:numPr>
          <w:ilvl w:val="0"/>
          <w:numId w:val="37"/>
        </w:numPr>
        <w:spacing w:after="120"/>
        <w:rPr>
          <w:rFonts w:eastAsia="Times New Roman"/>
          <w:iCs/>
          <w:lang w:eastAsia="en-AU"/>
        </w:rPr>
      </w:pPr>
      <w:r w:rsidRPr="0074675E">
        <w:rPr>
          <w:rFonts w:eastAsia="Times New Roman"/>
          <w:iCs/>
          <w:lang w:eastAsia="en-AU"/>
        </w:rPr>
        <w:t>should attend the child’s home or usual residence to determine why</w:t>
      </w:r>
    </w:p>
    <w:p w14:paraId="279CA3E8" w14:textId="2E3EEDD5" w:rsidR="00A23085" w:rsidRDefault="0074675E" w:rsidP="0074675E">
      <w:pPr>
        <w:numPr>
          <w:ilvl w:val="0"/>
          <w:numId w:val="37"/>
        </w:numPr>
        <w:spacing w:after="120"/>
        <w:rPr>
          <w:rFonts w:eastAsia="Times New Roman"/>
          <w:iCs/>
          <w:lang w:eastAsia="en-AU"/>
        </w:rPr>
      </w:pPr>
      <w:r w:rsidRPr="0074675E">
        <w:rPr>
          <w:rFonts w:eastAsia="Times New Roman"/>
          <w:iCs/>
          <w:lang w:eastAsia="en-AU"/>
        </w:rPr>
        <w:t xml:space="preserve">may extend the direction </w:t>
      </w:r>
      <w:r w:rsidR="00A23085">
        <w:rPr>
          <w:rFonts w:eastAsia="Times New Roman"/>
          <w:iCs/>
          <w:lang w:eastAsia="en-AU"/>
        </w:rPr>
        <w:t xml:space="preserve">to enrol </w:t>
      </w:r>
      <w:r w:rsidRPr="0074675E">
        <w:rPr>
          <w:rFonts w:eastAsia="Times New Roman"/>
          <w:iCs/>
          <w:lang w:eastAsia="en-AU"/>
        </w:rPr>
        <w:t>for a further 10 days in special circumstances</w:t>
      </w:r>
      <w:r w:rsidR="00A23085">
        <w:rPr>
          <w:rFonts w:eastAsia="Times New Roman"/>
          <w:iCs/>
          <w:lang w:eastAsia="en-AU"/>
        </w:rPr>
        <w:t xml:space="preserve">. Special circumstances include unavailability of a permanent address, serious health issues, </w:t>
      </w:r>
      <w:r w:rsidR="0097799E">
        <w:rPr>
          <w:rFonts w:eastAsia="Times New Roman"/>
          <w:iCs/>
          <w:lang w:eastAsia="en-AU"/>
        </w:rPr>
        <w:t xml:space="preserve">or </w:t>
      </w:r>
      <w:r w:rsidR="00A23085">
        <w:rPr>
          <w:rFonts w:eastAsia="Times New Roman"/>
          <w:iCs/>
          <w:lang w:eastAsia="en-AU"/>
        </w:rPr>
        <w:t>domestic and family violence concerns</w:t>
      </w:r>
    </w:p>
    <w:p w14:paraId="0ABCC202" w14:textId="6ECCCAFF" w:rsidR="0074675E" w:rsidRDefault="00F84C1A" w:rsidP="0074675E">
      <w:pPr>
        <w:numPr>
          <w:ilvl w:val="0"/>
          <w:numId w:val="37"/>
        </w:numPr>
        <w:spacing w:after="120"/>
        <w:rPr>
          <w:rFonts w:eastAsia="Times New Roman"/>
          <w:iCs/>
          <w:lang w:eastAsia="en-AU"/>
        </w:rPr>
      </w:pPr>
      <w:r>
        <w:rPr>
          <w:rFonts w:eastAsia="Times New Roman"/>
          <w:iCs/>
          <w:lang w:eastAsia="en-AU"/>
        </w:rPr>
        <w:t xml:space="preserve">may </w:t>
      </w:r>
      <w:r w:rsidR="0074675E" w:rsidRPr="0074675E">
        <w:rPr>
          <w:rFonts w:eastAsia="Times New Roman"/>
          <w:iCs/>
          <w:lang w:eastAsia="en-AU"/>
        </w:rPr>
        <w:t xml:space="preserve">issue an infringement notice if there is no </w:t>
      </w:r>
      <w:r w:rsidR="00033F97">
        <w:rPr>
          <w:rFonts w:eastAsia="Times New Roman"/>
          <w:iCs/>
          <w:lang w:eastAsia="en-AU"/>
        </w:rPr>
        <w:t xml:space="preserve">reasonable excuse </w:t>
      </w:r>
      <w:r w:rsidR="0074675E" w:rsidRPr="0074675E">
        <w:rPr>
          <w:rFonts w:eastAsia="Times New Roman"/>
          <w:iCs/>
          <w:lang w:eastAsia="en-AU"/>
        </w:rPr>
        <w:t xml:space="preserve">as to why the child </w:t>
      </w:r>
      <w:r w:rsidR="00680804">
        <w:rPr>
          <w:rFonts w:eastAsia="Times New Roman"/>
          <w:iCs/>
          <w:lang w:eastAsia="en-AU"/>
        </w:rPr>
        <w:t xml:space="preserve">or young person </w:t>
      </w:r>
      <w:r w:rsidR="0074675E" w:rsidRPr="0074675E">
        <w:rPr>
          <w:rFonts w:eastAsia="Times New Roman"/>
          <w:iCs/>
          <w:lang w:eastAsia="en-AU"/>
        </w:rPr>
        <w:t>is not enrolled.</w:t>
      </w:r>
    </w:p>
    <w:p w14:paraId="1BCCF1FD" w14:textId="34B5C8D3" w:rsidR="00EF1451" w:rsidRPr="0074675E" w:rsidRDefault="00EF1451" w:rsidP="00EF1451">
      <w:pPr>
        <w:keepNext/>
        <w:keepLines/>
        <w:spacing w:before="240"/>
        <w:ind w:left="720" w:hanging="720"/>
        <w:outlineLvl w:val="2"/>
        <w:rPr>
          <w:rFonts w:ascii="Lato Semibold" w:hAnsi="Lato Semibold" w:cs="Arial"/>
          <w:color w:val="1F1F5F"/>
          <w:sz w:val="28"/>
          <w:szCs w:val="26"/>
          <w:lang w:eastAsia="en-AU"/>
        </w:rPr>
      </w:pPr>
      <w:r w:rsidRPr="00EF1451">
        <w:rPr>
          <w:rFonts w:ascii="Lato Semibold" w:hAnsi="Lato Semibold" w:cs="Arial"/>
          <w:color w:val="1F1F5F"/>
          <w:sz w:val="28"/>
          <w:szCs w:val="26"/>
          <w:lang w:eastAsia="en-AU"/>
        </w:rPr>
        <w:t xml:space="preserve">Compulsory conference </w:t>
      </w:r>
    </w:p>
    <w:p w14:paraId="30A778EF" w14:textId="7ACF97D6" w:rsidR="007D24E6" w:rsidRDefault="00131F7C" w:rsidP="00FE2FBB">
      <w:pPr>
        <w:rPr>
          <w:lang w:eastAsia="en-AU"/>
        </w:rPr>
      </w:pPr>
      <w:r>
        <w:rPr>
          <w:lang w:eastAsia="en-AU"/>
        </w:rPr>
        <w:t xml:space="preserve">If an authorised person reasonably believes that a direction to enrol is not being complied with, </w:t>
      </w:r>
      <w:r w:rsidR="005C0C2A">
        <w:rPr>
          <w:lang w:eastAsia="en-AU"/>
        </w:rPr>
        <w:t>the authorised person can request a compulsory conference through a written notice.</w:t>
      </w:r>
      <w:r w:rsidR="00C5373F">
        <w:rPr>
          <w:lang w:eastAsia="en-AU"/>
        </w:rPr>
        <w:t xml:space="preserve"> The purpose of a compulsory conference is to address </w:t>
      </w:r>
      <w:r w:rsidR="00490D7D">
        <w:rPr>
          <w:lang w:eastAsia="en-AU"/>
        </w:rPr>
        <w:t xml:space="preserve">the issues </w:t>
      </w:r>
      <w:r w:rsidR="00E122D8">
        <w:rPr>
          <w:lang w:eastAsia="en-AU"/>
        </w:rPr>
        <w:t xml:space="preserve">contributing to </w:t>
      </w:r>
      <w:r w:rsidR="00490D7D">
        <w:rPr>
          <w:lang w:eastAsia="en-AU"/>
        </w:rPr>
        <w:t>enrolment and attendance</w:t>
      </w:r>
      <w:r w:rsidR="00E122D8">
        <w:rPr>
          <w:lang w:eastAsia="en-AU"/>
        </w:rPr>
        <w:t xml:space="preserve"> issues</w:t>
      </w:r>
      <w:r w:rsidR="00490D7D">
        <w:rPr>
          <w:lang w:eastAsia="en-AU"/>
        </w:rPr>
        <w:t xml:space="preserve">. </w:t>
      </w:r>
      <w:r w:rsidR="005950F3">
        <w:rPr>
          <w:lang w:eastAsia="en-AU"/>
        </w:rPr>
        <w:t>To achieve this purpose, an authorised person:</w:t>
      </w:r>
    </w:p>
    <w:p w14:paraId="35F14AC2" w14:textId="0900D725" w:rsidR="005950F3" w:rsidRDefault="005950F3" w:rsidP="005950F3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can request attendance by all appropriate persons, including the principal or</w:t>
      </w:r>
      <w:r w:rsidR="0023687C">
        <w:rPr>
          <w:lang w:eastAsia="en-AU"/>
        </w:rPr>
        <w:t xml:space="preserve"> nominated staff member</w:t>
      </w:r>
      <w:r>
        <w:rPr>
          <w:lang w:eastAsia="en-AU"/>
        </w:rPr>
        <w:t>, the parent, and the child or young person</w:t>
      </w:r>
    </w:p>
    <w:p w14:paraId="6CDC9FF0" w14:textId="11CFE160" w:rsidR="0036612C" w:rsidRDefault="0036612C" w:rsidP="005950F3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in the case that a parent is requested to attend a compulsory conference but fails to attend, determines if the excuse provided by the parent is reasonable</w:t>
      </w:r>
    </w:p>
    <w:p w14:paraId="2A557CDD" w14:textId="77777777" w:rsidR="003725B8" w:rsidRDefault="00E90DDA" w:rsidP="005950F3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at the conference, seeks to identify and resolve issues in dispute and or identify any support and services that can be provided to the child or young person or their family</w:t>
      </w:r>
    </w:p>
    <w:p w14:paraId="6F05E9E7" w14:textId="4F0FFBE7" w:rsidR="00E90DDA" w:rsidRDefault="003725B8" w:rsidP="005950F3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>works with all relevant stakeholders to develop a</w:t>
      </w:r>
      <w:r w:rsidR="00310EEE">
        <w:rPr>
          <w:lang w:eastAsia="en-AU"/>
        </w:rPr>
        <w:t>n</w:t>
      </w:r>
      <w:r>
        <w:rPr>
          <w:lang w:eastAsia="en-AU"/>
        </w:rPr>
        <w:t xml:space="preserve"> </w:t>
      </w:r>
      <w:r w:rsidR="00310EEE">
        <w:rPr>
          <w:lang w:eastAsia="en-AU"/>
        </w:rPr>
        <w:t xml:space="preserve">engagement </w:t>
      </w:r>
      <w:r>
        <w:rPr>
          <w:lang w:eastAsia="en-AU"/>
        </w:rPr>
        <w:t>plan</w:t>
      </w:r>
    </w:p>
    <w:p w14:paraId="221EB01A" w14:textId="6B099BED" w:rsidR="00622F50" w:rsidRDefault="00B57164" w:rsidP="00622F50">
      <w:pPr>
        <w:pStyle w:val="ListParagraph"/>
        <w:numPr>
          <w:ilvl w:val="0"/>
          <w:numId w:val="42"/>
        </w:numPr>
        <w:rPr>
          <w:lang w:eastAsia="en-AU"/>
        </w:rPr>
      </w:pPr>
      <w:r>
        <w:rPr>
          <w:lang w:eastAsia="en-AU"/>
        </w:rPr>
        <w:t xml:space="preserve">should escalate complex cases to </w:t>
      </w:r>
      <w:r w:rsidR="008838E8">
        <w:rPr>
          <w:lang w:eastAsia="en-AU"/>
        </w:rPr>
        <w:t>their line manager for advice.</w:t>
      </w:r>
    </w:p>
    <w:p w14:paraId="23D8AF8E" w14:textId="131CB0BB" w:rsidR="003C4B12" w:rsidRPr="00AC7EC8" w:rsidRDefault="00622F50" w:rsidP="00AC7EC8">
      <w:pPr>
        <w:keepNext/>
        <w:keepLines/>
        <w:spacing w:before="240"/>
        <w:ind w:left="720" w:hanging="720"/>
        <w:outlineLvl w:val="2"/>
        <w:rPr>
          <w:rFonts w:ascii="Lato Semibold" w:hAnsi="Lato Semibold" w:cs="Arial"/>
          <w:color w:val="1F1F5F"/>
          <w:sz w:val="28"/>
          <w:szCs w:val="26"/>
          <w:lang w:eastAsia="en-AU"/>
        </w:rPr>
      </w:pPr>
      <w:r w:rsidRPr="00622F50">
        <w:rPr>
          <w:rFonts w:ascii="Lato Semibold" w:hAnsi="Lato Semibold" w:cs="Arial"/>
          <w:color w:val="1F1F5F"/>
          <w:sz w:val="28"/>
          <w:szCs w:val="26"/>
          <w:lang w:eastAsia="en-AU"/>
        </w:rPr>
        <w:lastRenderedPageBreak/>
        <w:t>Infringement notice</w:t>
      </w:r>
    </w:p>
    <w:p w14:paraId="7962DF89" w14:textId="4979437E" w:rsidR="00033F97" w:rsidRDefault="000E02DC" w:rsidP="000E02DC">
      <w:pPr>
        <w:rPr>
          <w:lang w:eastAsia="en-AU"/>
        </w:rPr>
      </w:pPr>
      <w:r w:rsidRPr="000E02DC">
        <w:rPr>
          <w:lang w:eastAsia="en-AU"/>
        </w:rPr>
        <w:t xml:space="preserve">An infringement notice </w:t>
      </w:r>
      <w:r w:rsidR="005169DB">
        <w:rPr>
          <w:lang w:eastAsia="en-AU"/>
        </w:rPr>
        <w:t xml:space="preserve">is </w:t>
      </w:r>
      <w:r w:rsidRPr="000E02DC">
        <w:rPr>
          <w:lang w:eastAsia="en-AU"/>
        </w:rPr>
        <w:t xml:space="preserve">a financial penalty for non-compliance with compulsory enrolment and attendance </w:t>
      </w:r>
      <w:r>
        <w:rPr>
          <w:lang w:eastAsia="en-AU"/>
        </w:rPr>
        <w:t xml:space="preserve">requirements. </w:t>
      </w:r>
      <w:r w:rsidR="00AB5881">
        <w:rPr>
          <w:lang w:eastAsia="en-AU"/>
        </w:rPr>
        <w:t>The notice</w:t>
      </w:r>
      <w:r w:rsidR="00AC7EC8">
        <w:rPr>
          <w:lang w:eastAsia="en-AU"/>
        </w:rPr>
        <w:t xml:space="preserve"> is </w:t>
      </w:r>
      <w:r w:rsidR="00AB5881">
        <w:rPr>
          <w:lang w:eastAsia="en-AU"/>
        </w:rPr>
        <w:t xml:space="preserve">issued by an authorised person </w:t>
      </w:r>
      <w:r w:rsidR="00AC7EC8">
        <w:rPr>
          <w:lang w:eastAsia="en-AU"/>
        </w:rPr>
        <w:t xml:space="preserve">to compel parents </w:t>
      </w:r>
      <w:r w:rsidR="00A67FD4">
        <w:rPr>
          <w:lang w:eastAsia="en-AU"/>
        </w:rPr>
        <w:t xml:space="preserve">of children and children living independently </w:t>
      </w:r>
      <w:r w:rsidR="00AC7EC8">
        <w:rPr>
          <w:lang w:eastAsia="en-AU"/>
        </w:rPr>
        <w:t xml:space="preserve">to fulfil their obligations in relation to compulsory enrolment and attendance </w:t>
      </w:r>
      <w:r w:rsidR="0088266B">
        <w:rPr>
          <w:lang w:eastAsia="en-AU"/>
        </w:rPr>
        <w:t xml:space="preserve">rather than having the offence heard in a court of law. However, the parent of a child or a child living </w:t>
      </w:r>
      <w:r w:rsidR="00A67FD4">
        <w:rPr>
          <w:lang w:eastAsia="en-AU"/>
        </w:rPr>
        <w:t>independently may still elect to have an infringement notice contested in court</w:t>
      </w:r>
      <w:r w:rsidR="00AB5881">
        <w:rPr>
          <w:lang w:eastAsia="en-AU"/>
        </w:rPr>
        <w:t>.</w:t>
      </w:r>
    </w:p>
    <w:p w14:paraId="6F8CEDEB" w14:textId="065E29A0" w:rsidR="00CC1EAF" w:rsidRDefault="00CA72B3" w:rsidP="000E02DC">
      <w:pPr>
        <w:rPr>
          <w:lang w:eastAsia="en-AU"/>
        </w:rPr>
      </w:pPr>
      <w:r>
        <w:rPr>
          <w:lang w:eastAsia="en-AU"/>
        </w:rPr>
        <w:t>T</w:t>
      </w:r>
      <w:r w:rsidR="00033F97">
        <w:rPr>
          <w:lang w:eastAsia="en-AU"/>
        </w:rPr>
        <w:t xml:space="preserve">he </w:t>
      </w:r>
      <w:r w:rsidR="00033F97" w:rsidRPr="00CF6651">
        <w:rPr>
          <w:iCs/>
          <w:lang w:eastAsia="en-AU"/>
        </w:rPr>
        <w:t>Education Regulations</w:t>
      </w:r>
      <w:r w:rsidR="00033F97">
        <w:rPr>
          <w:lang w:eastAsia="en-AU"/>
        </w:rPr>
        <w:t xml:space="preserve"> 2015 </w:t>
      </w:r>
      <w:r>
        <w:rPr>
          <w:lang w:eastAsia="en-AU"/>
        </w:rPr>
        <w:t>set</w:t>
      </w:r>
      <w:r w:rsidR="00E122D8">
        <w:rPr>
          <w:lang w:eastAsia="en-AU"/>
        </w:rPr>
        <w:t>s</w:t>
      </w:r>
      <w:r>
        <w:rPr>
          <w:lang w:eastAsia="en-AU"/>
        </w:rPr>
        <w:t xml:space="preserve"> out the </w:t>
      </w:r>
      <w:r w:rsidR="00033F97">
        <w:rPr>
          <w:lang w:eastAsia="en-AU"/>
        </w:rPr>
        <w:t xml:space="preserve">offences considered </w:t>
      </w:r>
      <w:r w:rsidR="00E122D8">
        <w:rPr>
          <w:lang w:eastAsia="en-AU"/>
        </w:rPr>
        <w:t xml:space="preserve">as </w:t>
      </w:r>
      <w:r w:rsidR="00033F97">
        <w:rPr>
          <w:lang w:eastAsia="en-AU"/>
        </w:rPr>
        <w:t xml:space="preserve">prescribed offences </w:t>
      </w:r>
      <w:r>
        <w:rPr>
          <w:lang w:eastAsia="en-AU"/>
        </w:rPr>
        <w:t>and for</w:t>
      </w:r>
      <w:r w:rsidR="00033F97">
        <w:rPr>
          <w:lang w:eastAsia="en-AU"/>
        </w:rPr>
        <w:t xml:space="preserve"> wh</w:t>
      </w:r>
      <w:r>
        <w:rPr>
          <w:lang w:eastAsia="en-AU"/>
        </w:rPr>
        <w:t>ich</w:t>
      </w:r>
      <w:r w:rsidR="00033F97">
        <w:rPr>
          <w:lang w:eastAsia="en-AU"/>
        </w:rPr>
        <w:t xml:space="preserve"> an infringement notice can be issued</w:t>
      </w:r>
      <w:r w:rsidR="00CF6651">
        <w:rPr>
          <w:lang w:eastAsia="en-AU"/>
        </w:rPr>
        <w:t>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9"/>
        <w:gridCol w:w="3794"/>
      </w:tblGrid>
      <w:tr w:rsidR="00033F97" w14:paraId="06FD3A2F" w14:textId="77777777" w:rsidTr="00CC1EAF">
        <w:trPr>
          <w:trHeight w:val="199"/>
        </w:trPr>
        <w:tc>
          <w:tcPr>
            <w:tcW w:w="6469" w:type="dxa"/>
            <w:shd w:val="clear" w:color="auto" w:fill="002060"/>
          </w:tcPr>
          <w:p w14:paraId="48F75CA2" w14:textId="77777777" w:rsidR="00033F97" w:rsidRPr="004D308E" w:rsidRDefault="00033F97" w:rsidP="00CC1EAF">
            <w:pPr>
              <w:spacing w:after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Provision of the Act</w:t>
            </w:r>
          </w:p>
        </w:tc>
        <w:tc>
          <w:tcPr>
            <w:tcW w:w="3794" w:type="dxa"/>
            <w:shd w:val="clear" w:color="auto" w:fill="002060"/>
          </w:tcPr>
          <w:p w14:paraId="54A98918" w14:textId="1B0B6B84" w:rsidR="00033F97" w:rsidRDefault="00033F97" w:rsidP="00CC1EAF">
            <w:pPr>
              <w:spacing w:after="0"/>
            </w:pPr>
            <w:r w:rsidRPr="004D308E">
              <w:rPr>
                <w:color w:val="FFFFFF" w:themeColor="background1"/>
              </w:rPr>
              <w:t xml:space="preserve">Prescribed amount </w:t>
            </w:r>
            <w:r w:rsidR="00BF1F5A">
              <w:rPr>
                <w:color w:val="FFFFFF" w:themeColor="background1"/>
              </w:rPr>
              <w:t xml:space="preserve">– </w:t>
            </w:r>
            <w:r w:rsidRPr="004D308E">
              <w:rPr>
                <w:color w:val="FFFFFF" w:themeColor="background1"/>
              </w:rPr>
              <w:t>penalty units</w:t>
            </w:r>
          </w:p>
        </w:tc>
      </w:tr>
      <w:tr w:rsidR="00033F97" w14:paraId="3CD2EA9E" w14:textId="77777777" w:rsidTr="00CC1EAF">
        <w:trPr>
          <w:trHeight w:val="1337"/>
        </w:trPr>
        <w:tc>
          <w:tcPr>
            <w:tcW w:w="6469" w:type="dxa"/>
          </w:tcPr>
          <w:p w14:paraId="3BADD618" w14:textId="77777777" w:rsidR="00033F97" w:rsidRDefault="00033F97" w:rsidP="00E122D8">
            <w:r>
              <w:t>Sections 39(1), 40(2), 42(2), 70(2), 71(4), 94(2), 151(1), 171(5), 172(7), 173(11), 175(3) and 176(2)</w:t>
            </w:r>
          </w:p>
          <w:p w14:paraId="16FB3954" w14:textId="77777777" w:rsidR="00033F97" w:rsidRDefault="00033F97" w:rsidP="00CC1EAF">
            <w:pPr>
              <w:spacing w:after="0"/>
            </w:pPr>
            <w:r>
              <w:t>Section 39(2), 40(3), 42(3), 70(3), 71(8), 94(3), 171(6), 172(8), 173(12), 174(3), 175(3) and 176(3)</w:t>
            </w:r>
          </w:p>
        </w:tc>
        <w:tc>
          <w:tcPr>
            <w:tcW w:w="3794" w:type="dxa"/>
          </w:tcPr>
          <w:p w14:paraId="3ED3007E" w14:textId="77777777" w:rsidR="00033F97" w:rsidRDefault="00033F97" w:rsidP="00E122D8">
            <w:r>
              <w:t>2</w:t>
            </w:r>
          </w:p>
          <w:p w14:paraId="3FC6A55C" w14:textId="77777777" w:rsidR="00033F97" w:rsidRDefault="00033F97" w:rsidP="00E122D8"/>
          <w:p w14:paraId="42C28E1E" w14:textId="77777777" w:rsidR="00033F97" w:rsidRDefault="00033F97" w:rsidP="00CC1EAF">
            <w:pPr>
              <w:spacing w:after="0"/>
            </w:pPr>
            <w:r>
              <w:t>0.2</w:t>
            </w:r>
          </w:p>
        </w:tc>
      </w:tr>
    </w:tbl>
    <w:p w14:paraId="28F1EB72" w14:textId="2463CB28" w:rsidR="00BF1F5A" w:rsidRDefault="007B4963" w:rsidP="00CC1EAF">
      <w:pPr>
        <w:spacing w:before="200"/>
        <w:rPr>
          <w:lang w:eastAsia="en-AU"/>
        </w:rPr>
      </w:pPr>
      <w:r>
        <w:rPr>
          <w:lang w:eastAsia="en-AU"/>
        </w:rPr>
        <w:t xml:space="preserve">The value of a penalty unit is calculated in line with changes to the Consumer Price Index. For penalty units, go to the Penalty </w:t>
      </w:r>
      <w:proofErr w:type="gramStart"/>
      <w:r>
        <w:rPr>
          <w:lang w:eastAsia="en-AU"/>
        </w:rPr>
        <w:t>units</w:t>
      </w:r>
      <w:proofErr w:type="gramEnd"/>
      <w:r>
        <w:rPr>
          <w:lang w:eastAsia="en-AU"/>
        </w:rPr>
        <w:t xml:space="preserve"> webpage of the Department of the Attorney-General and Justice. </w:t>
      </w:r>
    </w:p>
    <w:p w14:paraId="018D11D0" w14:textId="0EC461D7" w:rsidR="00622F50" w:rsidRDefault="005169DB" w:rsidP="000E02DC">
      <w:pPr>
        <w:rPr>
          <w:lang w:eastAsia="en-AU"/>
        </w:rPr>
      </w:pPr>
      <w:r>
        <w:rPr>
          <w:lang w:eastAsia="en-AU"/>
        </w:rPr>
        <w:t xml:space="preserve">An infringement notice can be issued </w:t>
      </w:r>
      <w:r w:rsidR="00DD16E7">
        <w:rPr>
          <w:lang w:eastAsia="en-AU"/>
        </w:rPr>
        <w:t xml:space="preserve">to the parent of a child or a child living independently </w:t>
      </w:r>
      <w:r>
        <w:rPr>
          <w:lang w:eastAsia="en-AU"/>
        </w:rPr>
        <w:t>in any of the following circumstances:</w:t>
      </w:r>
    </w:p>
    <w:p w14:paraId="5FBB0655" w14:textId="09926FE9" w:rsidR="005169DB" w:rsidRDefault="000639B1" w:rsidP="00CC1EAF">
      <w:pPr>
        <w:pStyle w:val="ListParagraph"/>
        <w:numPr>
          <w:ilvl w:val="0"/>
          <w:numId w:val="41"/>
        </w:numPr>
        <w:rPr>
          <w:lang w:eastAsia="en-AU"/>
        </w:rPr>
      </w:pPr>
      <w:r>
        <w:rPr>
          <w:lang w:eastAsia="en-AU"/>
        </w:rPr>
        <w:t>fail to ensure the child or young person is enrolled in a school</w:t>
      </w:r>
    </w:p>
    <w:p w14:paraId="5E0E01D8" w14:textId="2C59E35D" w:rsidR="000639B1" w:rsidRDefault="000639B1" w:rsidP="00CC1EAF">
      <w:pPr>
        <w:pStyle w:val="ListParagraph"/>
        <w:numPr>
          <w:ilvl w:val="0"/>
          <w:numId w:val="41"/>
        </w:numPr>
        <w:ind w:left="714" w:hanging="357"/>
        <w:rPr>
          <w:lang w:eastAsia="en-AU"/>
        </w:rPr>
      </w:pPr>
      <w:r>
        <w:rPr>
          <w:lang w:eastAsia="en-AU"/>
        </w:rPr>
        <w:t xml:space="preserve">fail to ensure the child or young person is either attending school </w:t>
      </w:r>
      <w:r>
        <w:t>each day that the school is open for instruction</w:t>
      </w:r>
    </w:p>
    <w:p w14:paraId="3B6BE07B" w14:textId="162E0E51" w:rsidR="000639B1" w:rsidRDefault="000639B1" w:rsidP="00CC1EAF">
      <w:pPr>
        <w:pStyle w:val="ListParagraph"/>
        <w:numPr>
          <w:ilvl w:val="0"/>
          <w:numId w:val="41"/>
        </w:numPr>
        <w:rPr>
          <w:lang w:eastAsia="en-AU"/>
        </w:rPr>
      </w:pPr>
      <w:r>
        <w:t>fail to comply with the request for information</w:t>
      </w:r>
    </w:p>
    <w:p w14:paraId="13B0F44F" w14:textId="73C470C3" w:rsidR="000639B1" w:rsidRDefault="000639B1" w:rsidP="00CC1EAF">
      <w:pPr>
        <w:pStyle w:val="ListParagraph"/>
        <w:numPr>
          <w:ilvl w:val="0"/>
          <w:numId w:val="41"/>
        </w:numPr>
        <w:rPr>
          <w:lang w:eastAsia="en-AU"/>
        </w:rPr>
      </w:pPr>
      <w:r>
        <w:t>fail to comply with the direction to enrol</w:t>
      </w:r>
    </w:p>
    <w:p w14:paraId="5417CC34" w14:textId="25F34B24" w:rsidR="002555F5" w:rsidRDefault="002C2437" w:rsidP="00CC1EAF">
      <w:pPr>
        <w:pStyle w:val="ListParagraph"/>
        <w:numPr>
          <w:ilvl w:val="0"/>
          <w:numId w:val="41"/>
        </w:numPr>
        <w:ind w:left="714" w:hanging="357"/>
        <w:rPr>
          <w:lang w:eastAsia="en-AU"/>
        </w:rPr>
      </w:pPr>
      <w:r>
        <w:rPr>
          <w:lang w:eastAsia="en-AU"/>
        </w:rPr>
        <w:t>requested to attend a compulsory conference but fail to attend</w:t>
      </w:r>
      <w:r w:rsidR="0066085F">
        <w:rPr>
          <w:lang w:eastAsia="en-AU"/>
        </w:rPr>
        <w:t xml:space="preserve"> without a reasonable excuse</w:t>
      </w:r>
    </w:p>
    <w:p w14:paraId="6BF39BE4" w14:textId="6335B7D9" w:rsidR="000639B1" w:rsidRDefault="002555F5" w:rsidP="00CC1EAF">
      <w:pPr>
        <w:pStyle w:val="ListParagraph"/>
        <w:numPr>
          <w:ilvl w:val="0"/>
          <w:numId w:val="41"/>
        </w:numPr>
        <w:spacing w:after="200"/>
        <w:ind w:left="714" w:hanging="357"/>
        <w:rPr>
          <w:lang w:eastAsia="en-AU"/>
        </w:rPr>
      </w:pPr>
      <w:r>
        <w:rPr>
          <w:lang w:eastAsia="en-AU"/>
        </w:rPr>
        <w:t>fail to comply with a compliance notice</w:t>
      </w:r>
    </w:p>
    <w:p w14:paraId="150FF18C" w14:textId="435A3E16" w:rsidR="003C4B12" w:rsidRDefault="00A67FD4" w:rsidP="003C4B12">
      <w:pPr>
        <w:rPr>
          <w:lang w:eastAsia="en-AU"/>
        </w:rPr>
      </w:pPr>
      <w:r>
        <w:rPr>
          <w:lang w:eastAsia="en-AU"/>
        </w:rPr>
        <w:t xml:space="preserve">An infringement notice should only be issued when </w:t>
      </w:r>
      <w:r w:rsidR="00264613">
        <w:rPr>
          <w:lang w:eastAsia="en-AU"/>
        </w:rPr>
        <w:t xml:space="preserve">reasonable </w:t>
      </w:r>
      <w:r>
        <w:rPr>
          <w:lang w:eastAsia="en-AU"/>
        </w:rPr>
        <w:t xml:space="preserve">engagement strategies and compliance enforcement measures have been exhausted. </w:t>
      </w:r>
      <w:r w:rsidR="003C4B12">
        <w:rPr>
          <w:lang w:eastAsia="en-AU"/>
        </w:rPr>
        <w:t>When issuing an infringement notice, an authorised person must:</w:t>
      </w:r>
    </w:p>
    <w:p w14:paraId="0B9065B3" w14:textId="17A1B018" w:rsidR="003C4B12" w:rsidRDefault="003C4B12" w:rsidP="00231A1A">
      <w:pPr>
        <w:pStyle w:val="ListParagraph"/>
        <w:numPr>
          <w:ilvl w:val="0"/>
          <w:numId w:val="38"/>
        </w:numPr>
        <w:ind w:left="714" w:hanging="357"/>
        <w:rPr>
          <w:lang w:eastAsia="en-AU"/>
        </w:rPr>
      </w:pPr>
      <w:r>
        <w:rPr>
          <w:lang w:eastAsia="en-AU"/>
        </w:rPr>
        <w:t>consider all matters to determine the merit of issuing an infringement notice, including clarifying what matters are relevant and what matters are not</w:t>
      </w:r>
    </w:p>
    <w:p w14:paraId="3D9A4BF5" w14:textId="77777777" w:rsidR="003C4B12" w:rsidRDefault="003C4B12" w:rsidP="003C4B12">
      <w:pPr>
        <w:pStyle w:val="ListParagraph"/>
        <w:numPr>
          <w:ilvl w:val="0"/>
          <w:numId w:val="38"/>
        </w:numPr>
        <w:rPr>
          <w:lang w:eastAsia="en-AU"/>
        </w:rPr>
      </w:pPr>
      <w:r>
        <w:rPr>
          <w:lang w:eastAsia="en-AU"/>
        </w:rPr>
        <w:t>apply procedural fairness</w:t>
      </w:r>
    </w:p>
    <w:p w14:paraId="28208A12" w14:textId="77777777" w:rsidR="00EC4C4E" w:rsidRDefault="003C4B12" w:rsidP="00EC4C4E">
      <w:pPr>
        <w:pStyle w:val="ListParagraph"/>
        <w:numPr>
          <w:ilvl w:val="0"/>
          <w:numId w:val="38"/>
        </w:numPr>
        <w:rPr>
          <w:lang w:eastAsia="en-AU"/>
        </w:rPr>
      </w:pPr>
      <w:r>
        <w:rPr>
          <w:lang w:eastAsia="en-AU"/>
        </w:rPr>
        <w:t xml:space="preserve">remove themselves from this process if they have a perceived or real conflict of interest and </w:t>
      </w:r>
      <w:r w:rsidR="00A67FD4">
        <w:rPr>
          <w:lang w:eastAsia="en-AU"/>
        </w:rPr>
        <w:t xml:space="preserve">refer </w:t>
      </w:r>
      <w:r>
        <w:rPr>
          <w:lang w:eastAsia="en-AU"/>
        </w:rPr>
        <w:t>the matter to another authorised person</w:t>
      </w:r>
    </w:p>
    <w:p w14:paraId="52518CE2" w14:textId="1FCA1F54" w:rsidR="00033F97" w:rsidRDefault="003C4B12" w:rsidP="00EC4C4E">
      <w:pPr>
        <w:pStyle w:val="ListParagraph"/>
        <w:numPr>
          <w:ilvl w:val="0"/>
          <w:numId w:val="38"/>
        </w:numPr>
        <w:rPr>
          <w:lang w:eastAsia="en-AU"/>
        </w:rPr>
      </w:pPr>
      <w:r>
        <w:rPr>
          <w:lang w:eastAsia="en-AU"/>
        </w:rPr>
        <w:t>consider the impacts of a pending decision on the individual particularly when they are experiencing vulnerability.</w:t>
      </w:r>
    </w:p>
    <w:p w14:paraId="7B472D1E" w14:textId="77777777" w:rsidR="00B52749" w:rsidRPr="00854F7C" w:rsidRDefault="00B52749" w:rsidP="00B52749">
      <w:pPr>
        <w:keepNext/>
        <w:keepLines/>
        <w:spacing w:before="240"/>
        <w:ind w:left="720" w:hanging="720"/>
        <w:outlineLvl w:val="2"/>
        <w:rPr>
          <w:rFonts w:ascii="Lato Semibold" w:hAnsi="Lato Semibold" w:cs="Arial"/>
          <w:color w:val="1F1F5F"/>
          <w:sz w:val="28"/>
          <w:szCs w:val="26"/>
          <w:lang w:eastAsia="en-AU"/>
        </w:rPr>
      </w:pPr>
      <w:r w:rsidRPr="00854F7C">
        <w:rPr>
          <w:rFonts w:ascii="Lato Semibold" w:hAnsi="Lato Semibold" w:cs="Arial"/>
          <w:color w:val="1F1F5F"/>
          <w:sz w:val="28"/>
          <w:szCs w:val="26"/>
          <w:lang w:eastAsia="en-AU"/>
        </w:rPr>
        <w:t>Referral</w:t>
      </w:r>
      <w:r>
        <w:rPr>
          <w:rFonts w:ascii="Lato Semibold" w:hAnsi="Lato Semibold" w:cs="Arial"/>
          <w:color w:val="1F1F5F"/>
          <w:sz w:val="28"/>
          <w:szCs w:val="26"/>
          <w:lang w:eastAsia="en-AU"/>
        </w:rPr>
        <w:t xml:space="preserve"> to Education Regulation</w:t>
      </w:r>
    </w:p>
    <w:p w14:paraId="749ACB23" w14:textId="77777777" w:rsidR="00B52749" w:rsidRPr="00AD4227" w:rsidRDefault="00B52749" w:rsidP="00B52749">
      <w:pPr>
        <w:rPr>
          <w:lang w:eastAsia="en-AU"/>
        </w:rPr>
      </w:pPr>
      <w:r>
        <w:rPr>
          <w:lang w:eastAsia="en-AU"/>
        </w:rPr>
        <w:t>The</w:t>
      </w:r>
      <w:r w:rsidRPr="00AD4227">
        <w:rPr>
          <w:lang w:eastAsia="en-AU"/>
        </w:rPr>
        <w:t xml:space="preserve"> referral </w:t>
      </w:r>
      <w:r>
        <w:rPr>
          <w:lang w:eastAsia="en-AU"/>
        </w:rPr>
        <w:t>of a case to Education Regulation branch</w:t>
      </w:r>
      <w:r w:rsidRPr="00AD4227">
        <w:rPr>
          <w:lang w:eastAsia="en-AU"/>
        </w:rPr>
        <w:t xml:space="preserve"> occur</w:t>
      </w:r>
      <w:r>
        <w:rPr>
          <w:lang w:eastAsia="en-AU"/>
        </w:rPr>
        <w:t>s</w:t>
      </w:r>
      <w:r w:rsidRPr="00AD4227">
        <w:rPr>
          <w:lang w:eastAsia="en-AU"/>
        </w:rPr>
        <w:t xml:space="preserve"> </w:t>
      </w:r>
      <w:r>
        <w:rPr>
          <w:lang w:eastAsia="en-AU"/>
        </w:rPr>
        <w:t xml:space="preserve">after </w:t>
      </w:r>
      <w:r w:rsidRPr="00AD4227">
        <w:rPr>
          <w:lang w:eastAsia="en-AU"/>
        </w:rPr>
        <w:t>engagement strategies and compliance options have been unsuccessful.</w:t>
      </w:r>
      <w:r>
        <w:rPr>
          <w:lang w:eastAsia="en-AU"/>
        </w:rPr>
        <w:t xml:space="preserve"> Education Regulation reviews the case to determine if it could or should be prosecuted, </w:t>
      </w:r>
      <w:r w:rsidRPr="00AD4227">
        <w:rPr>
          <w:lang w:eastAsia="en-AU"/>
        </w:rPr>
        <w:t>paying particular attention to the following:</w:t>
      </w:r>
    </w:p>
    <w:p w14:paraId="716FE5A3" w14:textId="77777777" w:rsidR="00B52749" w:rsidRPr="00AD4227" w:rsidRDefault="00B52749" w:rsidP="00B52749">
      <w:pPr>
        <w:pStyle w:val="ListParagraph"/>
        <w:numPr>
          <w:ilvl w:val="0"/>
          <w:numId w:val="41"/>
        </w:numPr>
        <w:rPr>
          <w:lang w:eastAsia="en-AU"/>
        </w:rPr>
      </w:pPr>
      <w:r>
        <w:rPr>
          <w:lang w:eastAsia="en-AU"/>
        </w:rPr>
        <w:lastRenderedPageBreak/>
        <w:t>w</w:t>
      </w:r>
      <w:r w:rsidRPr="00AD4227">
        <w:rPr>
          <w:lang w:eastAsia="en-AU"/>
        </w:rPr>
        <w:t>hether the elements of the offence are satisfied</w:t>
      </w:r>
    </w:p>
    <w:p w14:paraId="6CC99C04" w14:textId="77777777" w:rsidR="00B52749" w:rsidRPr="00AD4227" w:rsidRDefault="00B52749" w:rsidP="00B52749">
      <w:pPr>
        <w:pStyle w:val="ListParagraph"/>
        <w:numPr>
          <w:ilvl w:val="0"/>
          <w:numId w:val="41"/>
        </w:numPr>
        <w:rPr>
          <w:lang w:eastAsia="en-AU"/>
        </w:rPr>
      </w:pPr>
      <w:r>
        <w:rPr>
          <w:lang w:eastAsia="en-AU"/>
        </w:rPr>
        <w:t>w</w:t>
      </w:r>
      <w:r w:rsidRPr="00AD4227">
        <w:rPr>
          <w:lang w:eastAsia="en-AU"/>
        </w:rPr>
        <w:t>hether there is enough admissible evidence to prove the person has a case to answer</w:t>
      </w:r>
    </w:p>
    <w:p w14:paraId="0D7344C2" w14:textId="77777777" w:rsidR="00B52749" w:rsidRPr="00AD4227" w:rsidRDefault="00B52749" w:rsidP="00B52749">
      <w:pPr>
        <w:pStyle w:val="ListParagraph"/>
        <w:numPr>
          <w:ilvl w:val="0"/>
          <w:numId w:val="41"/>
        </w:numPr>
        <w:rPr>
          <w:lang w:eastAsia="en-AU"/>
        </w:rPr>
      </w:pPr>
      <w:r>
        <w:rPr>
          <w:lang w:eastAsia="en-AU"/>
        </w:rPr>
        <w:t>e</w:t>
      </w:r>
      <w:r w:rsidRPr="00AD4227">
        <w:rPr>
          <w:lang w:eastAsia="en-AU"/>
        </w:rPr>
        <w:t>stablishing whether a reasonable prospect of a guilty verdict being secured</w:t>
      </w:r>
    </w:p>
    <w:p w14:paraId="1A219155" w14:textId="77777777" w:rsidR="00B52749" w:rsidRPr="00AD4227" w:rsidRDefault="00B52749" w:rsidP="00B52749">
      <w:pPr>
        <w:pStyle w:val="ListParagraph"/>
        <w:numPr>
          <w:ilvl w:val="0"/>
          <w:numId w:val="41"/>
        </w:numPr>
        <w:rPr>
          <w:lang w:eastAsia="en-AU"/>
        </w:rPr>
      </w:pPr>
      <w:r>
        <w:rPr>
          <w:lang w:eastAsia="en-AU"/>
        </w:rPr>
        <w:t>d</w:t>
      </w:r>
      <w:r w:rsidRPr="00AD4227">
        <w:rPr>
          <w:lang w:eastAsia="en-AU"/>
        </w:rPr>
        <w:t>etermining that the offending person does not have a reasonable excuse</w:t>
      </w:r>
    </w:p>
    <w:p w14:paraId="14D12EF7" w14:textId="77777777" w:rsidR="00B52749" w:rsidRPr="00AD4227" w:rsidRDefault="00B52749" w:rsidP="00B52749">
      <w:pPr>
        <w:pStyle w:val="ListParagraph"/>
        <w:numPr>
          <w:ilvl w:val="0"/>
          <w:numId w:val="41"/>
        </w:numPr>
        <w:spacing w:after="200"/>
        <w:ind w:left="714" w:hanging="357"/>
        <w:rPr>
          <w:lang w:eastAsia="en-AU"/>
        </w:rPr>
      </w:pPr>
      <w:r>
        <w:rPr>
          <w:lang w:eastAsia="en-AU"/>
        </w:rPr>
        <w:t>w</w:t>
      </w:r>
      <w:r w:rsidRPr="00AD4227">
        <w:rPr>
          <w:lang w:eastAsia="en-AU"/>
        </w:rPr>
        <w:t xml:space="preserve">hether it is </w:t>
      </w:r>
      <w:r>
        <w:rPr>
          <w:lang w:eastAsia="en-AU"/>
        </w:rPr>
        <w:t>a</w:t>
      </w:r>
      <w:r w:rsidRPr="00AD4227">
        <w:rPr>
          <w:lang w:eastAsia="en-AU"/>
        </w:rPr>
        <w:t xml:space="preserve"> public interest to prosecute the person</w:t>
      </w:r>
      <w:r>
        <w:rPr>
          <w:lang w:eastAsia="en-AU"/>
        </w:rPr>
        <w:t>.</w:t>
      </w:r>
    </w:p>
    <w:p w14:paraId="38037F57" w14:textId="77777777" w:rsidR="00B52749" w:rsidRPr="00AD4227" w:rsidRDefault="00B52749" w:rsidP="00B52749">
      <w:pPr>
        <w:rPr>
          <w:lang w:eastAsia="en-AU"/>
        </w:rPr>
      </w:pPr>
      <w:r w:rsidRPr="00AD4227">
        <w:rPr>
          <w:lang w:eastAsia="en-AU"/>
        </w:rPr>
        <w:t>The process for a referral</w:t>
      </w:r>
      <w:r>
        <w:rPr>
          <w:lang w:eastAsia="en-AU"/>
        </w:rPr>
        <w:t xml:space="preserve"> to Education Regulation</w:t>
      </w:r>
      <w:r w:rsidRPr="00AD4227">
        <w:rPr>
          <w:lang w:eastAsia="en-AU"/>
        </w:rPr>
        <w:t xml:space="preserve"> is </w:t>
      </w:r>
      <w:r>
        <w:rPr>
          <w:lang w:eastAsia="en-AU"/>
        </w:rPr>
        <w:t>as</w:t>
      </w:r>
      <w:r w:rsidRPr="00AD4227">
        <w:rPr>
          <w:lang w:eastAsia="en-AU"/>
        </w:rPr>
        <w:t xml:space="preserve"> follow</w:t>
      </w:r>
      <w:r>
        <w:rPr>
          <w:lang w:eastAsia="en-AU"/>
        </w:rPr>
        <w:t>s</w:t>
      </w:r>
      <w:r w:rsidRPr="00AD4227">
        <w:rPr>
          <w:lang w:eastAsia="en-AU"/>
        </w:rPr>
        <w:t>:</w:t>
      </w:r>
    </w:p>
    <w:p w14:paraId="7938FCA0" w14:textId="77777777" w:rsidR="00B52749" w:rsidRPr="00AD4227" w:rsidRDefault="00B52749" w:rsidP="00B52749">
      <w:pPr>
        <w:pStyle w:val="ListParagraph"/>
        <w:numPr>
          <w:ilvl w:val="0"/>
          <w:numId w:val="45"/>
        </w:numPr>
        <w:rPr>
          <w:lang w:eastAsia="en-AU"/>
        </w:rPr>
      </w:pPr>
      <w:r>
        <w:rPr>
          <w:lang w:eastAsia="en-AU"/>
        </w:rPr>
        <w:t>an a</w:t>
      </w:r>
      <w:r w:rsidRPr="00AD4227">
        <w:rPr>
          <w:lang w:eastAsia="en-AU"/>
        </w:rPr>
        <w:t xml:space="preserve">uthorised person </w:t>
      </w:r>
      <w:r>
        <w:rPr>
          <w:lang w:eastAsia="en-AU"/>
        </w:rPr>
        <w:t xml:space="preserve">refers the case </w:t>
      </w:r>
      <w:r w:rsidRPr="00AD4227">
        <w:rPr>
          <w:lang w:eastAsia="en-AU"/>
        </w:rPr>
        <w:t xml:space="preserve">to their </w:t>
      </w:r>
      <w:r>
        <w:rPr>
          <w:lang w:eastAsia="en-AU"/>
        </w:rPr>
        <w:t>A</w:t>
      </w:r>
      <w:r w:rsidRPr="00AD4227">
        <w:rPr>
          <w:lang w:eastAsia="en-AU"/>
        </w:rPr>
        <w:t xml:space="preserve">ssistant </w:t>
      </w:r>
      <w:r>
        <w:rPr>
          <w:lang w:eastAsia="en-AU"/>
        </w:rPr>
        <w:t>D</w:t>
      </w:r>
      <w:r w:rsidRPr="00AD4227">
        <w:rPr>
          <w:lang w:eastAsia="en-AU"/>
        </w:rPr>
        <w:t xml:space="preserve">irector </w:t>
      </w:r>
    </w:p>
    <w:p w14:paraId="1A408608" w14:textId="77777777" w:rsidR="00B52749" w:rsidRPr="00AD4227" w:rsidRDefault="00B52749" w:rsidP="00B52749">
      <w:pPr>
        <w:pStyle w:val="ListParagraph"/>
        <w:numPr>
          <w:ilvl w:val="0"/>
          <w:numId w:val="45"/>
        </w:numPr>
        <w:rPr>
          <w:lang w:eastAsia="en-AU"/>
        </w:rPr>
      </w:pPr>
      <w:r>
        <w:rPr>
          <w:lang w:eastAsia="en-AU"/>
        </w:rPr>
        <w:t>t</w:t>
      </w:r>
      <w:r w:rsidRPr="00AD4227">
        <w:rPr>
          <w:lang w:eastAsia="en-AU"/>
        </w:rPr>
        <w:t xml:space="preserve">he </w:t>
      </w:r>
      <w:r>
        <w:rPr>
          <w:lang w:eastAsia="en-AU"/>
        </w:rPr>
        <w:t>case</w:t>
      </w:r>
      <w:r w:rsidRPr="00AD4227">
        <w:rPr>
          <w:lang w:eastAsia="en-AU"/>
        </w:rPr>
        <w:t xml:space="preserve"> </w:t>
      </w:r>
      <w:r>
        <w:rPr>
          <w:lang w:eastAsia="en-AU"/>
        </w:rPr>
        <w:t>then progresses</w:t>
      </w:r>
      <w:r w:rsidRPr="00AD4227">
        <w:rPr>
          <w:lang w:eastAsia="en-AU"/>
        </w:rPr>
        <w:t xml:space="preserve"> to the </w:t>
      </w:r>
      <w:r>
        <w:rPr>
          <w:lang w:eastAsia="en-AU"/>
        </w:rPr>
        <w:t>E</w:t>
      </w:r>
      <w:r w:rsidRPr="00AD4227">
        <w:rPr>
          <w:lang w:eastAsia="en-AU"/>
        </w:rPr>
        <w:t xml:space="preserve">xecutive </w:t>
      </w:r>
      <w:r>
        <w:rPr>
          <w:lang w:eastAsia="en-AU"/>
        </w:rPr>
        <w:t>D</w:t>
      </w:r>
      <w:r w:rsidRPr="00AD4227">
        <w:rPr>
          <w:lang w:eastAsia="en-AU"/>
        </w:rPr>
        <w:t xml:space="preserve">irector </w:t>
      </w:r>
      <w:r>
        <w:rPr>
          <w:lang w:eastAsia="en-AU"/>
        </w:rPr>
        <w:t>I</w:t>
      </w:r>
      <w:r w:rsidRPr="00AD4227">
        <w:rPr>
          <w:lang w:eastAsia="en-AU"/>
        </w:rPr>
        <w:t xml:space="preserve">nclusion and </w:t>
      </w:r>
      <w:r>
        <w:rPr>
          <w:lang w:eastAsia="en-AU"/>
        </w:rPr>
        <w:t>E</w:t>
      </w:r>
      <w:r w:rsidRPr="00AD4227">
        <w:rPr>
          <w:lang w:eastAsia="en-AU"/>
        </w:rPr>
        <w:t xml:space="preserve">ngagement </w:t>
      </w:r>
      <w:r>
        <w:rPr>
          <w:lang w:eastAsia="en-AU"/>
        </w:rPr>
        <w:t>S</w:t>
      </w:r>
      <w:r w:rsidRPr="00AD4227">
        <w:rPr>
          <w:lang w:eastAsia="en-AU"/>
        </w:rPr>
        <w:t>ervices</w:t>
      </w:r>
      <w:r>
        <w:rPr>
          <w:lang w:eastAsia="en-AU"/>
        </w:rPr>
        <w:t xml:space="preserve"> through Director Student Engagement and Senior Director Student Engagement Programs and Services</w:t>
      </w:r>
    </w:p>
    <w:p w14:paraId="386296C8" w14:textId="77777777" w:rsidR="00B52749" w:rsidRPr="00AD4227" w:rsidRDefault="00B52749" w:rsidP="00B52749">
      <w:pPr>
        <w:pStyle w:val="ListParagraph"/>
        <w:numPr>
          <w:ilvl w:val="0"/>
          <w:numId w:val="45"/>
        </w:numPr>
        <w:rPr>
          <w:lang w:eastAsia="en-AU"/>
        </w:rPr>
      </w:pPr>
      <w:r>
        <w:rPr>
          <w:lang w:eastAsia="en-AU"/>
        </w:rPr>
        <w:t>t</w:t>
      </w:r>
      <w:r w:rsidRPr="00AD4227">
        <w:rPr>
          <w:lang w:eastAsia="en-AU"/>
        </w:rPr>
        <w:t xml:space="preserve">he </w:t>
      </w:r>
      <w:r>
        <w:rPr>
          <w:lang w:eastAsia="en-AU"/>
        </w:rPr>
        <w:t>E</w:t>
      </w:r>
      <w:r w:rsidRPr="00AD4227">
        <w:rPr>
          <w:lang w:eastAsia="en-AU"/>
        </w:rPr>
        <w:t xml:space="preserve">xecutive </w:t>
      </w:r>
      <w:r>
        <w:rPr>
          <w:lang w:eastAsia="en-AU"/>
        </w:rPr>
        <w:t>D</w:t>
      </w:r>
      <w:r w:rsidRPr="00AD4227">
        <w:rPr>
          <w:lang w:eastAsia="en-AU"/>
        </w:rPr>
        <w:t xml:space="preserve">irector </w:t>
      </w:r>
      <w:r>
        <w:rPr>
          <w:lang w:eastAsia="en-AU"/>
        </w:rPr>
        <w:t>I</w:t>
      </w:r>
      <w:r w:rsidRPr="00AD4227">
        <w:rPr>
          <w:lang w:eastAsia="en-AU"/>
        </w:rPr>
        <w:t xml:space="preserve">nclusion and </w:t>
      </w:r>
      <w:r>
        <w:rPr>
          <w:lang w:eastAsia="en-AU"/>
        </w:rPr>
        <w:t>E</w:t>
      </w:r>
      <w:r w:rsidRPr="00AD4227">
        <w:rPr>
          <w:lang w:eastAsia="en-AU"/>
        </w:rPr>
        <w:t xml:space="preserve">ngagement </w:t>
      </w:r>
      <w:r>
        <w:rPr>
          <w:lang w:eastAsia="en-AU"/>
        </w:rPr>
        <w:t>S</w:t>
      </w:r>
      <w:r w:rsidRPr="00AD4227">
        <w:rPr>
          <w:lang w:eastAsia="en-AU"/>
        </w:rPr>
        <w:t>ervices</w:t>
      </w:r>
      <w:r>
        <w:rPr>
          <w:lang w:eastAsia="en-AU"/>
        </w:rPr>
        <w:t xml:space="preserve"> </w:t>
      </w:r>
      <w:r w:rsidRPr="00AD4227">
        <w:rPr>
          <w:lang w:eastAsia="en-AU"/>
        </w:rPr>
        <w:t>consider</w:t>
      </w:r>
      <w:r>
        <w:rPr>
          <w:lang w:eastAsia="en-AU"/>
        </w:rPr>
        <w:t>s</w:t>
      </w:r>
      <w:r w:rsidRPr="00AD4227">
        <w:rPr>
          <w:lang w:eastAsia="en-AU"/>
        </w:rPr>
        <w:t xml:space="preserve"> the referral and</w:t>
      </w:r>
      <w:r>
        <w:rPr>
          <w:lang w:eastAsia="en-AU"/>
        </w:rPr>
        <w:t>,</w:t>
      </w:r>
      <w:r w:rsidRPr="00AD4227">
        <w:rPr>
          <w:lang w:eastAsia="en-AU"/>
        </w:rPr>
        <w:t xml:space="preserve"> if endorsed, forward</w:t>
      </w:r>
      <w:r>
        <w:rPr>
          <w:lang w:eastAsia="en-AU"/>
        </w:rPr>
        <w:t>s</w:t>
      </w:r>
      <w:r w:rsidRPr="00AD4227">
        <w:rPr>
          <w:lang w:eastAsia="en-AU"/>
        </w:rPr>
        <w:t xml:space="preserve"> to the </w:t>
      </w:r>
      <w:r>
        <w:rPr>
          <w:lang w:eastAsia="en-AU"/>
        </w:rPr>
        <w:t>E</w:t>
      </w:r>
      <w:r w:rsidRPr="00AD4227">
        <w:rPr>
          <w:lang w:eastAsia="en-AU"/>
        </w:rPr>
        <w:t xml:space="preserve">xecutive </w:t>
      </w:r>
      <w:r>
        <w:rPr>
          <w:lang w:eastAsia="en-AU"/>
        </w:rPr>
        <w:t>D</w:t>
      </w:r>
      <w:r w:rsidRPr="00AD4227">
        <w:rPr>
          <w:lang w:eastAsia="en-AU"/>
        </w:rPr>
        <w:t xml:space="preserve">irector </w:t>
      </w:r>
      <w:r>
        <w:rPr>
          <w:lang w:eastAsia="en-AU"/>
        </w:rPr>
        <w:t>Q</w:t>
      </w:r>
      <w:r w:rsidRPr="00AD4227">
        <w:rPr>
          <w:lang w:eastAsia="en-AU"/>
        </w:rPr>
        <w:t xml:space="preserve">uality </w:t>
      </w:r>
      <w:r>
        <w:rPr>
          <w:lang w:eastAsia="en-AU"/>
        </w:rPr>
        <w:t>S</w:t>
      </w:r>
      <w:r w:rsidRPr="00AD4227">
        <w:rPr>
          <w:lang w:eastAsia="en-AU"/>
        </w:rPr>
        <w:t xml:space="preserve">tandards and </w:t>
      </w:r>
      <w:r>
        <w:rPr>
          <w:lang w:eastAsia="en-AU"/>
        </w:rPr>
        <w:t>R</w:t>
      </w:r>
      <w:r w:rsidRPr="00AD4227">
        <w:rPr>
          <w:lang w:eastAsia="en-AU"/>
        </w:rPr>
        <w:t>egulation</w:t>
      </w:r>
      <w:r>
        <w:rPr>
          <w:lang w:eastAsia="en-AU"/>
        </w:rPr>
        <w:t xml:space="preserve"> along with case notes.</w:t>
      </w:r>
    </w:p>
    <w:p w14:paraId="393F4123" w14:textId="77777777" w:rsidR="00B52749" w:rsidRDefault="00B52749" w:rsidP="00B52749">
      <w:pPr>
        <w:keepNext/>
        <w:keepLines/>
        <w:spacing w:before="240"/>
        <w:outlineLvl w:val="2"/>
        <w:rPr>
          <w:rFonts w:ascii="Lato Semibold" w:hAnsi="Lato Semibold" w:cs="Arial"/>
          <w:color w:val="1F1F5F"/>
          <w:sz w:val="28"/>
          <w:szCs w:val="26"/>
          <w:lang w:eastAsia="en-AU"/>
        </w:rPr>
      </w:pPr>
      <w:r w:rsidRPr="00854F7C">
        <w:rPr>
          <w:rFonts w:ascii="Lato Semibold" w:hAnsi="Lato Semibold" w:cs="Arial"/>
          <w:color w:val="1F1F5F"/>
          <w:sz w:val="28"/>
          <w:szCs w:val="26"/>
          <w:lang w:eastAsia="en-AU"/>
        </w:rPr>
        <w:t xml:space="preserve">Prosecution </w:t>
      </w:r>
    </w:p>
    <w:p w14:paraId="4AB2A452" w14:textId="77777777" w:rsidR="00B52749" w:rsidRPr="00854F7C" w:rsidRDefault="00B52749" w:rsidP="00B52749">
      <w:pPr>
        <w:keepNext/>
        <w:keepLines/>
        <w:spacing w:before="240"/>
        <w:outlineLvl w:val="2"/>
        <w:rPr>
          <w:rFonts w:ascii="Lato Semibold" w:hAnsi="Lato Semibold" w:cs="Arial"/>
          <w:color w:val="1F1F5F"/>
          <w:sz w:val="28"/>
          <w:szCs w:val="26"/>
          <w:lang w:eastAsia="en-AU"/>
        </w:rPr>
      </w:pPr>
      <w:r w:rsidRPr="00AD4227">
        <w:rPr>
          <w:lang w:eastAsia="en-AU"/>
        </w:rPr>
        <w:t xml:space="preserve">Prosecution is normally considered </w:t>
      </w:r>
      <w:r>
        <w:rPr>
          <w:lang w:eastAsia="en-AU"/>
        </w:rPr>
        <w:t>the</w:t>
      </w:r>
      <w:r w:rsidRPr="00AD4227">
        <w:rPr>
          <w:lang w:eastAsia="en-AU"/>
        </w:rPr>
        <w:t xml:space="preserve"> last option</w:t>
      </w:r>
      <w:r>
        <w:rPr>
          <w:lang w:eastAsia="en-AU"/>
        </w:rPr>
        <w:t>.</w:t>
      </w:r>
      <w:r w:rsidRPr="00AD4227">
        <w:rPr>
          <w:lang w:eastAsia="en-AU"/>
        </w:rPr>
        <w:t xml:space="preserve"> Commencing </w:t>
      </w:r>
      <w:r>
        <w:rPr>
          <w:lang w:eastAsia="en-AU"/>
        </w:rPr>
        <w:t xml:space="preserve">prosecution </w:t>
      </w:r>
      <w:r w:rsidRPr="00AD4227">
        <w:rPr>
          <w:lang w:eastAsia="en-AU"/>
        </w:rPr>
        <w:t>aims at re-engaging the student in education and deter</w:t>
      </w:r>
      <w:r>
        <w:rPr>
          <w:lang w:eastAsia="en-AU"/>
        </w:rPr>
        <w:t>ring</w:t>
      </w:r>
      <w:r w:rsidRPr="00AD4227">
        <w:rPr>
          <w:lang w:eastAsia="en-AU"/>
        </w:rPr>
        <w:t xml:space="preserve"> future offending</w:t>
      </w:r>
      <w:r>
        <w:rPr>
          <w:lang w:eastAsia="en-AU"/>
        </w:rPr>
        <w:t>. Following referral to Q</w:t>
      </w:r>
      <w:r w:rsidRPr="00AD4227">
        <w:rPr>
          <w:lang w:eastAsia="en-AU"/>
        </w:rPr>
        <w:t xml:space="preserve">uality </w:t>
      </w:r>
      <w:r>
        <w:rPr>
          <w:lang w:eastAsia="en-AU"/>
        </w:rPr>
        <w:t>S</w:t>
      </w:r>
      <w:r w:rsidRPr="00AD4227">
        <w:rPr>
          <w:lang w:eastAsia="en-AU"/>
        </w:rPr>
        <w:t xml:space="preserve">tandards and </w:t>
      </w:r>
      <w:r>
        <w:rPr>
          <w:lang w:eastAsia="en-AU"/>
        </w:rPr>
        <w:t>R</w:t>
      </w:r>
      <w:r w:rsidRPr="00AD4227">
        <w:rPr>
          <w:lang w:eastAsia="en-AU"/>
        </w:rPr>
        <w:t>egulation</w:t>
      </w:r>
      <w:r>
        <w:rPr>
          <w:lang w:eastAsia="en-AU"/>
        </w:rPr>
        <w:t>:</w:t>
      </w:r>
    </w:p>
    <w:p w14:paraId="4256B801" w14:textId="77777777" w:rsidR="00B52749" w:rsidRDefault="00B52749" w:rsidP="00B52749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>the E</w:t>
      </w:r>
      <w:r w:rsidRPr="00AD4227">
        <w:rPr>
          <w:lang w:eastAsia="en-AU"/>
        </w:rPr>
        <w:t xml:space="preserve">xecutive </w:t>
      </w:r>
      <w:r>
        <w:rPr>
          <w:lang w:eastAsia="en-AU"/>
        </w:rPr>
        <w:t>D</w:t>
      </w:r>
      <w:r w:rsidRPr="00AD4227">
        <w:rPr>
          <w:lang w:eastAsia="en-AU"/>
        </w:rPr>
        <w:t xml:space="preserve">irector </w:t>
      </w:r>
      <w:r>
        <w:rPr>
          <w:lang w:eastAsia="en-AU"/>
        </w:rPr>
        <w:t>Q</w:t>
      </w:r>
      <w:r w:rsidRPr="00AD4227">
        <w:rPr>
          <w:lang w:eastAsia="en-AU"/>
        </w:rPr>
        <w:t xml:space="preserve">uality </w:t>
      </w:r>
      <w:r>
        <w:rPr>
          <w:lang w:eastAsia="en-AU"/>
        </w:rPr>
        <w:t>S</w:t>
      </w:r>
      <w:r w:rsidRPr="00AD4227">
        <w:rPr>
          <w:lang w:eastAsia="en-AU"/>
        </w:rPr>
        <w:t xml:space="preserve">tandards and </w:t>
      </w:r>
      <w:r>
        <w:rPr>
          <w:lang w:eastAsia="en-AU"/>
        </w:rPr>
        <w:t>R</w:t>
      </w:r>
      <w:r w:rsidRPr="00AD4227">
        <w:rPr>
          <w:lang w:eastAsia="en-AU"/>
        </w:rPr>
        <w:t>egulation</w:t>
      </w:r>
      <w:r w:rsidRPr="007F47D8">
        <w:rPr>
          <w:lang w:eastAsia="en-AU"/>
        </w:rPr>
        <w:t xml:space="preserve"> </w:t>
      </w:r>
      <w:r w:rsidRPr="00AD4227">
        <w:rPr>
          <w:lang w:eastAsia="en-AU"/>
        </w:rPr>
        <w:t>consider</w:t>
      </w:r>
      <w:r>
        <w:rPr>
          <w:lang w:eastAsia="en-AU"/>
        </w:rPr>
        <w:t>s</w:t>
      </w:r>
      <w:r w:rsidRPr="00AD4227">
        <w:rPr>
          <w:lang w:eastAsia="en-AU"/>
        </w:rPr>
        <w:t xml:space="preserve"> the referral and</w:t>
      </w:r>
      <w:r>
        <w:rPr>
          <w:lang w:eastAsia="en-AU"/>
        </w:rPr>
        <w:t xml:space="preserve"> </w:t>
      </w:r>
      <w:r w:rsidRPr="00AD4227">
        <w:rPr>
          <w:lang w:eastAsia="en-AU"/>
        </w:rPr>
        <w:t xml:space="preserve">if endorsed, </w:t>
      </w:r>
      <w:r>
        <w:rPr>
          <w:lang w:eastAsia="en-AU"/>
        </w:rPr>
        <w:t>progresses to Director Education Regulation Director Education Regulation who progresses it to the Prosecutions Manager for assessment</w:t>
      </w:r>
    </w:p>
    <w:p w14:paraId="13DDCC84" w14:textId="77777777" w:rsidR="00B52749" w:rsidRDefault="00B52749" w:rsidP="00B52749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>if prosecution is recommended, a Chief Executive memorandum is prepared for the Executive Director Q</w:t>
      </w:r>
      <w:r w:rsidRPr="00AD4227">
        <w:rPr>
          <w:lang w:eastAsia="en-AU"/>
        </w:rPr>
        <w:t xml:space="preserve">uality </w:t>
      </w:r>
      <w:r>
        <w:rPr>
          <w:lang w:eastAsia="en-AU"/>
        </w:rPr>
        <w:t>S</w:t>
      </w:r>
      <w:r w:rsidRPr="00AD4227">
        <w:rPr>
          <w:lang w:eastAsia="en-AU"/>
        </w:rPr>
        <w:t xml:space="preserve">tandards and </w:t>
      </w:r>
      <w:r>
        <w:rPr>
          <w:lang w:eastAsia="en-AU"/>
        </w:rPr>
        <w:t>R</w:t>
      </w:r>
      <w:r w:rsidRPr="00AD4227">
        <w:rPr>
          <w:lang w:eastAsia="en-AU"/>
        </w:rPr>
        <w:t>egulation</w:t>
      </w:r>
      <w:r>
        <w:rPr>
          <w:lang w:eastAsia="en-AU"/>
        </w:rPr>
        <w:t xml:space="preserve"> signature seeking the Chief Executive (CE) approval to commence prosecution</w:t>
      </w:r>
    </w:p>
    <w:p w14:paraId="3EFBA8BD" w14:textId="77777777" w:rsidR="00B52749" w:rsidRPr="00AD4227" w:rsidRDefault="00B52749" w:rsidP="00B52749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 xml:space="preserve">if the CE approves prosecution commencing, Education Regulation prepares </w:t>
      </w:r>
      <w:r w:rsidRPr="00AD4227">
        <w:rPr>
          <w:lang w:eastAsia="en-AU"/>
        </w:rPr>
        <w:t>a prosecution brief</w:t>
      </w:r>
      <w:r>
        <w:rPr>
          <w:lang w:eastAsia="en-AU"/>
        </w:rPr>
        <w:t>.</w:t>
      </w:r>
      <w:r w:rsidRPr="00AD4227">
        <w:rPr>
          <w:lang w:eastAsia="en-AU"/>
        </w:rPr>
        <w:t xml:space="preserve"> The initial authorised person in charge of </w:t>
      </w:r>
      <w:r>
        <w:rPr>
          <w:lang w:eastAsia="en-AU"/>
        </w:rPr>
        <w:t xml:space="preserve">the </w:t>
      </w:r>
      <w:r w:rsidRPr="00AD4227">
        <w:rPr>
          <w:lang w:eastAsia="en-AU"/>
        </w:rPr>
        <w:t>case</w:t>
      </w:r>
      <w:r>
        <w:rPr>
          <w:lang w:eastAsia="en-AU"/>
        </w:rPr>
        <w:t xml:space="preserve"> </w:t>
      </w:r>
      <w:r w:rsidRPr="00AD4227">
        <w:rPr>
          <w:lang w:eastAsia="en-AU"/>
        </w:rPr>
        <w:t xml:space="preserve">will </w:t>
      </w:r>
      <w:r>
        <w:rPr>
          <w:lang w:eastAsia="en-AU"/>
        </w:rPr>
        <w:t xml:space="preserve">provide any additional evidence or background require </w:t>
      </w:r>
      <w:r w:rsidRPr="00AD4227">
        <w:rPr>
          <w:lang w:eastAsia="en-AU"/>
        </w:rPr>
        <w:t>for the prosecution brief</w:t>
      </w:r>
    </w:p>
    <w:p w14:paraId="57852AC2" w14:textId="77777777" w:rsidR="00B52749" w:rsidRDefault="00B52749" w:rsidP="00B52749">
      <w:pPr>
        <w:pStyle w:val="ListParagraph"/>
        <w:numPr>
          <w:ilvl w:val="0"/>
          <w:numId w:val="47"/>
        </w:numPr>
        <w:rPr>
          <w:lang w:eastAsia="en-AU"/>
        </w:rPr>
      </w:pPr>
      <w:r w:rsidRPr="00AD4227">
        <w:rPr>
          <w:lang w:eastAsia="en-AU"/>
        </w:rPr>
        <w:t xml:space="preserve">charges </w:t>
      </w:r>
      <w:r>
        <w:rPr>
          <w:lang w:eastAsia="en-AU"/>
        </w:rPr>
        <w:t xml:space="preserve">will be </w:t>
      </w:r>
      <w:r w:rsidRPr="00AD4227">
        <w:rPr>
          <w:lang w:eastAsia="en-AU"/>
        </w:rPr>
        <w:t>laid in a court of summary jurisdiction or youth court by</w:t>
      </w:r>
      <w:r>
        <w:rPr>
          <w:lang w:eastAsia="en-AU"/>
        </w:rPr>
        <w:t xml:space="preserve"> Education Regulation</w:t>
      </w:r>
    </w:p>
    <w:p w14:paraId="2AC634FC" w14:textId="77777777" w:rsidR="00B52749" w:rsidRDefault="00B52749" w:rsidP="00B52749">
      <w:pPr>
        <w:pStyle w:val="ListParagraph"/>
        <w:numPr>
          <w:ilvl w:val="0"/>
          <w:numId w:val="47"/>
        </w:numPr>
        <w:rPr>
          <w:lang w:eastAsia="en-AU"/>
        </w:rPr>
      </w:pPr>
      <w:r>
        <w:rPr>
          <w:lang w:eastAsia="en-AU"/>
        </w:rPr>
        <w:t>if prosecution is not recommended, Education Regulation prepares an E</w:t>
      </w:r>
      <w:r w:rsidRPr="00AD4227">
        <w:rPr>
          <w:lang w:eastAsia="en-AU"/>
        </w:rPr>
        <w:t xml:space="preserve">xecutive </w:t>
      </w:r>
      <w:r>
        <w:rPr>
          <w:lang w:eastAsia="en-AU"/>
        </w:rPr>
        <w:t>D</w:t>
      </w:r>
      <w:r w:rsidRPr="00AD4227">
        <w:rPr>
          <w:lang w:eastAsia="en-AU"/>
        </w:rPr>
        <w:t>irector</w:t>
      </w:r>
      <w:r>
        <w:rPr>
          <w:lang w:eastAsia="en-AU"/>
        </w:rPr>
        <w:t xml:space="preserve"> Q</w:t>
      </w:r>
      <w:r w:rsidRPr="00AD4227">
        <w:rPr>
          <w:lang w:eastAsia="en-AU"/>
        </w:rPr>
        <w:t xml:space="preserve">uality </w:t>
      </w:r>
      <w:r>
        <w:rPr>
          <w:lang w:eastAsia="en-AU"/>
        </w:rPr>
        <w:t>S</w:t>
      </w:r>
      <w:r w:rsidRPr="00AD4227">
        <w:rPr>
          <w:lang w:eastAsia="en-AU"/>
        </w:rPr>
        <w:t xml:space="preserve">tandards and </w:t>
      </w:r>
      <w:r>
        <w:rPr>
          <w:lang w:eastAsia="en-AU"/>
        </w:rPr>
        <w:t>R</w:t>
      </w:r>
      <w:r w:rsidRPr="00AD4227">
        <w:rPr>
          <w:lang w:eastAsia="en-AU"/>
        </w:rPr>
        <w:t>egulation</w:t>
      </w:r>
      <w:r>
        <w:rPr>
          <w:lang w:eastAsia="en-AU"/>
        </w:rPr>
        <w:t xml:space="preserve"> memo setting out proposed recommendations for next steps, which may include referral back to Inclusion and Engagement Services. </w:t>
      </w:r>
    </w:p>
    <w:p w14:paraId="36F267BD" w14:textId="35D58536" w:rsidR="0057012A" w:rsidRDefault="0057012A" w:rsidP="0057012A">
      <w:pPr>
        <w:pStyle w:val="Heading1"/>
        <w:rPr>
          <w:lang w:eastAsia="en-AU"/>
        </w:rPr>
      </w:pPr>
      <w:r>
        <w:rPr>
          <w:lang w:eastAsia="en-AU"/>
        </w:rPr>
        <w:t>Related legislation</w:t>
      </w:r>
    </w:p>
    <w:p w14:paraId="065199D3" w14:textId="6A32EA96" w:rsidR="0057012A" w:rsidRPr="00CF6651" w:rsidRDefault="0057012A" w:rsidP="00CF6651">
      <w:pPr>
        <w:pStyle w:val="ListParagraph"/>
        <w:numPr>
          <w:ilvl w:val="0"/>
          <w:numId w:val="48"/>
        </w:numPr>
        <w:rPr>
          <w:rStyle w:val="Hyperlink"/>
          <w:rFonts w:cs="Arial"/>
          <w:color w:val="auto"/>
        </w:rPr>
      </w:pPr>
      <w:r w:rsidRPr="00CF6651">
        <w:rPr>
          <w:i/>
        </w:rPr>
        <w:t>Education</w:t>
      </w:r>
      <w:hyperlink r:id="rId12">
        <w:r w:rsidRPr="00CF6651">
          <w:rPr>
            <w:i/>
          </w:rPr>
          <w:t xml:space="preserve"> </w:t>
        </w:r>
      </w:hyperlink>
      <w:hyperlink r:id="rId13">
        <w:r w:rsidRPr="00CF6651">
          <w:rPr>
            <w:i/>
          </w:rPr>
          <w:t>Act</w:t>
        </w:r>
      </w:hyperlink>
      <w:r w:rsidRPr="00CF6651">
        <w:rPr>
          <w:i/>
        </w:rPr>
        <w:t xml:space="preserve"> 2015</w:t>
      </w:r>
      <w:r w:rsidR="00CF6651">
        <w:rPr>
          <w:i/>
        </w:rPr>
        <w:t xml:space="preserve"> </w:t>
      </w:r>
      <w:r w:rsidRPr="00CF6651">
        <w:rPr>
          <w:rFonts w:cs="Arial"/>
          <w:i/>
        </w:rPr>
        <w:t xml:space="preserve">– </w:t>
      </w:r>
      <w:hyperlink r:id="rId14" w:history="1">
        <w:r w:rsidRPr="00CF6651">
          <w:rPr>
            <w:rStyle w:val="Hyperlink"/>
            <w:rFonts w:cs="Arial"/>
          </w:rPr>
          <w:t>https://legislation.nt.gov.au/Legislation/EDUCATION-ACT-2015</w:t>
        </w:r>
      </w:hyperlink>
    </w:p>
    <w:p w14:paraId="4C793851" w14:textId="48C2CCD9" w:rsidR="002555F5" w:rsidRPr="00CF6651" w:rsidRDefault="002555F5" w:rsidP="00CF6651">
      <w:pPr>
        <w:pStyle w:val="ListParagraph"/>
        <w:numPr>
          <w:ilvl w:val="0"/>
          <w:numId w:val="48"/>
        </w:numPr>
        <w:rPr>
          <w:rFonts w:cs="Arial"/>
        </w:rPr>
      </w:pPr>
      <w:r w:rsidRPr="00CF6651">
        <w:t xml:space="preserve">Education Regulations </w:t>
      </w:r>
      <w:r w:rsidR="00EC4C4E" w:rsidRPr="00CF6651">
        <w:t xml:space="preserve">2015 – </w:t>
      </w:r>
      <w:hyperlink r:id="rId15" w:history="1">
        <w:r w:rsidR="00EC4C4E" w:rsidRPr="00CF6651">
          <w:rPr>
            <w:rStyle w:val="Hyperlink"/>
          </w:rPr>
          <w:t>https://legislation.nt.gov.au/Legislation/EDUCATION-REGULATIONS-2015</w:t>
        </w:r>
      </w:hyperlink>
      <w:r w:rsidR="00EC4C4E" w:rsidRPr="00CF6651">
        <w:t xml:space="preserve"> </w:t>
      </w:r>
    </w:p>
    <w:p w14:paraId="4D12E600" w14:textId="690E5DB9" w:rsidR="00255F05" w:rsidRPr="00CF6651" w:rsidRDefault="002555F5" w:rsidP="00CF6651">
      <w:pPr>
        <w:pStyle w:val="ListParagraph"/>
        <w:numPr>
          <w:ilvl w:val="0"/>
          <w:numId w:val="48"/>
        </w:numPr>
        <w:rPr>
          <w:i/>
          <w:lang w:eastAsia="en-AU"/>
        </w:rPr>
      </w:pPr>
      <w:r w:rsidRPr="00CF6651">
        <w:rPr>
          <w:i/>
          <w:lang w:eastAsia="en-AU"/>
        </w:rPr>
        <w:t xml:space="preserve">Fines and </w:t>
      </w:r>
      <w:r w:rsidR="003F0C5B" w:rsidRPr="00CF6651">
        <w:rPr>
          <w:i/>
          <w:lang w:eastAsia="en-AU"/>
        </w:rPr>
        <w:t>Penalties</w:t>
      </w:r>
      <w:r w:rsidRPr="00CF6651">
        <w:rPr>
          <w:i/>
          <w:lang w:eastAsia="en-AU"/>
        </w:rPr>
        <w:t xml:space="preserve"> (Recovery) Act 2001</w:t>
      </w:r>
      <w:r w:rsidR="0023687C" w:rsidRPr="00CF6651">
        <w:rPr>
          <w:i/>
          <w:lang w:eastAsia="en-AU"/>
        </w:rPr>
        <w:t xml:space="preserve">– </w:t>
      </w:r>
      <w:hyperlink r:id="rId16" w:history="1">
        <w:r w:rsidR="0023687C" w:rsidRPr="00CF6651">
          <w:rPr>
            <w:rStyle w:val="Hyperlink"/>
            <w:i/>
            <w:lang w:eastAsia="en-AU"/>
          </w:rPr>
          <w:t>https://legislation.nt.gov.au/Legislation/FINES-AND-PENALTIES-RECOVERY-ACT-2001</w:t>
        </w:r>
      </w:hyperlink>
      <w:r w:rsidR="0023687C" w:rsidRPr="00CF6651">
        <w:rPr>
          <w:i/>
          <w:lang w:eastAsia="en-AU"/>
        </w:rPr>
        <w:t xml:space="preserve"> </w:t>
      </w:r>
    </w:p>
    <w:p w14:paraId="0FE40250" w14:textId="77777777" w:rsidR="00CF6651" w:rsidRDefault="00CF6651">
      <w:r>
        <w:rPr>
          <w:b/>
        </w:rPr>
        <w:br w:type="page"/>
      </w:r>
    </w:p>
    <w:tbl>
      <w:tblPr>
        <w:tblStyle w:val="NTGtable1"/>
        <w:tblW w:w="10350" w:type="dxa"/>
        <w:tblInd w:w="0" w:type="dxa"/>
        <w:tblLayout w:type="fixed"/>
        <w:tblLook w:val="0120" w:firstRow="1" w:lastRow="0" w:firstColumn="0" w:lastColumn="1" w:noHBand="0" w:noVBand="0"/>
      </w:tblPr>
      <w:tblGrid>
        <w:gridCol w:w="1981"/>
        <w:gridCol w:w="8369"/>
      </w:tblGrid>
      <w:tr w:rsidR="00D504DA" w14:paraId="5287944B" w14:textId="77777777" w:rsidTr="00236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1981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4E357167" w14:textId="61D051EE" w:rsidR="00D504DA" w:rsidRDefault="00D504DA">
            <w:r>
              <w:rPr>
                <w:w w:val="105"/>
              </w:rPr>
              <w:lastRenderedPageBreak/>
              <w:t>Acronyms</w:t>
            </w:r>
          </w:p>
        </w:tc>
        <w:tc>
          <w:tcPr>
            <w:tcW w:w="8369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734C55E1" w14:textId="77777777" w:rsidR="00D504DA" w:rsidRDefault="00D504DA">
            <w:r>
              <w:rPr>
                <w:w w:val="105"/>
              </w:rPr>
              <w:t>Full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form</w:t>
            </w:r>
          </w:p>
        </w:tc>
      </w:tr>
      <w:tr w:rsidR="003F0C5B" w14:paraId="432552A8" w14:textId="77777777" w:rsidTr="00F534A2">
        <w:trPr>
          <w:trHeight w:val="431"/>
        </w:trPr>
        <w:tc>
          <w:tcPr>
            <w:tcW w:w="1981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7BD34A6E" w14:textId="6D498490" w:rsidR="003F0C5B" w:rsidRDefault="003F0C5B">
            <w:r>
              <w:t>CE</w:t>
            </w:r>
          </w:p>
        </w:tc>
        <w:tc>
          <w:tcPr>
            <w:tcW w:w="8369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73DB67AD" w14:textId="3E7A6F40" w:rsidR="003F0C5B" w:rsidRDefault="003F0C5B">
            <w:r>
              <w:t xml:space="preserve">Chief Executive </w:t>
            </w:r>
          </w:p>
        </w:tc>
      </w:tr>
      <w:tr w:rsidR="00D504DA" w14:paraId="5EBD7DA0" w14:textId="77777777" w:rsidTr="00F534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981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hideMark/>
          </w:tcPr>
          <w:p w14:paraId="3650EF51" w14:textId="77777777" w:rsidR="00D504DA" w:rsidRDefault="00D504DA">
            <w:r>
              <w:t>NT</w:t>
            </w:r>
          </w:p>
        </w:tc>
        <w:tc>
          <w:tcPr>
            <w:tcW w:w="8369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hideMark/>
          </w:tcPr>
          <w:p w14:paraId="59F9C9BF" w14:textId="77777777" w:rsidR="00D504DA" w:rsidRDefault="00D504DA">
            <w:r>
              <w:t>Northern Territory</w:t>
            </w:r>
          </w:p>
        </w:tc>
      </w:tr>
    </w:tbl>
    <w:p w14:paraId="268949C7" w14:textId="77777777" w:rsidR="00D504DA" w:rsidRDefault="00D504DA" w:rsidP="00D504DA">
      <w:pPr>
        <w:rPr>
          <w:lang w:eastAsia="en-AU"/>
        </w:rPr>
      </w:pPr>
    </w:p>
    <w:tbl>
      <w:tblPr>
        <w:tblStyle w:val="NTGtable1"/>
        <w:tblW w:w="10348" w:type="dxa"/>
        <w:tblInd w:w="0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D504DA" w14:paraId="560AF719" w14:textId="77777777" w:rsidTr="00D504DA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7BE02B49" w14:textId="77777777" w:rsidR="00D504DA" w:rsidRDefault="00D504DA">
            <w:pPr>
              <w:rPr>
                <w:b/>
              </w:rPr>
            </w:pPr>
            <w:r>
              <w:rPr>
                <w:b/>
              </w:rPr>
              <w:t>Document title</w:t>
            </w:r>
          </w:p>
        </w:tc>
        <w:tc>
          <w:tcPr>
            <w:tcW w:w="7938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61E9811C" w14:textId="01A3BF1D" w:rsidR="00D504DA" w:rsidRDefault="00B81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-753511175"/>
                <w:placeholder>
                  <w:docPart w:val="AAC6F91C4EE24C00BD20B782989FFD8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0E3BC3">
                  <w:t>Enrolment and attendance enforcement – procedures</w:t>
                </w:r>
              </w:sdtContent>
            </w:sdt>
          </w:p>
        </w:tc>
      </w:tr>
      <w:tr w:rsidR="00D504DA" w14:paraId="27F206DB" w14:textId="77777777" w:rsidTr="00D50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7DB65172" w14:textId="77777777" w:rsidR="00D504DA" w:rsidRDefault="00D504DA">
            <w:pPr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565F7AAC" w14:textId="7E584C7C" w:rsidR="00D504DA" w:rsidRDefault="003F0C5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Inclusion and Engagement Services, Student Engagement Programs and Services,</w:t>
            </w:r>
            <w:r w:rsidR="00D504DA">
              <w:t xml:space="preserve"> </w:t>
            </w:r>
            <w:hyperlink r:id="rId17" w:history="1">
              <w:r w:rsidR="00255F05">
                <w:rPr>
                  <w:rStyle w:val="Hyperlink"/>
                </w:rPr>
                <w:t>enrolattend.policy@education.nt.gov.au</w:t>
              </w:r>
            </w:hyperlink>
          </w:p>
        </w:tc>
      </w:tr>
      <w:tr w:rsidR="00D504DA" w14:paraId="494EA6C7" w14:textId="77777777" w:rsidTr="00D504DA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0AFDC864" w14:textId="77777777" w:rsidR="00D504DA" w:rsidRDefault="00D504DA">
            <w:pPr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44FD6D15" w14:textId="1A87E045" w:rsidR="00D504DA" w:rsidRDefault="003F0C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Director Inclusion and Engagement Services</w:t>
            </w:r>
          </w:p>
        </w:tc>
      </w:tr>
      <w:tr w:rsidR="00D504DA" w14:paraId="6CABCCAB" w14:textId="77777777" w:rsidTr="00D504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69610C90" w14:textId="77777777" w:rsidR="00D504DA" w:rsidRDefault="00D504DA">
            <w:pPr>
              <w:rPr>
                <w:b/>
              </w:rPr>
            </w:pPr>
            <w:r>
              <w:rPr>
                <w:b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4B2BDC35" w14:textId="2C2A62A3" w:rsidR="00D504DA" w:rsidRDefault="00CF665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F3EA1">
              <w:t>28 April 2023</w:t>
            </w:r>
          </w:p>
        </w:tc>
      </w:tr>
      <w:tr w:rsidR="00D504DA" w14:paraId="5B3A8935" w14:textId="77777777" w:rsidTr="00D504D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shd w:val="clear" w:color="auto" w:fill="1F1F5F" w:themeFill="text1"/>
            <w:hideMark/>
          </w:tcPr>
          <w:p w14:paraId="15D7C026" w14:textId="77777777" w:rsidR="00D504DA" w:rsidRDefault="00D504DA">
            <w:pPr>
              <w:rPr>
                <w:b/>
              </w:rPr>
            </w:pPr>
            <w:r>
              <w:rPr>
                <w:b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hideMark/>
          </w:tcPr>
          <w:p w14:paraId="10F32762" w14:textId="2727E26A" w:rsidR="00D504DA" w:rsidRDefault="00D50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50:D2</w:t>
            </w:r>
            <w:r w:rsidR="007E2812">
              <w:t>4</w:t>
            </w:r>
            <w:r>
              <w:t>:</w:t>
            </w:r>
            <w:r w:rsidR="002E71CF">
              <w:t>45863</w:t>
            </w:r>
          </w:p>
        </w:tc>
      </w:tr>
    </w:tbl>
    <w:p w14:paraId="6FAE8F57" w14:textId="77777777" w:rsidR="00D504DA" w:rsidRDefault="00D504DA" w:rsidP="00D504DA">
      <w:pPr>
        <w:rPr>
          <w:lang w:eastAsia="en-AU"/>
        </w:rPr>
      </w:pPr>
    </w:p>
    <w:tbl>
      <w:tblPr>
        <w:tblStyle w:val="NTGtable1"/>
        <w:tblW w:w="10350" w:type="dxa"/>
        <w:tblInd w:w="0" w:type="dxa"/>
        <w:tblLayout w:type="fixed"/>
        <w:tblLook w:val="0120" w:firstRow="1" w:lastRow="0" w:firstColumn="0" w:lastColumn="1" w:noHBand="0" w:noVBand="0"/>
      </w:tblPr>
      <w:tblGrid>
        <w:gridCol w:w="1129"/>
        <w:gridCol w:w="2270"/>
        <w:gridCol w:w="2554"/>
        <w:gridCol w:w="4397"/>
      </w:tblGrid>
      <w:tr w:rsidR="00D504DA" w14:paraId="281A5E29" w14:textId="77777777" w:rsidTr="00EC4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0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16BDFBB0" w14:textId="77777777" w:rsidR="00D504DA" w:rsidRDefault="00D504DA">
            <w:r>
              <w:rPr>
                <w:w w:val="105"/>
              </w:rPr>
              <w:t>Version</w:t>
            </w:r>
          </w:p>
        </w:tc>
        <w:tc>
          <w:tcPr>
            <w:tcW w:w="2270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116D44D0" w14:textId="77777777" w:rsidR="00D504DA" w:rsidRDefault="00D504DA">
            <w:r>
              <w:rPr>
                <w:w w:val="105"/>
              </w:rPr>
              <w:t>Date</w:t>
            </w:r>
          </w:p>
        </w:tc>
        <w:tc>
          <w:tcPr>
            <w:tcW w:w="2554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27F5AA0B" w14:textId="77777777" w:rsidR="00D504DA" w:rsidRDefault="00D504DA">
            <w:r>
              <w:rPr>
                <w:w w:val="105"/>
              </w:rPr>
              <w:t>Author</w:t>
            </w:r>
          </w:p>
        </w:tc>
        <w:tc>
          <w:tcPr>
            <w:tcW w:w="4397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1689309B" w14:textId="77777777" w:rsidR="00D504DA" w:rsidRDefault="00D504DA">
            <w:r>
              <w:t>Changes made</w:t>
            </w:r>
          </w:p>
        </w:tc>
      </w:tr>
      <w:tr w:rsidR="003F0C5B" w14:paraId="1FC70601" w14:textId="77777777" w:rsidTr="005B3843">
        <w:trPr>
          <w:trHeight w:val="416"/>
        </w:trPr>
        <w:tc>
          <w:tcPr>
            <w:tcW w:w="1129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1330AD00" w14:textId="04B2F5BC" w:rsidR="003F0C5B" w:rsidRDefault="003F0C5B">
            <w:r>
              <w:t>1</w:t>
            </w:r>
          </w:p>
        </w:tc>
        <w:tc>
          <w:tcPr>
            <w:tcW w:w="227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4D69A2A7" w14:textId="621A9E27" w:rsidR="003F0C5B" w:rsidRDefault="00C17B08">
            <w:r>
              <w:t>January 2022</w:t>
            </w:r>
          </w:p>
        </w:tc>
        <w:tc>
          <w:tcPr>
            <w:tcW w:w="2554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6891CFB6" w14:textId="48A46151" w:rsidR="003F0C5B" w:rsidRDefault="00C17B08">
            <w:r>
              <w:t>Student Engagement Programs and Services</w:t>
            </w:r>
          </w:p>
        </w:tc>
        <w:tc>
          <w:tcPr>
            <w:tcW w:w="4397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14:paraId="3CDA5A4D" w14:textId="18FF09E4" w:rsidR="003F0C5B" w:rsidRDefault="00CF6651">
            <w:r>
              <w:t>First version</w:t>
            </w:r>
            <w:r w:rsidR="00C17B08">
              <w:t xml:space="preserve"> </w:t>
            </w:r>
          </w:p>
        </w:tc>
      </w:tr>
      <w:tr w:rsidR="00D504DA" w14:paraId="0C41B2A0" w14:textId="77777777" w:rsidTr="00AF04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4"/>
        </w:trPr>
        <w:tc>
          <w:tcPr>
            <w:tcW w:w="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169B190C" w14:textId="300FFDAE" w:rsidR="00D504DA" w:rsidRDefault="00D504DA">
            <w:r>
              <w:t>2</w:t>
            </w:r>
          </w:p>
        </w:tc>
        <w:tc>
          <w:tcPr>
            <w:tcW w:w="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571CA624" w14:textId="2A8DCD5C" w:rsidR="00D504DA" w:rsidRDefault="00CF6651">
            <w:r>
              <w:t>May 2023</w:t>
            </w:r>
          </w:p>
        </w:tc>
        <w:tc>
          <w:tcPr>
            <w:tcW w:w="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011EA98B" w14:textId="77777777" w:rsidR="00D504DA" w:rsidRDefault="00D504DA">
            <w:r>
              <w:t xml:space="preserve">Student Engagement Programs and Services </w:t>
            </w:r>
          </w:p>
        </w:tc>
        <w:tc>
          <w:tcPr>
            <w:tcW w:w="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14:paraId="105AF3A5" w14:textId="77777777" w:rsidR="00D504DA" w:rsidRDefault="00D504DA">
            <w:r>
              <w:t>Template and information updated</w:t>
            </w:r>
          </w:p>
        </w:tc>
      </w:tr>
      <w:tr w:rsidR="000E46D3" w14:paraId="612DA71C" w14:textId="77777777" w:rsidTr="00EC4C4E">
        <w:trPr>
          <w:trHeight w:val="554"/>
        </w:trPr>
        <w:tc>
          <w:tcPr>
            <w:tcW w:w="0" w:type="dxa"/>
            <w:tcBorders>
              <w:top w:val="nil"/>
              <w:left w:val="single" w:sz="4" w:space="0" w:color="1F1F5F" w:themeColor="text1"/>
              <w:bottom w:val="single" w:sz="4" w:space="0" w:color="auto"/>
              <w:right w:val="single" w:sz="4" w:space="0" w:color="1F1F5F" w:themeColor="text1"/>
            </w:tcBorders>
          </w:tcPr>
          <w:p w14:paraId="2F5B15CD" w14:textId="29E249F1" w:rsidR="000E46D3" w:rsidRDefault="000E46D3">
            <w:r>
              <w:t>3</w:t>
            </w:r>
          </w:p>
        </w:tc>
        <w:tc>
          <w:tcPr>
            <w:tcW w:w="2270" w:type="dxa"/>
            <w:tcBorders>
              <w:top w:val="nil"/>
              <w:left w:val="single" w:sz="4" w:space="0" w:color="1F1F5F" w:themeColor="text1"/>
              <w:bottom w:val="single" w:sz="4" w:space="0" w:color="auto"/>
              <w:right w:val="single" w:sz="4" w:space="0" w:color="1F1F5F" w:themeColor="text1"/>
            </w:tcBorders>
          </w:tcPr>
          <w:p w14:paraId="5460375B" w14:textId="602386FB" w:rsidR="000E46D3" w:rsidRDefault="005B3843">
            <w:r>
              <w:t>August</w:t>
            </w:r>
            <w:r w:rsidR="000E46D3">
              <w:t xml:space="preserve"> 2024</w:t>
            </w:r>
          </w:p>
        </w:tc>
        <w:tc>
          <w:tcPr>
            <w:tcW w:w="2554" w:type="dxa"/>
            <w:tcBorders>
              <w:top w:val="nil"/>
              <w:left w:val="single" w:sz="4" w:space="0" w:color="1F1F5F" w:themeColor="text1"/>
              <w:bottom w:val="single" w:sz="4" w:space="0" w:color="auto"/>
              <w:right w:val="single" w:sz="4" w:space="0" w:color="1F1F5F" w:themeColor="text1"/>
            </w:tcBorders>
          </w:tcPr>
          <w:p w14:paraId="0A388EC1" w14:textId="6F9BFC61" w:rsidR="000E46D3" w:rsidRDefault="000E46D3">
            <w:r>
              <w:t>Student Engagement Programs and Services</w:t>
            </w:r>
          </w:p>
        </w:tc>
        <w:tc>
          <w:tcPr>
            <w:tcW w:w="4397" w:type="dxa"/>
            <w:tcBorders>
              <w:top w:val="nil"/>
              <w:left w:val="single" w:sz="4" w:space="0" w:color="1F1F5F" w:themeColor="text1"/>
              <w:bottom w:val="single" w:sz="4" w:space="0" w:color="auto"/>
              <w:right w:val="single" w:sz="4" w:space="0" w:color="1F1F5F" w:themeColor="text1"/>
            </w:tcBorders>
          </w:tcPr>
          <w:p w14:paraId="36C93CC8" w14:textId="3C8D7F5F" w:rsidR="000E46D3" w:rsidRDefault="000E46D3">
            <w:r>
              <w:t xml:space="preserve">Terminology update from Passive Form to Intensive Support Roll </w:t>
            </w:r>
          </w:p>
        </w:tc>
      </w:tr>
    </w:tbl>
    <w:p w14:paraId="21A5AA32" w14:textId="77777777" w:rsidR="00D504DA" w:rsidRPr="00E53D5D" w:rsidRDefault="00D504DA" w:rsidP="00E53D5D">
      <w:pPr>
        <w:rPr>
          <w:lang w:eastAsia="en-AU"/>
        </w:rPr>
      </w:pPr>
    </w:p>
    <w:sectPr w:rsidR="00D504DA" w:rsidRPr="00E53D5D" w:rsidSect="00D357F9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5C1B7" w14:textId="77777777" w:rsidR="00763861" w:rsidRDefault="00763861" w:rsidP="007332FF">
      <w:r>
        <w:separator/>
      </w:r>
    </w:p>
  </w:endnote>
  <w:endnote w:type="continuationSeparator" w:id="0">
    <w:p w14:paraId="5059E6E5" w14:textId="77777777" w:rsidR="00763861" w:rsidRDefault="00763861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FC21" w14:textId="77777777" w:rsidR="00E122D8" w:rsidRDefault="00E122D8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E122D8" w:rsidRPr="00132658" w14:paraId="67C04F70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0D8744E0" w14:textId="73ADA153" w:rsidR="00E122D8" w:rsidRDefault="00E122D8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Pr="00EC4C4E">
            <w:rPr>
              <w:rStyle w:val="PageNumber"/>
              <w:b/>
              <w:bCs/>
            </w:rPr>
            <w:t>Education</w:t>
          </w:r>
          <w:r w:rsidR="00877150">
            <w:rPr>
              <w:rStyle w:val="PageNumber"/>
              <w:b/>
              <w:bCs/>
            </w:rPr>
            <w:t xml:space="preserve"> – </w:t>
          </w:r>
          <w:r w:rsidR="00877150" w:rsidRPr="00CE7711">
            <w:rPr>
              <w:rStyle w:val="PageNumber"/>
              <w:bCs/>
            </w:rPr>
            <w:t>Enrolment and attendance policy suite</w:t>
          </w:r>
        </w:p>
        <w:p w14:paraId="6D54217F" w14:textId="1F2DE796" w:rsidR="00EC4C4E" w:rsidRDefault="004300F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C95508">
            <w:rPr>
              <w:rStyle w:val="PageNumber"/>
            </w:rPr>
            <w:t>August</w:t>
          </w:r>
          <w:r>
            <w:rPr>
              <w:rStyle w:val="PageNumber"/>
            </w:rPr>
            <w:t xml:space="preserve"> 202</w:t>
          </w:r>
          <w:r w:rsidR="005B3843">
            <w:rPr>
              <w:rStyle w:val="PageNumber"/>
            </w:rPr>
            <w:t>4</w:t>
          </w:r>
        </w:p>
        <w:p w14:paraId="10855FFE" w14:textId="37EBD4EC" w:rsidR="00E122D8" w:rsidRPr="00AC4488" w:rsidRDefault="00E122D8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A567B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A567B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57B4766B" w14:textId="77777777" w:rsidR="00E122D8" w:rsidRPr="00B11C67" w:rsidRDefault="00E122D8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8C5E7" w14:textId="77777777" w:rsidR="00E122D8" w:rsidRDefault="00E122D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E122D8" w:rsidRPr="00132658" w14:paraId="72ECE44C" w14:textId="77777777" w:rsidTr="00E122D8">
      <w:trPr>
        <w:cantSplit/>
        <w:trHeight w:hRule="exact" w:val="1134"/>
      </w:trPr>
      <w:tc>
        <w:tcPr>
          <w:tcW w:w="7767" w:type="dxa"/>
          <w:vAlign w:val="bottom"/>
        </w:tcPr>
        <w:p w14:paraId="0E3D02EA" w14:textId="7AB34CA8" w:rsidR="00E122D8" w:rsidRDefault="00E122D8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Pr="00EC4C4E">
            <w:rPr>
              <w:rStyle w:val="PageNumber"/>
              <w:b/>
              <w:bCs/>
            </w:rPr>
            <w:t>Education</w:t>
          </w:r>
          <w:r w:rsidR="00877150">
            <w:rPr>
              <w:rStyle w:val="PageNumber"/>
              <w:b/>
              <w:bCs/>
            </w:rPr>
            <w:t xml:space="preserve"> – </w:t>
          </w:r>
          <w:r w:rsidR="00877150" w:rsidRPr="00CE7711">
            <w:rPr>
              <w:rStyle w:val="PageNumber"/>
              <w:bCs/>
            </w:rPr>
            <w:t>Enrolment and attendance policy suite</w:t>
          </w:r>
        </w:p>
        <w:p w14:paraId="0BB195BD" w14:textId="1799F29A" w:rsidR="00EC4C4E" w:rsidRDefault="004300F0" w:rsidP="00D47DC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Published </w:t>
          </w:r>
          <w:r w:rsidR="00C95508">
            <w:rPr>
              <w:rStyle w:val="PageNumber"/>
            </w:rPr>
            <w:t>August</w:t>
          </w:r>
          <w:r>
            <w:rPr>
              <w:rStyle w:val="PageNumber"/>
            </w:rPr>
            <w:t xml:space="preserve"> 202</w:t>
          </w:r>
          <w:r w:rsidR="005B3843">
            <w:rPr>
              <w:rStyle w:val="PageNumber"/>
            </w:rPr>
            <w:t>4</w:t>
          </w:r>
        </w:p>
        <w:p w14:paraId="4C8163B9" w14:textId="723F912E" w:rsidR="00E122D8" w:rsidRPr="00CE30CF" w:rsidRDefault="00E122D8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A567B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A567B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1ADB8793" w14:textId="77777777" w:rsidR="00E122D8" w:rsidRPr="001E14EB" w:rsidRDefault="00E122D8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EF4F233" wp14:editId="15FC7E66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4FF25E8" w14:textId="77777777" w:rsidR="00E122D8" w:rsidRPr="00661BE1" w:rsidRDefault="00E122D8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6716" w14:textId="77777777" w:rsidR="00763861" w:rsidRDefault="00763861" w:rsidP="007332FF">
      <w:r>
        <w:separator/>
      </w:r>
    </w:p>
  </w:footnote>
  <w:footnote w:type="continuationSeparator" w:id="0">
    <w:p w14:paraId="5FA3853C" w14:textId="77777777" w:rsidR="00763861" w:rsidRDefault="00763861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6E63" w14:textId="01E76068" w:rsidR="00E122D8" w:rsidRPr="00162207" w:rsidRDefault="00B8121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3BC3">
          <w:t>Enrolment and attendance enforcement – procedures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C742" w14:textId="78CA0869" w:rsidR="00E122D8" w:rsidRDefault="00B81211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0E3BC3">
          <w:rPr>
            <w:rStyle w:val="TitleChar"/>
          </w:rPr>
          <w:t>Enrolment and attendance enforcement – procedures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9AE"/>
    <w:multiLevelType w:val="hybridMultilevel"/>
    <w:tmpl w:val="CC266D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CEA1605"/>
    <w:multiLevelType w:val="hybridMultilevel"/>
    <w:tmpl w:val="F0605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4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5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6" w15:restartNumberingAfterBreak="0">
    <w:nsid w:val="15BE59EF"/>
    <w:multiLevelType w:val="hybridMultilevel"/>
    <w:tmpl w:val="7070D3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52248E"/>
    <w:multiLevelType w:val="hybridMultilevel"/>
    <w:tmpl w:val="294C9F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F7E38"/>
    <w:multiLevelType w:val="hybridMultilevel"/>
    <w:tmpl w:val="14E044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3" w15:restartNumberingAfterBreak="0">
    <w:nsid w:val="1AA01B4E"/>
    <w:multiLevelType w:val="hybridMultilevel"/>
    <w:tmpl w:val="AF5A8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6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7" w15:restartNumberingAfterBreak="0">
    <w:nsid w:val="1E751C4F"/>
    <w:multiLevelType w:val="hybridMultilevel"/>
    <w:tmpl w:val="FDD4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92AB0"/>
    <w:multiLevelType w:val="hybridMultilevel"/>
    <w:tmpl w:val="B8ECE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5D3606"/>
    <w:multiLevelType w:val="hybridMultilevel"/>
    <w:tmpl w:val="870A1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1" w15:restartNumberingAfterBreak="0">
    <w:nsid w:val="26925BEA"/>
    <w:multiLevelType w:val="hybridMultilevel"/>
    <w:tmpl w:val="E9E0F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9A31E8F"/>
    <w:multiLevelType w:val="hybridMultilevel"/>
    <w:tmpl w:val="2E8C05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9" w15:restartNumberingAfterBreak="0">
    <w:nsid w:val="2FB03020"/>
    <w:multiLevelType w:val="hybridMultilevel"/>
    <w:tmpl w:val="FAF04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3B3366"/>
    <w:multiLevelType w:val="hybridMultilevel"/>
    <w:tmpl w:val="F77A9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701562"/>
    <w:multiLevelType w:val="hybridMultilevel"/>
    <w:tmpl w:val="84926C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296029"/>
    <w:multiLevelType w:val="hybridMultilevel"/>
    <w:tmpl w:val="88E2E9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125B4E"/>
    <w:multiLevelType w:val="hybridMultilevel"/>
    <w:tmpl w:val="D070CD9A"/>
    <w:lvl w:ilvl="0" w:tplc="575E27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CD5E88"/>
    <w:multiLevelType w:val="hybridMultilevel"/>
    <w:tmpl w:val="CC266D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551E2"/>
    <w:multiLevelType w:val="hybridMultilevel"/>
    <w:tmpl w:val="326CA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C04D0C"/>
    <w:multiLevelType w:val="hybridMultilevel"/>
    <w:tmpl w:val="D87000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CE42CB"/>
    <w:multiLevelType w:val="hybridMultilevel"/>
    <w:tmpl w:val="3FC611A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FA3FD5"/>
    <w:multiLevelType w:val="hybridMultilevel"/>
    <w:tmpl w:val="2AEE3F70"/>
    <w:lvl w:ilvl="0" w:tplc="7416F94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127CC0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2" w15:restartNumberingAfterBreak="0">
    <w:nsid w:val="3EDA6172"/>
    <w:multiLevelType w:val="hybridMultilevel"/>
    <w:tmpl w:val="3822E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851EBF"/>
    <w:multiLevelType w:val="hybridMultilevel"/>
    <w:tmpl w:val="9A94A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B33063"/>
    <w:multiLevelType w:val="hybridMultilevel"/>
    <w:tmpl w:val="F8C8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6" w15:restartNumberingAfterBreak="0">
    <w:nsid w:val="4B7B73C2"/>
    <w:multiLevelType w:val="hybridMultilevel"/>
    <w:tmpl w:val="5C826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B06B4A"/>
    <w:multiLevelType w:val="hybridMultilevel"/>
    <w:tmpl w:val="0E54F69C"/>
    <w:lvl w:ilvl="0" w:tplc="2F38FF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0DA76EC"/>
    <w:multiLevelType w:val="hybridMultilevel"/>
    <w:tmpl w:val="F9EEC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842BC6"/>
    <w:multiLevelType w:val="multilevel"/>
    <w:tmpl w:val="0C78A7AC"/>
    <w:numStyleLink w:val="Tablebulletlist"/>
  </w:abstractNum>
  <w:abstractNum w:abstractNumId="5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A485846"/>
    <w:multiLevelType w:val="hybridMultilevel"/>
    <w:tmpl w:val="9BACA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622B5BE4"/>
    <w:multiLevelType w:val="hybridMultilevel"/>
    <w:tmpl w:val="FFEA3A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0" w15:restartNumberingAfterBreak="0">
    <w:nsid w:val="6A5046C8"/>
    <w:multiLevelType w:val="hybridMultilevel"/>
    <w:tmpl w:val="D2E40A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77766B"/>
    <w:multiLevelType w:val="hybridMultilevel"/>
    <w:tmpl w:val="A6FC7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BED4199"/>
    <w:multiLevelType w:val="hybridMultilevel"/>
    <w:tmpl w:val="AEAA284A"/>
    <w:lvl w:ilvl="0" w:tplc="7416F94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127CC0" w:themeColor="accent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460474"/>
    <w:multiLevelType w:val="hybridMultilevel"/>
    <w:tmpl w:val="FF261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F575BF"/>
    <w:multiLevelType w:val="hybridMultilevel"/>
    <w:tmpl w:val="3684C1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6" w15:restartNumberingAfterBreak="0">
    <w:nsid w:val="74B4622F"/>
    <w:multiLevelType w:val="hybridMultilevel"/>
    <w:tmpl w:val="039AA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8" w15:restartNumberingAfterBreak="0">
    <w:nsid w:val="764C16B5"/>
    <w:multiLevelType w:val="hybridMultilevel"/>
    <w:tmpl w:val="AADA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F428C7"/>
    <w:multiLevelType w:val="hybridMultilevel"/>
    <w:tmpl w:val="A41AE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1" w15:restartNumberingAfterBreak="0">
    <w:nsid w:val="7B5962DC"/>
    <w:multiLevelType w:val="hybridMultilevel"/>
    <w:tmpl w:val="A9CA5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D079DC"/>
    <w:multiLevelType w:val="hybridMultilevel"/>
    <w:tmpl w:val="BAC0CC80"/>
    <w:lvl w:ilvl="0" w:tplc="F252F3D6">
      <w:start w:val="1"/>
      <w:numFmt w:val="lowerLetter"/>
      <w:lvlText w:val="%1."/>
      <w:lvlJc w:val="left"/>
      <w:pPr>
        <w:ind w:left="1080" w:hanging="360"/>
      </w:pPr>
      <w:rPr>
        <w:rFonts w:ascii="Lato" w:eastAsia="Calibri" w:hAnsi="Lato" w:cs="Times New Roman"/>
        <w:color w:val="127CC0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74" w15:restartNumberingAfterBreak="0">
    <w:nsid w:val="7EE90893"/>
    <w:multiLevelType w:val="hybridMultilevel"/>
    <w:tmpl w:val="48788520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11435452">
    <w:abstractNumId w:val="33"/>
  </w:num>
  <w:num w:numId="2" w16cid:durableId="1670055422">
    <w:abstractNumId w:val="20"/>
  </w:num>
  <w:num w:numId="3" w16cid:durableId="1857234444">
    <w:abstractNumId w:val="70"/>
  </w:num>
  <w:num w:numId="4" w16cid:durableId="1505893859">
    <w:abstractNumId w:val="48"/>
  </w:num>
  <w:num w:numId="5" w16cid:durableId="1320187945">
    <w:abstractNumId w:val="26"/>
  </w:num>
  <w:num w:numId="6" w16cid:durableId="1650986394">
    <w:abstractNumId w:val="12"/>
  </w:num>
  <w:num w:numId="7" w16cid:durableId="1292321146">
    <w:abstractNumId w:val="51"/>
  </w:num>
  <w:num w:numId="8" w16cid:durableId="1754007128">
    <w:abstractNumId w:val="24"/>
  </w:num>
  <w:num w:numId="9" w16cid:durableId="1347439343">
    <w:abstractNumId w:val="46"/>
  </w:num>
  <w:num w:numId="10" w16cid:durableId="584649080">
    <w:abstractNumId w:val="39"/>
  </w:num>
  <w:num w:numId="11" w16cid:durableId="915094212">
    <w:abstractNumId w:val="43"/>
  </w:num>
  <w:num w:numId="12" w16cid:durableId="241990650">
    <w:abstractNumId w:val="2"/>
  </w:num>
  <w:num w:numId="13" w16cid:durableId="1980769398">
    <w:abstractNumId w:val="66"/>
  </w:num>
  <w:num w:numId="14" w16cid:durableId="1185293487">
    <w:abstractNumId w:val="74"/>
  </w:num>
  <w:num w:numId="15" w16cid:durableId="289214731">
    <w:abstractNumId w:val="29"/>
  </w:num>
  <w:num w:numId="16" w16cid:durableId="683364829">
    <w:abstractNumId w:val="68"/>
  </w:num>
  <w:num w:numId="17" w16cid:durableId="1592425754">
    <w:abstractNumId w:val="13"/>
  </w:num>
  <w:num w:numId="18" w16cid:durableId="370039060">
    <w:abstractNumId w:val="44"/>
  </w:num>
  <w:num w:numId="19" w16cid:durableId="562371386">
    <w:abstractNumId w:val="31"/>
  </w:num>
  <w:num w:numId="20" w16cid:durableId="1136214797">
    <w:abstractNumId w:val="17"/>
  </w:num>
  <w:num w:numId="21" w16cid:durableId="829442446">
    <w:abstractNumId w:val="63"/>
  </w:num>
  <w:num w:numId="22" w16cid:durableId="859659012">
    <w:abstractNumId w:val="18"/>
  </w:num>
  <w:num w:numId="23" w16cid:durableId="1254775207">
    <w:abstractNumId w:val="71"/>
  </w:num>
  <w:num w:numId="24" w16cid:durableId="1461803689">
    <w:abstractNumId w:val="50"/>
  </w:num>
  <w:num w:numId="25" w16cid:durableId="283005383">
    <w:abstractNumId w:val="55"/>
  </w:num>
  <w:num w:numId="26" w16cid:durableId="865099799">
    <w:abstractNumId w:val="9"/>
  </w:num>
  <w:num w:numId="27" w16cid:durableId="1694574368">
    <w:abstractNumId w:val="69"/>
  </w:num>
  <w:num w:numId="28" w16cid:durableId="1072385255">
    <w:abstractNumId w:val="60"/>
  </w:num>
  <w:num w:numId="29" w16cid:durableId="227690162">
    <w:abstractNumId w:val="58"/>
  </w:num>
  <w:num w:numId="30" w16cid:durableId="1750345731">
    <w:abstractNumId w:val="38"/>
  </w:num>
  <w:num w:numId="31" w16cid:durableId="167713573">
    <w:abstractNumId w:val="6"/>
  </w:num>
  <w:num w:numId="32" w16cid:durableId="544833496">
    <w:abstractNumId w:val="62"/>
  </w:num>
  <w:num w:numId="33" w16cid:durableId="290593816">
    <w:abstractNumId w:val="72"/>
  </w:num>
  <w:num w:numId="34" w16cid:durableId="1648362169">
    <w:abstractNumId w:val="40"/>
  </w:num>
  <w:num w:numId="35" w16cid:durableId="1337197121">
    <w:abstractNumId w:val="35"/>
  </w:num>
  <w:num w:numId="36" w16cid:durableId="769007759">
    <w:abstractNumId w:val="32"/>
  </w:num>
  <w:num w:numId="37" w16cid:durableId="658466769">
    <w:abstractNumId w:val="34"/>
  </w:num>
  <w:num w:numId="38" w16cid:durableId="1396466498">
    <w:abstractNumId w:val="25"/>
  </w:num>
  <w:num w:numId="39" w16cid:durableId="2071415362">
    <w:abstractNumId w:val="21"/>
  </w:num>
  <w:num w:numId="40" w16cid:durableId="767383013">
    <w:abstractNumId w:val="37"/>
  </w:num>
  <w:num w:numId="41" w16cid:durableId="459497151">
    <w:abstractNumId w:val="61"/>
  </w:num>
  <w:num w:numId="42" w16cid:durableId="366218161">
    <w:abstractNumId w:val="8"/>
  </w:num>
  <w:num w:numId="43" w16cid:durableId="133792621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1898553">
    <w:abstractNumId w:val="42"/>
  </w:num>
  <w:num w:numId="45" w16cid:durableId="409010905">
    <w:abstractNumId w:val="0"/>
  </w:num>
  <w:num w:numId="46" w16cid:durableId="115874895">
    <w:abstractNumId w:val="47"/>
  </w:num>
  <w:num w:numId="47" w16cid:durableId="1694302374">
    <w:abstractNumId w:val="36"/>
  </w:num>
  <w:num w:numId="48" w16cid:durableId="62392270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42"/>
    <w:rsid w:val="00001DDF"/>
    <w:rsid w:val="0000322D"/>
    <w:rsid w:val="00003AF8"/>
    <w:rsid w:val="00007670"/>
    <w:rsid w:val="00010665"/>
    <w:rsid w:val="00015565"/>
    <w:rsid w:val="000155DD"/>
    <w:rsid w:val="0002393A"/>
    <w:rsid w:val="00024944"/>
    <w:rsid w:val="00027DB8"/>
    <w:rsid w:val="00031A96"/>
    <w:rsid w:val="000332AF"/>
    <w:rsid w:val="00033F97"/>
    <w:rsid w:val="00034F7E"/>
    <w:rsid w:val="00040BF3"/>
    <w:rsid w:val="0004211C"/>
    <w:rsid w:val="0004350C"/>
    <w:rsid w:val="00046C59"/>
    <w:rsid w:val="00051362"/>
    <w:rsid w:val="00051F45"/>
    <w:rsid w:val="00052953"/>
    <w:rsid w:val="0005341A"/>
    <w:rsid w:val="00053962"/>
    <w:rsid w:val="00056DEF"/>
    <w:rsid w:val="00056EDC"/>
    <w:rsid w:val="00063624"/>
    <w:rsid w:val="000639B1"/>
    <w:rsid w:val="0006635A"/>
    <w:rsid w:val="000720BE"/>
    <w:rsid w:val="0007259C"/>
    <w:rsid w:val="00076670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02DC"/>
    <w:rsid w:val="000E342B"/>
    <w:rsid w:val="000E37DB"/>
    <w:rsid w:val="000E3BC3"/>
    <w:rsid w:val="000E3ED2"/>
    <w:rsid w:val="000E46D3"/>
    <w:rsid w:val="000E5DD2"/>
    <w:rsid w:val="000F2958"/>
    <w:rsid w:val="000F3850"/>
    <w:rsid w:val="000F604F"/>
    <w:rsid w:val="001004AA"/>
    <w:rsid w:val="00104E7F"/>
    <w:rsid w:val="00112150"/>
    <w:rsid w:val="001137EC"/>
    <w:rsid w:val="00113958"/>
    <w:rsid w:val="001152F5"/>
    <w:rsid w:val="00117743"/>
    <w:rsid w:val="00117F5B"/>
    <w:rsid w:val="00131F7C"/>
    <w:rsid w:val="00132658"/>
    <w:rsid w:val="00132BAB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98B"/>
    <w:rsid w:val="00196F8E"/>
    <w:rsid w:val="001A080E"/>
    <w:rsid w:val="001A2B7F"/>
    <w:rsid w:val="001A3AFD"/>
    <w:rsid w:val="001A496C"/>
    <w:rsid w:val="001A5011"/>
    <w:rsid w:val="001A576A"/>
    <w:rsid w:val="001B28DA"/>
    <w:rsid w:val="001B2B6C"/>
    <w:rsid w:val="001D01C4"/>
    <w:rsid w:val="001D0375"/>
    <w:rsid w:val="001D4F99"/>
    <w:rsid w:val="001D52B0"/>
    <w:rsid w:val="001D5A18"/>
    <w:rsid w:val="001D7CA4"/>
    <w:rsid w:val="001E057F"/>
    <w:rsid w:val="001E14EB"/>
    <w:rsid w:val="001E1BDC"/>
    <w:rsid w:val="001F24DC"/>
    <w:rsid w:val="001F59E6"/>
    <w:rsid w:val="0020362A"/>
    <w:rsid w:val="00203F1C"/>
    <w:rsid w:val="00206936"/>
    <w:rsid w:val="00206C6F"/>
    <w:rsid w:val="00206FBD"/>
    <w:rsid w:val="00207746"/>
    <w:rsid w:val="00210776"/>
    <w:rsid w:val="00230031"/>
    <w:rsid w:val="00231A1A"/>
    <w:rsid w:val="00235C01"/>
    <w:rsid w:val="0023687C"/>
    <w:rsid w:val="00244781"/>
    <w:rsid w:val="00247343"/>
    <w:rsid w:val="002555F5"/>
    <w:rsid w:val="00255F05"/>
    <w:rsid w:val="00264613"/>
    <w:rsid w:val="00265C56"/>
    <w:rsid w:val="002716CD"/>
    <w:rsid w:val="00274D4B"/>
    <w:rsid w:val="002806F5"/>
    <w:rsid w:val="00281577"/>
    <w:rsid w:val="002842F8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2367"/>
    <w:rsid w:val="002C2437"/>
    <w:rsid w:val="002C4192"/>
    <w:rsid w:val="002D3A57"/>
    <w:rsid w:val="002D6524"/>
    <w:rsid w:val="002D7D05"/>
    <w:rsid w:val="002E20C8"/>
    <w:rsid w:val="002E4290"/>
    <w:rsid w:val="002E66A6"/>
    <w:rsid w:val="002E71CF"/>
    <w:rsid w:val="002F0DB1"/>
    <w:rsid w:val="002F2885"/>
    <w:rsid w:val="002F45A1"/>
    <w:rsid w:val="00301125"/>
    <w:rsid w:val="0030203D"/>
    <w:rsid w:val="0030335B"/>
    <w:rsid w:val="003037F9"/>
    <w:rsid w:val="0030583E"/>
    <w:rsid w:val="00307FE1"/>
    <w:rsid w:val="00310EEE"/>
    <w:rsid w:val="00314221"/>
    <w:rsid w:val="003164BA"/>
    <w:rsid w:val="003258E6"/>
    <w:rsid w:val="00332352"/>
    <w:rsid w:val="003346F6"/>
    <w:rsid w:val="00335E71"/>
    <w:rsid w:val="00342283"/>
    <w:rsid w:val="00343124"/>
    <w:rsid w:val="00343A87"/>
    <w:rsid w:val="00344A36"/>
    <w:rsid w:val="003456F4"/>
    <w:rsid w:val="00345F1C"/>
    <w:rsid w:val="00347FB6"/>
    <w:rsid w:val="003504FD"/>
    <w:rsid w:val="00350881"/>
    <w:rsid w:val="00357D55"/>
    <w:rsid w:val="00363513"/>
    <w:rsid w:val="00364867"/>
    <w:rsid w:val="003657E5"/>
    <w:rsid w:val="0036589C"/>
    <w:rsid w:val="0036612C"/>
    <w:rsid w:val="00371312"/>
    <w:rsid w:val="00371DC7"/>
    <w:rsid w:val="003725B8"/>
    <w:rsid w:val="00377B21"/>
    <w:rsid w:val="00382A7F"/>
    <w:rsid w:val="00390862"/>
    <w:rsid w:val="00390CE3"/>
    <w:rsid w:val="00394876"/>
    <w:rsid w:val="00394AAF"/>
    <w:rsid w:val="00394CE5"/>
    <w:rsid w:val="003A5FB6"/>
    <w:rsid w:val="003A6341"/>
    <w:rsid w:val="003B67FD"/>
    <w:rsid w:val="003B6A61"/>
    <w:rsid w:val="003C2198"/>
    <w:rsid w:val="003C4941"/>
    <w:rsid w:val="003C4B12"/>
    <w:rsid w:val="003D0F63"/>
    <w:rsid w:val="003D42C0"/>
    <w:rsid w:val="003D4A8F"/>
    <w:rsid w:val="003D5B29"/>
    <w:rsid w:val="003D7818"/>
    <w:rsid w:val="003E0AF7"/>
    <w:rsid w:val="003E2445"/>
    <w:rsid w:val="003E3BB2"/>
    <w:rsid w:val="003F0C5B"/>
    <w:rsid w:val="003F5995"/>
    <w:rsid w:val="003F5B58"/>
    <w:rsid w:val="0040222A"/>
    <w:rsid w:val="004047BC"/>
    <w:rsid w:val="004100F7"/>
    <w:rsid w:val="00411FAA"/>
    <w:rsid w:val="00414CB3"/>
    <w:rsid w:val="0041563D"/>
    <w:rsid w:val="004214C1"/>
    <w:rsid w:val="00426E25"/>
    <w:rsid w:val="00427D9C"/>
    <w:rsid w:val="00427E7E"/>
    <w:rsid w:val="004300F0"/>
    <w:rsid w:val="0043465D"/>
    <w:rsid w:val="00435082"/>
    <w:rsid w:val="00443B6E"/>
    <w:rsid w:val="0045058C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794"/>
    <w:rsid w:val="00473C98"/>
    <w:rsid w:val="00474965"/>
    <w:rsid w:val="00482DF8"/>
    <w:rsid w:val="004864DE"/>
    <w:rsid w:val="00490D7D"/>
    <w:rsid w:val="00494BE5"/>
    <w:rsid w:val="004A0EBA"/>
    <w:rsid w:val="004A2538"/>
    <w:rsid w:val="004A331E"/>
    <w:rsid w:val="004B0C15"/>
    <w:rsid w:val="004B35EA"/>
    <w:rsid w:val="004B69E4"/>
    <w:rsid w:val="004C14B0"/>
    <w:rsid w:val="004C5BB0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2E1D"/>
    <w:rsid w:val="004F016A"/>
    <w:rsid w:val="00500F94"/>
    <w:rsid w:val="00502F53"/>
    <w:rsid w:val="00502FB3"/>
    <w:rsid w:val="00503DE9"/>
    <w:rsid w:val="00504F8D"/>
    <w:rsid w:val="0050530C"/>
    <w:rsid w:val="00505DEA"/>
    <w:rsid w:val="00507782"/>
    <w:rsid w:val="00512A04"/>
    <w:rsid w:val="005169DB"/>
    <w:rsid w:val="00520499"/>
    <w:rsid w:val="005249F5"/>
    <w:rsid w:val="005260F7"/>
    <w:rsid w:val="00530178"/>
    <w:rsid w:val="00543BD1"/>
    <w:rsid w:val="00550CF0"/>
    <w:rsid w:val="00556113"/>
    <w:rsid w:val="0056136A"/>
    <w:rsid w:val="00564C12"/>
    <w:rsid w:val="005654B8"/>
    <w:rsid w:val="0057012A"/>
    <w:rsid w:val="00570D94"/>
    <w:rsid w:val="00571298"/>
    <w:rsid w:val="005762CC"/>
    <w:rsid w:val="00582D3D"/>
    <w:rsid w:val="00583BC4"/>
    <w:rsid w:val="005865D3"/>
    <w:rsid w:val="00590040"/>
    <w:rsid w:val="00593F35"/>
    <w:rsid w:val="005950F3"/>
    <w:rsid w:val="00595386"/>
    <w:rsid w:val="00597234"/>
    <w:rsid w:val="005A0E21"/>
    <w:rsid w:val="005A360C"/>
    <w:rsid w:val="005A4AC0"/>
    <w:rsid w:val="005A539B"/>
    <w:rsid w:val="005A5FDF"/>
    <w:rsid w:val="005B0FB7"/>
    <w:rsid w:val="005B122A"/>
    <w:rsid w:val="005B1FCB"/>
    <w:rsid w:val="005B3843"/>
    <w:rsid w:val="005B40D9"/>
    <w:rsid w:val="005B5AC2"/>
    <w:rsid w:val="005C0C2A"/>
    <w:rsid w:val="005C2833"/>
    <w:rsid w:val="005E1129"/>
    <w:rsid w:val="005E144D"/>
    <w:rsid w:val="005E1500"/>
    <w:rsid w:val="005E3A43"/>
    <w:rsid w:val="005F0B17"/>
    <w:rsid w:val="005F3C38"/>
    <w:rsid w:val="005F6602"/>
    <w:rsid w:val="005F77C7"/>
    <w:rsid w:val="00606E9D"/>
    <w:rsid w:val="00620675"/>
    <w:rsid w:val="00622910"/>
    <w:rsid w:val="00622F50"/>
    <w:rsid w:val="006254B6"/>
    <w:rsid w:val="00627FC8"/>
    <w:rsid w:val="006433C3"/>
    <w:rsid w:val="00650F5B"/>
    <w:rsid w:val="0066085F"/>
    <w:rsid w:val="006611A6"/>
    <w:rsid w:val="00661592"/>
    <w:rsid w:val="0066379B"/>
    <w:rsid w:val="006670D7"/>
    <w:rsid w:val="006719EA"/>
    <w:rsid w:val="00671F13"/>
    <w:rsid w:val="006738DB"/>
    <w:rsid w:val="0067400A"/>
    <w:rsid w:val="00674360"/>
    <w:rsid w:val="00680804"/>
    <w:rsid w:val="006847AD"/>
    <w:rsid w:val="0069114B"/>
    <w:rsid w:val="00691527"/>
    <w:rsid w:val="006944C1"/>
    <w:rsid w:val="006964EB"/>
    <w:rsid w:val="006A756A"/>
    <w:rsid w:val="006C0EC2"/>
    <w:rsid w:val="006C11F0"/>
    <w:rsid w:val="006D66F7"/>
    <w:rsid w:val="0070176D"/>
    <w:rsid w:val="007027F3"/>
    <w:rsid w:val="00705C9D"/>
    <w:rsid w:val="00705F13"/>
    <w:rsid w:val="0070624C"/>
    <w:rsid w:val="00712539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285"/>
    <w:rsid w:val="0073182E"/>
    <w:rsid w:val="007332FF"/>
    <w:rsid w:val="007408F5"/>
    <w:rsid w:val="00741EAE"/>
    <w:rsid w:val="0074675E"/>
    <w:rsid w:val="00751030"/>
    <w:rsid w:val="00755248"/>
    <w:rsid w:val="0076043F"/>
    <w:rsid w:val="0076190B"/>
    <w:rsid w:val="0076355D"/>
    <w:rsid w:val="0076357A"/>
    <w:rsid w:val="00763861"/>
    <w:rsid w:val="00763A2D"/>
    <w:rsid w:val="007640F3"/>
    <w:rsid w:val="007676A4"/>
    <w:rsid w:val="00777795"/>
    <w:rsid w:val="00783A57"/>
    <w:rsid w:val="00784C92"/>
    <w:rsid w:val="007859CD"/>
    <w:rsid w:val="00785C24"/>
    <w:rsid w:val="00785F27"/>
    <w:rsid w:val="007907E4"/>
    <w:rsid w:val="00796461"/>
    <w:rsid w:val="007A6A4F"/>
    <w:rsid w:val="007B03F5"/>
    <w:rsid w:val="007B4963"/>
    <w:rsid w:val="007B5C09"/>
    <w:rsid w:val="007B5DA2"/>
    <w:rsid w:val="007C0966"/>
    <w:rsid w:val="007C19E7"/>
    <w:rsid w:val="007C5CFD"/>
    <w:rsid w:val="007C6D9F"/>
    <w:rsid w:val="007D24E6"/>
    <w:rsid w:val="007D4556"/>
    <w:rsid w:val="007D4893"/>
    <w:rsid w:val="007E2812"/>
    <w:rsid w:val="007E70CF"/>
    <w:rsid w:val="007E74A4"/>
    <w:rsid w:val="007F0208"/>
    <w:rsid w:val="007F1B6F"/>
    <w:rsid w:val="007F263F"/>
    <w:rsid w:val="007F47D8"/>
    <w:rsid w:val="008015A8"/>
    <w:rsid w:val="008027D8"/>
    <w:rsid w:val="008052B8"/>
    <w:rsid w:val="0080753F"/>
    <w:rsid w:val="0080766E"/>
    <w:rsid w:val="00807ADC"/>
    <w:rsid w:val="00811169"/>
    <w:rsid w:val="0081211C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46DE"/>
    <w:rsid w:val="00877150"/>
    <w:rsid w:val="00877BC5"/>
    <w:rsid w:val="00877D20"/>
    <w:rsid w:val="00881C48"/>
    <w:rsid w:val="0088266B"/>
    <w:rsid w:val="008838E8"/>
    <w:rsid w:val="008849B8"/>
    <w:rsid w:val="00885B80"/>
    <w:rsid w:val="00885C30"/>
    <w:rsid w:val="00885E9B"/>
    <w:rsid w:val="00890256"/>
    <w:rsid w:val="0089368E"/>
    <w:rsid w:val="00893C96"/>
    <w:rsid w:val="0089500A"/>
    <w:rsid w:val="00896C50"/>
    <w:rsid w:val="00897C94"/>
    <w:rsid w:val="008A4B30"/>
    <w:rsid w:val="008A7C12"/>
    <w:rsid w:val="008B03CE"/>
    <w:rsid w:val="008B529E"/>
    <w:rsid w:val="008C17FB"/>
    <w:rsid w:val="008C32E5"/>
    <w:rsid w:val="008C70BB"/>
    <w:rsid w:val="008D1B00"/>
    <w:rsid w:val="008D57B8"/>
    <w:rsid w:val="008E03FC"/>
    <w:rsid w:val="008E510B"/>
    <w:rsid w:val="008F3EA1"/>
    <w:rsid w:val="00902B13"/>
    <w:rsid w:val="00911941"/>
    <w:rsid w:val="0092024D"/>
    <w:rsid w:val="00925146"/>
    <w:rsid w:val="00925F0F"/>
    <w:rsid w:val="00927F8A"/>
    <w:rsid w:val="00932F6B"/>
    <w:rsid w:val="009444F0"/>
    <w:rsid w:val="009468BC"/>
    <w:rsid w:val="0094692B"/>
    <w:rsid w:val="00947FAE"/>
    <w:rsid w:val="009616DF"/>
    <w:rsid w:val="0096542F"/>
    <w:rsid w:val="00967FA7"/>
    <w:rsid w:val="00971645"/>
    <w:rsid w:val="009759AF"/>
    <w:rsid w:val="00977919"/>
    <w:rsid w:val="0097799E"/>
    <w:rsid w:val="00983000"/>
    <w:rsid w:val="00984CC1"/>
    <w:rsid w:val="0098679A"/>
    <w:rsid w:val="009870FA"/>
    <w:rsid w:val="009921C3"/>
    <w:rsid w:val="00994828"/>
    <w:rsid w:val="0099551D"/>
    <w:rsid w:val="009970A5"/>
    <w:rsid w:val="009A5897"/>
    <w:rsid w:val="009A5F24"/>
    <w:rsid w:val="009B0B3E"/>
    <w:rsid w:val="009B1913"/>
    <w:rsid w:val="009B2B76"/>
    <w:rsid w:val="009B6657"/>
    <w:rsid w:val="009B6966"/>
    <w:rsid w:val="009D0EB5"/>
    <w:rsid w:val="009D14F9"/>
    <w:rsid w:val="009D29E3"/>
    <w:rsid w:val="009D2B74"/>
    <w:rsid w:val="009D63FF"/>
    <w:rsid w:val="009E175D"/>
    <w:rsid w:val="009E3CC2"/>
    <w:rsid w:val="009F06BD"/>
    <w:rsid w:val="009F190C"/>
    <w:rsid w:val="009F2A4D"/>
    <w:rsid w:val="009F4FBC"/>
    <w:rsid w:val="00A00828"/>
    <w:rsid w:val="00A03290"/>
    <w:rsid w:val="00A0387E"/>
    <w:rsid w:val="00A042BF"/>
    <w:rsid w:val="00A05BFD"/>
    <w:rsid w:val="00A07490"/>
    <w:rsid w:val="00A10655"/>
    <w:rsid w:val="00A12B64"/>
    <w:rsid w:val="00A22C38"/>
    <w:rsid w:val="00A23085"/>
    <w:rsid w:val="00A25193"/>
    <w:rsid w:val="00A26E80"/>
    <w:rsid w:val="00A30FE6"/>
    <w:rsid w:val="00A31AE8"/>
    <w:rsid w:val="00A3739D"/>
    <w:rsid w:val="00A37DDA"/>
    <w:rsid w:val="00A45005"/>
    <w:rsid w:val="00A529D0"/>
    <w:rsid w:val="00A52C23"/>
    <w:rsid w:val="00A5612C"/>
    <w:rsid w:val="00A567EE"/>
    <w:rsid w:val="00A67FD4"/>
    <w:rsid w:val="00A70DD8"/>
    <w:rsid w:val="00A76790"/>
    <w:rsid w:val="00A85D0C"/>
    <w:rsid w:val="00A925EC"/>
    <w:rsid w:val="00A929AA"/>
    <w:rsid w:val="00A92B6B"/>
    <w:rsid w:val="00A93D8B"/>
    <w:rsid w:val="00A96207"/>
    <w:rsid w:val="00AA541E"/>
    <w:rsid w:val="00AB5881"/>
    <w:rsid w:val="00AC0531"/>
    <w:rsid w:val="00AC0DB1"/>
    <w:rsid w:val="00AC4E60"/>
    <w:rsid w:val="00AC7EC8"/>
    <w:rsid w:val="00AD0DA4"/>
    <w:rsid w:val="00AD4169"/>
    <w:rsid w:val="00AD4227"/>
    <w:rsid w:val="00AD6C42"/>
    <w:rsid w:val="00AD6EAE"/>
    <w:rsid w:val="00AE0C67"/>
    <w:rsid w:val="00AE25C6"/>
    <w:rsid w:val="00AE306C"/>
    <w:rsid w:val="00AF04E9"/>
    <w:rsid w:val="00AF28C1"/>
    <w:rsid w:val="00AF508F"/>
    <w:rsid w:val="00B02EF1"/>
    <w:rsid w:val="00B07C97"/>
    <w:rsid w:val="00B11C67"/>
    <w:rsid w:val="00B13CFA"/>
    <w:rsid w:val="00B14257"/>
    <w:rsid w:val="00B15754"/>
    <w:rsid w:val="00B16002"/>
    <w:rsid w:val="00B2046E"/>
    <w:rsid w:val="00B20E8B"/>
    <w:rsid w:val="00B257E1"/>
    <w:rsid w:val="00B2599A"/>
    <w:rsid w:val="00B27AC4"/>
    <w:rsid w:val="00B32084"/>
    <w:rsid w:val="00B343CC"/>
    <w:rsid w:val="00B34F19"/>
    <w:rsid w:val="00B413D6"/>
    <w:rsid w:val="00B5084A"/>
    <w:rsid w:val="00B52749"/>
    <w:rsid w:val="00B57164"/>
    <w:rsid w:val="00B606A1"/>
    <w:rsid w:val="00B614F7"/>
    <w:rsid w:val="00B61B26"/>
    <w:rsid w:val="00B63D1D"/>
    <w:rsid w:val="00B643FB"/>
    <w:rsid w:val="00B65E6B"/>
    <w:rsid w:val="00B673DA"/>
    <w:rsid w:val="00B675B2"/>
    <w:rsid w:val="00B81261"/>
    <w:rsid w:val="00B8223E"/>
    <w:rsid w:val="00B832AE"/>
    <w:rsid w:val="00B86678"/>
    <w:rsid w:val="00B92F9B"/>
    <w:rsid w:val="00B941B3"/>
    <w:rsid w:val="00B96513"/>
    <w:rsid w:val="00B97834"/>
    <w:rsid w:val="00BA1D47"/>
    <w:rsid w:val="00BA66F0"/>
    <w:rsid w:val="00BB2239"/>
    <w:rsid w:val="00BB2AE7"/>
    <w:rsid w:val="00BB2B13"/>
    <w:rsid w:val="00BB6464"/>
    <w:rsid w:val="00BB7226"/>
    <w:rsid w:val="00BC1BB8"/>
    <w:rsid w:val="00BD2752"/>
    <w:rsid w:val="00BD7FE1"/>
    <w:rsid w:val="00BE1D35"/>
    <w:rsid w:val="00BE37CA"/>
    <w:rsid w:val="00BE6144"/>
    <w:rsid w:val="00BE635A"/>
    <w:rsid w:val="00BF0BB7"/>
    <w:rsid w:val="00BF17E9"/>
    <w:rsid w:val="00BF1F5A"/>
    <w:rsid w:val="00BF2ABB"/>
    <w:rsid w:val="00BF5099"/>
    <w:rsid w:val="00C10B5E"/>
    <w:rsid w:val="00C10F10"/>
    <w:rsid w:val="00C11E9E"/>
    <w:rsid w:val="00C15D4D"/>
    <w:rsid w:val="00C175DC"/>
    <w:rsid w:val="00C17B08"/>
    <w:rsid w:val="00C30171"/>
    <w:rsid w:val="00C309D8"/>
    <w:rsid w:val="00C330AA"/>
    <w:rsid w:val="00C35670"/>
    <w:rsid w:val="00C37BD6"/>
    <w:rsid w:val="00C43519"/>
    <w:rsid w:val="00C45263"/>
    <w:rsid w:val="00C51537"/>
    <w:rsid w:val="00C52BC3"/>
    <w:rsid w:val="00C5373F"/>
    <w:rsid w:val="00C55CB9"/>
    <w:rsid w:val="00C61AFA"/>
    <w:rsid w:val="00C61D64"/>
    <w:rsid w:val="00C62099"/>
    <w:rsid w:val="00C62A34"/>
    <w:rsid w:val="00C64DFC"/>
    <w:rsid w:val="00C64EA3"/>
    <w:rsid w:val="00C72867"/>
    <w:rsid w:val="00C75E81"/>
    <w:rsid w:val="00C82FAA"/>
    <w:rsid w:val="00C83BB6"/>
    <w:rsid w:val="00C86609"/>
    <w:rsid w:val="00C9216A"/>
    <w:rsid w:val="00C92B4C"/>
    <w:rsid w:val="00C954F6"/>
    <w:rsid w:val="00C95508"/>
    <w:rsid w:val="00CA16B9"/>
    <w:rsid w:val="00CA2A71"/>
    <w:rsid w:val="00CA36A0"/>
    <w:rsid w:val="00CA6BC5"/>
    <w:rsid w:val="00CA72B3"/>
    <w:rsid w:val="00CB165F"/>
    <w:rsid w:val="00CB6A3D"/>
    <w:rsid w:val="00CC1208"/>
    <w:rsid w:val="00CC1EAF"/>
    <w:rsid w:val="00CC571B"/>
    <w:rsid w:val="00CC61CD"/>
    <w:rsid w:val="00CC6C02"/>
    <w:rsid w:val="00CC737B"/>
    <w:rsid w:val="00CD01AF"/>
    <w:rsid w:val="00CD5011"/>
    <w:rsid w:val="00CE640F"/>
    <w:rsid w:val="00CE76BC"/>
    <w:rsid w:val="00CF1D3A"/>
    <w:rsid w:val="00CF540E"/>
    <w:rsid w:val="00CF6651"/>
    <w:rsid w:val="00D02F07"/>
    <w:rsid w:val="00D0566D"/>
    <w:rsid w:val="00D15D88"/>
    <w:rsid w:val="00D170F3"/>
    <w:rsid w:val="00D27D49"/>
    <w:rsid w:val="00D27EBE"/>
    <w:rsid w:val="00D357F9"/>
    <w:rsid w:val="00D36A49"/>
    <w:rsid w:val="00D47DC7"/>
    <w:rsid w:val="00D504DA"/>
    <w:rsid w:val="00D517C6"/>
    <w:rsid w:val="00D60D1A"/>
    <w:rsid w:val="00D60DBC"/>
    <w:rsid w:val="00D71D84"/>
    <w:rsid w:val="00D72049"/>
    <w:rsid w:val="00D72464"/>
    <w:rsid w:val="00D72A57"/>
    <w:rsid w:val="00D768EB"/>
    <w:rsid w:val="00D81E17"/>
    <w:rsid w:val="00D82D1E"/>
    <w:rsid w:val="00D832D9"/>
    <w:rsid w:val="00D90F00"/>
    <w:rsid w:val="00D918B8"/>
    <w:rsid w:val="00D96804"/>
    <w:rsid w:val="00D975C0"/>
    <w:rsid w:val="00DA4351"/>
    <w:rsid w:val="00DA5285"/>
    <w:rsid w:val="00DB191D"/>
    <w:rsid w:val="00DB4F91"/>
    <w:rsid w:val="00DB6D0A"/>
    <w:rsid w:val="00DC043C"/>
    <w:rsid w:val="00DC06BE"/>
    <w:rsid w:val="00DC1F0F"/>
    <w:rsid w:val="00DC3117"/>
    <w:rsid w:val="00DC4E2A"/>
    <w:rsid w:val="00DC5DD9"/>
    <w:rsid w:val="00DC6D2D"/>
    <w:rsid w:val="00DD16E7"/>
    <w:rsid w:val="00DD215E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22D8"/>
    <w:rsid w:val="00E15816"/>
    <w:rsid w:val="00E160D5"/>
    <w:rsid w:val="00E16807"/>
    <w:rsid w:val="00E239FF"/>
    <w:rsid w:val="00E26192"/>
    <w:rsid w:val="00E27D7B"/>
    <w:rsid w:val="00E30556"/>
    <w:rsid w:val="00E30981"/>
    <w:rsid w:val="00E33136"/>
    <w:rsid w:val="00E34D7C"/>
    <w:rsid w:val="00E3723D"/>
    <w:rsid w:val="00E42D18"/>
    <w:rsid w:val="00E43C83"/>
    <w:rsid w:val="00E44C89"/>
    <w:rsid w:val="00E457A6"/>
    <w:rsid w:val="00E53D5D"/>
    <w:rsid w:val="00E54F9E"/>
    <w:rsid w:val="00E61BA2"/>
    <w:rsid w:val="00E63864"/>
    <w:rsid w:val="00E6403F"/>
    <w:rsid w:val="00E75451"/>
    <w:rsid w:val="00E75EA9"/>
    <w:rsid w:val="00E76AD6"/>
    <w:rsid w:val="00E770C4"/>
    <w:rsid w:val="00E83AD9"/>
    <w:rsid w:val="00E84C5A"/>
    <w:rsid w:val="00E861DB"/>
    <w:rsid w:val="00E908F1"/>
    <w:rsid w:val="00E90DDA"/>
    <w:rsid w:val="00E92C20"/>
    <w:rsid w:val="00E93406"/>
    <w:rsid w:val="00E956C5"/>
    <w:rsid w:val="00E95C39"/>
    <w:rsid w:val="00EA04FF"/>
    <w:rsid w:val="00EA2C39"/>
    <w:rsid w:val="00EA567B"/>
    <w:rsid w:val="00EB0A3C"/>
    <w:rsid w:val="00EB0A96"/>
    <w:rsid w:val="00EB77F9"/>
    <w:rsid w:val="00EC4C4E"/>
    <w:rsid w:val="00EC560D"/>
    <w:rsid w:val="00EC5769"/>
    <w:rsid w:val="00EC7D00"/>
    <w:rsid w:val="00ED0304"/>
    <w:rsid w:val="00ED35E0"/>
    <w:rsid w:val="00ED4FF7"/>
    <w:rsid w:val="00ED5B7B"/>
    <w:rsid w:val="00ED6D4E"/>
    <w:rsid w:val="00EE38FA"/>
    <w:rsid w:val="00EE3E2C"/>
    <w:rsid w:val="00EE4464"/>
    <w:rsid w:val="00EE5D23"/>
    <w:rsid w:val="00EE750D"/>
    <w:rsid w:val="00EF1451"/>
    <w:rsid w:val="00EF3CA4"/>
    <w:rsid w:val="00EF49A8"/>
    <w:rsid w:val="00EF7859"/>
    <w:rsid w:val="00F014DA"/>
    <w:rsid w:val="00F02591"/>
    <w:rsid w:val="00F0649E"/>
    <w:rsid w:val="00F30AE1"/>
    <w:rsid w:val="00F31C18"/>
    <w:rsid w:val="00F3234F"/>
    <w:rsid w:val="00F46D79"/>
    <w:rsid w:val="00F534A2"/>
    <w:rsid w:val="00F5473F"/>
    <w:rsid w:val="00F5696E"/>
    <w:rsid w:val="00F60EFF"/>
    <w:rsid w:val="00F6302F"/>
    <w:rsid w:val="00F65104"/>
    <w:rsid w:val="00F67D2D"/>
    <w:rsid w:val="00F73272"/>
    <w:rsid w:val="00F84C1A"/>
    <w:rsid w:val="00F858F2"/>
    <w:rsid w:val="00F860CC"/>
    <w:rsid w:val="00F938C5"/>
    <w:rsid w:val="00F94398"/>
    <w:rsid w:val="00FA41E0"/>
    <w:rsid w:val="00FB2B56"/>
    <w:rsid w:val="00FB3D52"/>
    <w:rsid w:val="00FB3E3F"/>
    <w:rsid w:val="00FB466F"/>
    <w:rsid w:val="00FB55D5"/>
    <w:rsid w:val="00FC0E15"/>
    <w:rsid w:val="00FC12BF"/>
    <w:rsid w:val="00FC2C60"/>
    <w:rsid w:val="00FC2CD4"/>
    <w:rsid w:val="00FD3E6F"/>
    <w:rsid w:val="00FD48EF"/>
    <w:rsid w:val="00FD51B9"/>
    <w:rsid w:val="00FD57A5"/>
    <w:rsid w:val="00FD5849"/>
    <w:rsid w:val="00FE03E4"/>
    <w:rsid w:val="00FE15CB"/>
    <w:rsid w:val="00FE2A39"/>
    <w:rsid w:val="00FE2FBB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26067"/>
  <w15:docId w15:val="{2D0CCCEB-DB22-0649-BFF3-3A756A1C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C4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C42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D6C42"/>
    <w:rPr>
      <w:vertAlign w:val="superscript"/>
    </w:rPr>
  </w:style>
  <w:style w:type="table" w:customStyle="1" w:styleId="NTGtable1">
    <w:name w:val="NTG table 1"/>
    <w:basedOn w:val="TableNormal"/>
    <w:uiPriority w:val="99"/>
    <w:rsid w:val="00D504DA"/>
    <w:pPr>
      <w:spacing w:before="40" w:after="40"/>
    </w:pPr>
    <w:rPr>
      <w:rFonts w:ascii="Lato" w:hAnsi="Lato" w:cs="Arial"/>
    </w:rPr>
    <w:tblPr>
      <w:tblStyleRowBandSize w:val="1"/>
      <w:tblInd w:w="0" w:type="nil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Revision">
    <w:name w:val="Revision"/>
    <w:hidden/>
    <w:uiPriority w:val="99"/>
    <w:semiHidden/>
    <w:rsid w:val="00A30FE6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033F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F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F9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F97"/>
    <w:rPr>
      <w:rFonts w:ascii="Lato" w:hAnsi="Lat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C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cation.nt.gov.au/education/reviews-and-consultations/education-act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education.nt.gov.au/education/reviews-and-consultations/education-act" TargetMode="External"/><Relationship Id="rId17" Type="http://schemas.openxmlformats.org/officeDocument/2006/relationships/hyperlink" Target="mailto:enrolattend.policy@education.nt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t.gov.au/Legislation/FINES-AND-PENALTIES-RECOVERY-ACT-2001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on.nt.gov.au/education/reviews-and-consultations/education-act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egislation.nt.gov.au/Legislation/EDUCATION-REGULATIONS-2015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education.nt.gov.au/education/reviews-and-consultations/education-act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education.nt.gov.au/education/reviews-and-consultations/education-act" TargetMode="External"/><Relationship Id="rId14" Type="http://schemas.openxmlformats.org/officeDocument/2006/relationships/hyperlink" Target="https://legislation.nt.gov.au/Legislation/EDUCATION-ACT-2015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C6F91C4EE24C00BD20B782989F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CEA10-F16B-44FC-8201-6E9DB31C359E}"/>
      </w:docPartPr>
      <w:docPartBody>
        <w:p w:rsidR="00C02D22" w:rsidRDefault="00722F93" w:rsidP="00722F93">
          <w:pPr>
            <w:pStyle w:val="AAC6F91C4EE24C00BD20B782989FFD85"/>
          </w:pPr>
          <w:r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93"/>
    <w:rsid w:val="00086562"/>
    <w:rsid w:val="000F0F58"/>
    <w:rsid w:val="00102976"/>
    <w:rsid w:val="001E0F87"/>
    <w:rsid w:val="00253BBB"/>
    <w:rsid w:val="00332352"/>
    <w:rsid w:val="00653BDE"/>
    <w:rsid w:val="00722F93"/>
    <w:rsid w:val="00736FAC"/>
    <w:rsid w:val="007A41C3"/>
    <w:rsid w:val="00893545"/>
    <w:rsid w:val="008C261F"/>
    <w:rsid w:val="008F6853"/>
    <w:rsid w:val="0097257F"/>
    <w:rsid w:val="00A01B26"/>
    <w:rsid w:val="00AA4AE6"/>
    <w:rsid w:val="00AE20F1"/>
    <w:rsid w:val="00B02C0E"/>
    <w:rsid w:val="00BD7E42"/>
    <w:rsid w:val="00C02D22"/>
    <w:rsid w:val="00DF7048"/>
    <w:rsid w:val="00F93514"/>
    <w:rsid w:val="00FA13C4"/>
    <w:rsid w:val="00FB0ABC"/>
    <w:rsid w:val="00F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F93"/>
  </w:style>
  <w:style w:type="paragraph" w:customStyle="1" w:styleId="AAC6F91C4EE24C00BD20B782989FFD85">
    <w:name w:val="AAC6F91C4EE24C00BD20B782989FFD85"/>
    <w:rsid w:val="00722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2022-05-27T00:00:00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9364C5-90BA-4C78-A3FA-F6B2D14DC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and attendance enforcement – procedures</vt:lpstr>
    </vt:vector>
  </TitlesOfParts>
  <Company>&lt;NAME&gt;</Company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and attendance enforcement – procedures</dc:title>
  <dc:creator>Northern Territory Government</dc:creator>
  <cp:lastModifiedBy>Clare Cross</cp:lastModifiedBy>
  <cp:revision>2</cp:revision>
  <cp:lastPrinted>2019-07-29T01:45:00Z</cp:lastPrinted>
  <dcterms:created xsi:type="dcterms:W3CDTF">2024-08-12T01:40:00Z</dcterms:created>
  <dcterms:modified xsi:type="dcterms:W3CDTF">2024-08-12T01:40:00Z</dcterms:modified>
</cp:coreProperties>
</file>