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6B10F" w14:textId="4DC628D6" w:rsidR="00086399" w:rsidRDefault="00D4292E" w:rsidP="00086399">
      <w:pPr>
        <w:rPr>
          <w:lang w:eastAsia="en-AU"/>
        </w:rPr>
      </w:pPr>
      <w:bookmarkStart w:id="0" w:name="_GoBack"/>
      <w:bookmarkEnd w:id="0"/>
      <w:r>
        <w:rPr>
          <w:lang w:eastAsia="en-AU"/>
        </w:rPr>
        <w:t>Disclaimer: this information sheet is not intended to be used as legal advice or as policy</w:t>
      </w:r>
      <w:r w:rsidR="00107DA1">
        <w:rPr>
          <w:lang w:eastAsia="en-AU"/>
        </w:rPr>
        <w:t>. I</w:t>
      </w:r>
      <w:r>
        <w:rPr>
          <w:lang w:eastAsia="en-AU"/>
        </w:rPr>
        <w:t xml:space="preserve">t is to be used to inform those who are unsure of what a duty of care is and </w:t>
      </w:r>
      <w:r w:rsidR="00107DA1">
        <w:rPr>
          <w:lang w:eastAsia="en-AU"/>
        </w:rPr>
        <w:t xml:space="preserve">to </w:t>
      </w:r>
      <w:r>
        <w:rPr>
          <w:lang w:eastAsia="en-AU"/>
        </w:rPr>
        <w:t>whom a duty of care is owed.</w:t>
      </w:r>
    </w:p>
    <w:p w14:paraId="62B1B9AC" w14:textId="108DFF14" w:rsidR="009E306F" w:rsidRDefault="00D4292E" w:rsidP="00D4292E">
      <w:pPr>
        <w:pStyle w:val="Heading1"/>
        <w:rPr>
          <w:lang w:eastAsia="en-AU"/>
        </w:rPr>
      </w:pPr>
      <w:r>
        <w:rPr>
          <w:lang w:eastAsia="en-AU"/>
        </w:rPr>
        <w:t>Purpose</w:t>
      </w:r>
    </w:p>
    <w:p w14:paraId="2730DD6F" w14:textId="643DB148" w:rsidR="00D4292E" w:rsidRDefault="00D4292E" w:rsidP="00D4292E">
      <w:pPr>
        <w:rPr>
          <w:lang w:eastAsia="en-AU"/>
        </w:rPr>
      </w:pPr>
      <w:r>
        <w:rPr>
          <w:lang w:eastAsia="en-AU"/>
        </w:rPr>
        <w:t>Everyone owes a duty of care to those around them. A higher level of duty exists for all school staff, towards every student under his or her supervision</w:t>
      </w:r>
      <w:r w:rsidR="00061573">
        <w:rPr>
          <w:lang w:eastAsia="en-AU"/>
        </w:rPr>
        <w:t>,</w:t>
      </w:r>
      <w:r>
        <w:rPr>
          <w:lang w:eastAsia="en-AU"/>
        </w:rPr>
        <w:t xml:space="preserve"> by virtue of the conditions of their employment and the common law principles of negligence. All persons on school grounds should be aware of the context in which they are operating, as it has an effect on the level of duty of care owed.</w:t>
      </w:r>
    </w:p>
    <w:p w14:paraId="00267CEB" w14:textId="75A1A80E" w:rsidR="00D4292E" w:rsidRDefault="00D4292E" w:rsidP="00D4292E">
      <w:pPr>
        <w:pStyle w:val="Heading1"/>
        <w:rPr>
          <w:lang w:eastAsia="en-AU"/>
        </w:rPr>
      </w:pPr>
      <w:r>
        <w:rPr>
          <w:lang w:eastAsia="en-AU"/>
        </w:rPr>
        <w:t>Roles and responsibilities</w:t>
      </w:r>
    </w:p>
    <w:p w14:paraId="18ABB3EF" w14:textId="697EEB59" w:rsidR="00D4292E" w:rsidRDefault="00D4292E" w:rsidP="0079328C">
      <w:pPr>
        <w:spacing w:after="120"/>
        <w:rPr>
          <w:lang w:eastAsia="en-AU"/>
        </w:rPr>
      </w:pPr>
      <w:r>
        <w:rPr>
          <w:lang w:eastAsia="en-AU"/>
        </w:rPr>
        <w:t xml:space="preserve">Generally speaking, school staff owe students a duty to take reasonable care to protect </w:t>
      </w:r>
      <w:r w:rsidR="00897CCA">
        <w:rPr>
          <w:lang w:eastAsia="en-AU"/>
        </w:rPr>
        <w:t>them</w:t>
      </w:r>
      <w:r>
        <w:rPr>
          <w:lang w:eastAsia="en-AU"/>
        </w:rPr>
        <w:t xml:space="preserve"> from a reasonably foreseeable risk of injury. This duty may be manifested in different ways, including:</w:t>
      </w:r>
    </w:p>
    <w:p w14:paraId="0E228BAE" w14:textId="387714EC" w:rsidR="00D4292E" w:rsidRDefault="00D4292E" w:rsidP="0079328C">
      <w:pPr>
        <w:pStyle w:val="ListParagraph"/>
        <w:numPr>
          <w:ilvl w:val="0"/>
          <w:numId w:val="49"/>
        </w:numPr>
        <w:ind w:left="851" w:hanging="284"/>
        <w:rPr>
          <w:lang w:eastAsia="en-AU"/>
        </w:rPr>
      </w:pPr>
      <w:r>
        <w:rPr>
          <w:lang w:eastAsia="en-AU"/>
        </w:rPr>
        <w:t>the duty to supervise the students so that they comply with rules and practices designed for their own safety and that of other students</w:t>
      </w:r>
    </w:p>
    <w:p w14:paraId="5E5539FF" w14:textId="75B32A57" w:rsidR="00D4292E" w:rsidRDefault="00D4292E" w:rsidP="0079328C">
      <w:pPr>
        <w:pStyle w:val="ListParagraph"/>
        <w:numPr>
          <w:ilvl w:val="0"/>
          <w:numId w:val="49"/>
        </w:numPr>
        <w:ind w:left="851" w:hanging="284"/>
        <w:rPr>
          <w:lang w:eastAsia="en-AU"/>
        </w:rPr>
      </w:pPr>
      <w:r>
        <w:rPr>
          <w:lang w:eastAsia="en-AU"/>
        </w:rPr>
        <w:t>the duty to design and implement appropriate programs and procedures to ensure the safety of students</w:t>
      </w:r>
    </w:p>
    <w:p w14:paraId="16A2AD1F" w14:textId="66171016" w:rsidR="00D4292E" w:rsidRDefault="00D4292E" w:rsidP="0079328C">
      <w:pPr>
        <w:pStyle w:val="ListParagraph"/>
        <w:numPr>
          <w:ilvl w:val="0"/>
          <w:numId w:val="49"/>
        </w:numPr>
        <w:spacing w:after="200"/>
        <w:ind w:left="851" w:hanging="284"/>
        <w:rPr>
          <w:lang w:eastAsia="en-AU"/>
        </w:rPr>
      </w:pPr>
      <w:r>
        <w:rPr>
          <w:lang w:eastAsia="en-AU"/>
        </w:rPr>
        <w:t>the duty to warn students about dangerous situations or practices.</w:t>
      </w:r>
    </w:p>
    <w:p w14:paraId="76F8C5D2" w14:textId="46197322" w:rsidR="00D4292E" w:rsidRDefault="00D4292E" w:rsidP="00D4292E">
      <w:pPr>
        <w:rPr>
          <w:lang w:eastAsia="en-AU"/>
        </w:rPr>
      </w:pPr>
      <w:r>
        <w:rPr>
          <w:lang w:eastAsia="en-AU"/>
        </w:rPr>
        <w:t xml:space="preserve">This list is not exhaustive. </w:t>
      </w:r>
      <w:r w:rsidR="00ED482C">
        <w:rPr>
          <w:lang w:eastAsia="en-AU"/>
        </w:rPr>
        <w:t>Essentially</w:t>
      </w:r>
      <w:r>
        <w:rPr>
          <w:lang w:eastAsia="en-AU"/>
        </w:rPr>
        <w:t>, the duty is to do what is reasonable in response to the duty in a given situation. The question of what is reasonable in a given instance is decided by the court in the event of litigation, but it is for the individual teacher, the principal and the department to comply with objectively reasonable practice.</w:t>
      </w:r>
    </w:p>
    <w:p w14:paraId="327F60AF" w14:textId="168707DF" w:rsidR="00D4292E" w:rsidRDefault="00D4292E" w:rsidP="00D4292E">
      <w:pPr>
        <w:rPr>
          <w:lang w:eastAsia="en-AU"/>
        </w:rPr>
      </w:pPr>
      <w:r>
        <w:rPr>
          <w:lang w:eastAsia="en-AU"/>
        </w:rPr>
        <w:t>Teachers cannot delegate the duty of care they owe to students. Other school staff may be left in charge if a teacher needs to leave the classroom for a period of time but responsibility for the students' health, safety and welfare rests with the supervising or controlling teacher.</w:t>
      </w:r>
    </w:p>
    <w:p w14:paraId="5545AB23" w14:textId="5962AD93" w:rsidR="007D1291" w:rsidRDefault="00855EFF" w:rsidP="00D4292E">
      <w:pPr>
        <w:rPr>
          <w:lang w:eastAsia="en-AU"/>
        </w:rPr>
      </w:pPr>
      <w:r>
        <w:rPr>
          <w:lang w:eastAsia="en-AU"/>
        </w:rPr>
        <w:t>S</w:t>
      </w:r>
      <w:r w:rsidR="007D1291" w:rsidRPr="007D1291">
        <w:rPr>
          <w:lang w:eastAsia="en-AU"/>
        </w:rPr>
        <w:t xml:space="preserve">chool staff should take a risk management approach to all activities; those who act carefully and sensibly, and plan and supervise activities properly, should not fear </w:t>
      </w:r>
      <w:proofErr w:type="gramStart"/>
      <w:r w:rsidR="007D1291" w:rsidRPr="007D1291">
        <w:rPr>
          <w:lang w:eastAsia="en-AU"/>
        </w:rPr>
        <w:t>being</w:t>
      </w:r>
      <w:proofErr w:type="gramEnd"/>
      <w:r w:rsidR="007D1291" w:rsidRPr="007D1291">
        <w:rPr>
          <w:lang w:eastAsia="en-AU"/>
        </w:rPr>
        <w:t xml:space="preserve"> sued for injuries suffered by students.</w:t>
      </w:r>
    </w:p>
    <w:p w14:paraId="6502D686" w14:textId="3A5077F9" w:rsidR="007D1291" w:rsidRDefault="007D1291" w:rsidP="007D1291">
      <w:pPr>
        <w:pStyle w:val="Heading2"/>
        <w:rPr>
          <w:lang w:eastAsia="en-AU"/>
        </w:rPr>
      </w:pPr>
      <w:r>
        <w:rPr>
          <w:lang w:eastAsia="en-AU"/>
        </w:rPr>
        <w:t>Common law negligence</w:t>
      </w:r>
    </w:p>
    <w:p w14:paraId="5A5B3F68" w14:textId="77777777" w:rsidR="007D1291" w:rsidRDefault="007D1291" w:rsidP="008121E5">
      <w:pPr>
        <w:spacing w:after="120"/>
        <w:rPr>
          <w:lang w:eastAsia="en-AU"/>
        </w:rPr>
      </w:pPr>
      <w:r>
        <w:rPr>
          <w:lang w:eastAsia="en-AU"/>
        </w:rPr>
        <w:t>In order for a liability in negligence to be established, it must be proved that:</w:t>
      </w:r>
    </w:p>
    <w:p w14:paraId="799C4E0C" w14:textId="15713B36" w:rsidR="007D1291" w:rsidRDefault="007D1291" w:rsidP="008121E5">
      <w:pPr>
        <w:pStyle w:val="ListParagraph"/>
        <w:numPr>
          <w:ilvl w:val="0"/>
          <w:numId w:val="49"/>
        </w:numPr>
        <w:ind w:left="851" w:hanging="284"/>
        <w:rPr>
          <w:lang w:eastAsia="en-AU"/>
        </w:rPr>
      </w:pPr>
      <w:r>
        <w:rPr>
          <w:lang w:eastAsia="en-AU"/>
        </w:rPr>
        <w:t>a duty of care was owed in the circumstances</w:t>
      </w:r>
    </w:p>
    <w:p w14:paraId="7C6B1752" w14:textId="45E4BB41" w:rsidR="007D1291" w:rsidRDefault="007D1291" w:rsidP="008121E5">
      <w:pPr>
        <w:pStyle w:val="ListParagraph"/>
        <w:numPr>
          <w:ilvl w:val="0"/>
          <w:numId w:val="49"/>
        </w:numPr>
        <w:ind w:left="851" w:hanging="284"/>
        <w:rPr>
          <w:lang w:eastAsia="en-AU"/>
        </w:rPr>
      </w:pPr>
      <w:r>
        <w:rPr>
          <w:lang w:eastAsia="en-AU"/>
        </w:rPr>
        <w:t>the duty was breached, because of an act or omission on the part of the person owing the duty</w:t>
      </w:r>
    </w:p>
    <w:p w14:paraId="336A9376" w14:textId="773B6578" w:rsidR="007D1291" w:rsidRDefault="007D1291" w:rsidP="008121E5">
      <w:pPr>
        <w:pStyle w:val="ListParagraph"/>
        <w:numPr>
          <w:ilvl w:val="0"/>
          <w:numId w:val="49"/>
        </w:numPr>
        <w:ind w:left="851" w:hanging="284"/>
        <w:rPr>
          <w:lang w:eastAsia="en-AU"/>
        </w:rPr>
      </w:pPr>
      <w:r>
        <w:rPr>
          <w:lang w:eastAsia="en-AU"/>
        </w:rPr>
        <w:t>a loss or injury is suffered as result of the breach</w:t>
      </w:r>
    </w:p>
    <w:p w14:paraId="3387B3C3" w14:textId="662524FA" w:rsidR="007D1291" w:rsidRDefault="007D1291" w:rsidP="008121E5">
      <w:pPr>
        <w:pStyle w:val="ListParagraph"/>
        <w:numPr>
          <w:ilvl w:val="0"/>
          <w:numId w:val="49"/>
        </w:numPr>
        <w:spacing w:after="200"/>
        <w:ind w:left="851" w:hanging="284"/>
        <w:rPr>
          <w:lang w:eastAsia="en-AU"/>
        </w:rPr>
      </w:pPr>
      <w:r>
        <w:rPr>
          <w:lang w:eastAsia="en-AU"/>
        </w:rPr>
        <w:t>the type of loss or injury suffered was a reasonably foreseeable consequence of the act or omission</w:t>
      </w:r>
      <w:r w:rsidR="00607167">
        <w:rPr>
          <w:lang w:eastAsia="en-AU"/>
        </w:rPr>
        <w:t>.</w:t>
      </w:r>
    </w:p>
    <w:p w14:paraId="1EF0AC50" w14:textId="77777777" w:rsidR="008121E5" w:rsidRDefault="008121E5" w:rsidP="007D1291">
      <w:pPr>
        <w:rPr>
          <w:lang w:eastAsia="en-AU"/>
        </w:rPr>
      </w:pPr>
      <w:r>
        <w:rPr>
          <w:lang w:eastAsia="en-AU"/>
        </w:rPr>
        <w:br w:type="page"/>
      </w:r>
    </w:p>
    <w:p w14:paraId="3EB5E38E" w14:textId="6D883F48" w:rsidR="007D1291" w:rsidRDefault="007D1291" w:rsidP="007D1291">
      <w:pPr>
        <w:rPr>
          <w:lang w:eastAsia="en-AU"/>
        </w:rPr>
      </w:pPr>
      <w:r>
        <w:rPr>
          <w:lang w:eastAsia="en-AU"/>
        </w:rPr>
        <w:lastRenderedPageBreak/>
        <w:t>The standard of care owed to a student will vary according to the circumstance. If the standard of care required in a particular situation is not met and a student suffers loss or injury, a liability in the common law tort of negligence will arise. If such liability is established, a parent or student may make a claim for damages, which is financial compensation for all foreseeable loss both economic and non-economic arising from the negligence subject to the operation of the Act.</w:t>
      </w:r>
    </w:p>
    <w:p w14:paraId="3C174C32" w14:textId="112EBB5A" w:rsidR="007D1291" w:rsidRPr="007D1291" w:rsidRDefault="007D1291" w:rsidP="007D1291">
      <w:pPr>
        <w:rPr>
          <w:lang w:eastAsia="en-AU"/>
        </w:rPr>
      </w:pPr>
      <w:r>
        <w:rPr>
          <w:lang w:eastAsia="en-AU"/>
        </w:rPr>
        <w:t>The Northern Territory is vicariously liable for the torts of its employees</w:t>
      </w:r>
      <w:r w:rsidR="00EA65A7">
        <w:rPr>
          <w:lang w:eastAsia="en-AU"/>
        </w:rPr>
        <w:t>,</w:t>
      </w:r>
      <w:r>
        <w:rPr>
          <w:lang w:eastAsia="en-AU"/>
        </w:rPr>
        <w:t xml:space="preserve"> except where such torts arise from serious and wilful, or gross, misconduct in the course of employment, which means that any common law claims will be issued against the Northern Territory as employer generally rather than against an individual teacher or school. With this said, the </w:t>
      </w:r>
      <w:r w:rsidR="00EA65A7">
        <w:rPr>
          <w:lang w:eastAsia="en-AU"/>
        </w:rPr>
        <w:t>D</w:t>
      </w:r>
      <w:r>
        <w:rPr>
          <w:lang w:eastAsia="en-AU"/>
        </w:rPr>
        <w:t xml:space="preserve">epartment </w:t>
      </w:r>
      <w:r w:rsidR="00EA65A7">
        <w:rPr>
          <w:lang w:eastAsia="en-AU"/>
        </w:rPr>
        <w:t xml:space="preserve">of Education </w:t>
      </w:r>
      <w:r>
        <w:rPr>
          <w:lang w:eastAsia="en-AU"/>
        </w:rPr>
        <w:t>may take disciplinary action against an employee in relation to a breach of duty of care.</w:t>
      </w:r>
    </w:p>
    <w:p w14:paraId="375C26F1" w14:textId="533B2475" w:rsidR="00D4292E" w:rsidRDefault="00D4292E" w:rsidP="00D4292E">
      <w:pPr>
        <w:pStyle w:val="Heading1"/>
        <w:rPr>
          <w:lang w:eastAsia="en-AU"/>
        </w:rPr>
      </w:pPr>
      <w:r>
        <w:rPr>
          <w:lang w:eastAsia="en-AU"/>
        </w:rPr>
        <w:t>Definitions</w:t>
      </w:r>
    </w:p>
    <w:tbl>
      <w:tblPr>
        <w:tblStyle w:val="NTGtable1"/>
        <w:tblW w:w="0" w:type="auto"/>
        <w:tblLook w:val="04A0" w:firstRow="1" w:lastRow="0" w:firstColumn="1" w:lastColumn="0" w:noHBand="0" w:noVBand="1"/>
      </w:tblPr>
      <w:tblGrid>
        <w:gridCol w:w="1980"/>
        <w:gridCol w:w="8328"/>
      </w:tblGrid>
      <w:tr w:rsidR="003D5891" w14:paraId="3BDC6B46" w14:textId="77777777" w:rsidTr="003D5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1F1F5F" w:themeColor="text1"/>
              <w:bottom w:val="single" w:sz="4" w:space="0" w:color="auto"/>
            </w:tcBorders>
            <w:tcMar>
              <w:top w:w="57" w:type="dxa"/>
              <w:bottom w:w="57" w:type="dxa"/>
            </w:tcMar>
          </w:tcPr>
          <w:p w14:paraId="4236C8A7" w14:textId="77777777" w:rsidR="003D5891" w:rsidRDefault="003D5891" w:rsidP="003D5891">
            <w:pPr>
              <w:spacing w:before="0" w:after="0"/>
              <w:rPr>
                <w:lang w:eastAsia="en-AU"/>
              </w:rPr>
            </w:pPr>
            <w:r>
              <w:rPr>
                <w:lang w:eastAsia="en-AU"/>
              </w:rPr>
              <w:t>Term</w:t>
            </w:r>
          </w:p>
        </w:tc>
        <w:tc>
          <w:tcPr>
            <w:tcW w:w="8328" w:type="dxa"/>
            <w:tcBorders>
              <w:top w:val="single" w:sz="4" w:space="0" w:color="1F1F5F" w:themeColor="text1"/>
              <w:bottom w:val="single" w:sz="4" w:space="0" w:color="auto"/>
            </w:tcBorders>
            <w:tcMar>
              <w:top w:w="57" w:type="dxa"/>
              <w:bottom w:w="57" w:type="dxa"/>
            </w:tcMar>
          </w:tcPr>
          <w:p w14:paraId="4ABC7B8B" w14:textId="77777777" w:rsidR="003D5891" w:rsidRDefault="003D5891" w:rsidP="003D5891">
            <w:pPr>
              <w:spacing w:before="0" w:after="0"/>
              <w:cnfStyle w:val="100000000000" w:firstRow="1" w:lastRow="0" w:firstColumn="0" w:lastColumn="0" w:oddVBand="0" w:evenVBand="0" w:oddHBand="0" w:evenHBand="0" w:firstRowFirstColumn="0" w:firstRowLastColumn="0" w:lastRowFirstColumn="0" w:lastRowLastColumn="0"/>
              <w:rPr>
                <w:lang w:eastAsia="en-AU"/>
              </w:rPr>
            </w:pPr>
            <w:r>
              <w:rPr>
                <w:lang w:eastAsia="en-AU"/>
              </w:rPr>
              <w:t>Definition</w:t>
            </w:r>
          </w:p>
        </w:tc>
      </w:tr>
      <w:tr w:rsidR="003D5891" w14:paraId="05BA8400" w14:textId="77777777" w:rsidTr="003D5891">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Mar>
              <w:top w:w="57" w:type="dxa"/>
              <w:bottom w:w="57" w:type="dxa"/>
            </w:tcMar>
          </w:tcPr>
          <w:p w14:paraId="120C25DD" w14:textId="44CDA3A3" w:rsidR="003D5891" w:rsidRDefault="003D5891" w:rsidP="003D5891">
            <w:pPr>
              <w:spacing w:before="0" w:after="0"/>
              <w:rPr>
                <w:lang w:eastAsia="en-AU"/>
              </w:rPr>
            </w:pPr>
            <w:r w:rsidRPr="003D5891">
              <w:rPr>
                <w:bCs/>
                <w:lang w:eastAsia="en-AU"/>
              </w:rPr>
              <w:t>School staff</w:t>
            </w:r>
          </w:p>
        </w:tc>
        <w:tc>
          <w:tcPr>
            <w:tcW w:w="8328" w:type="dxa"/>
            <w:tcBorders>
              <w:top w:val="single" w:sz="4" w:space="0" w:color="auto"/>
            </w:tcBorders>
            <w:tcMar>
              <w:top w:w="57" w:type="dxa"/>
              <w:bottom w:w="57" w:type="dxa"/>
            </w:tcMar>
          </w:tcPr>
          <w:p w14:paraId="7715430F" w14:textId="46FB03BE" w:rsidR="003D5891" w:rsidRDefault="003D5891" w:rsidP="003D5891">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I</w:t>
            </w:r>
            <w:r w:rsidRPr="00D4292E">
              <w:rPr>
                <w:lang w:eastAsia="en-AU"/>
              </w:rPr>
              <w:t>ncludes all staff working on school grounds who are employed, contracted or performing any work for the Department of Education.</w:t>
            </w:r>
          </w:p>
        </w:tc>
      </w:tr>
    </w:tbl>
    <w:p w14:paraId="6632F3F2" w14:textId="3512E24A" w:rsidR="007D1291" w:rsidRDefault="007D1291" w:rsidP="007D1291">
      <w:pPr>
        <w:pStyle w:val="Heading1"/>
        <w:rPr>
          <w:lang w:eastAsia="en-AU"/>
        </w:rPr>
      </w:pPr>
      <w:r>
        <w:rPr>
          <w:lang w:eastAsia="en-AU"/>
        </w:rPr>
        <w:t>Resources for teachers</w:t>
      </w:r>
    </w:p>
    <w:p w14:paraId="307FF19F" w14:textId="7F6ABCDF" w:rsidR="007D1291" w:rsidRDefault="007D1291" w:rsidP="003D5891">
      <w:pPr>
        <w:pStyle w:val="ListParagraph"/>
        <w:numPr>
          <w:ilvl w:val="0"/>
          <w:numId w:val="52"/>
        </w:numPr>
        <w:ind w:left="851" w:hanging="284"/>
        <w:rPr>
          <w:lang w:eastAsia="en-AU"/>
        </w:rPr>
      </w:pPr>
      <w:r w:rsidRPr="00243250">
        <w:rPr>
          <w:lang w:eastAsia="en-AU"/>
        </w:rPr>
        <w:t>T</w:t>
      </w:r>
      <w:r w:rsidR="00E2113E" w:rsidRPr="00243250">
        <w:rPr>
          <w:lang w:eastAsia="en-AU"/>
        </w:rPr>
        <w:t>eacher Registration Board –</w:t>
      </w:r>
      <w:r w:rsidRPr="00243250">
        <w:rPr>
          <w:lang w:eastAsia="en-AU"/>
        </w:rPr>
        <w:t xml:space="preserve"> Protective practice</w:t>
      </w:r>
      <w:r w:rsidR="00607167" w:rsidRPr="00243250">
        <w:rPr>
          <w:lang w:eastAsia="en-AU"/>
        </w:rPr>
        <w:t>s</w:t>
      </w:r>
      <w:r w:rsidR="00E2113E" w:rsidRPr="00243250">
        <w:rPr>
          <w:lang w:eastAsia="en-AU"/>
        </w:rPr>
        <w:t xml:space="preserve"> guidelines</w:t>
      </w:r>
      <w:r w:rsidR="00243250">
        <w:rPr>
          <w:lang w:eastAsia="en-AU"/>
        </w:rPr>
        <w:t xml:space="preserve"> – </w:t>
      </w:r>
      <w:hyperlink r:id="rId9" w:history="1">
        <w:r w:rsidR="00243250" w:rsidRPr="0039425F">
          <w:rPr>
            <w:rStyle w:val="Hyperlink"/>
            <w:lang w:eastAsia="en-AU"/>
          </w:rPr>
          <w:t>https://www.trb.nt.gov.au/professional-responsibilities/teaching-practice/protective-practice-guidelines</w:t>
        </w:r>
      </w:hyperlink>
    </w:p>
    <w:p w14:paraId="16387998" w14:textId="03B6E4FA" w:rsidR="007D1291" w:rsidRDefault="007D1291" w:rsidP="007D1291">
      <w:pPr>
        <w:pStyle w:val="Heading1"/>
        <w:rPr>
          <w:lang w:eastAsia="en-AU"/>
        </w:rPr>
      </w:pPr>
      <w:r>
        <w:rPr>
          <w:lang w:eastAsia="en-AU"/>
        </w:rPr>
        <w:t>Related legislation</w:t>
      </w:r>
      <w:r w:rsidR="002648D7" w:rsidRPr="002648D7">
        <w:rPr>
          <w:lang w:eastAsia="en-AU"/>
        </w:rPr>
        <w:t xml:space="preserve"> </w:t>
      </w:r>
      <w:r w:rsidR="002648D7">
        <w:rPr>
          <w:lang w:eastAsia="en-AU"/>
        </w:rPr>
        <w:t>and policy</w:t>
      </w:r>
    </w:p>
    <w:p w14:paraId="41981F8A" w14:textId="07BBBF9B" w:rsidR="002648D7" w:rsidRPr="00491E69" w:rsidRDefault="00061573" w:rsidP="003D5891">
      <w:pPr>
        <w:pStyle w:val="ListParagraph"/>
        <w:numPr>
          <w:ilvl w:val="0"/>
          <w:numId w:val="52"/>
        </w:numPr>
        <w:spacing w:after="200"/>
        <w:ind w:left="851" w:hanging="284"/>
        <w:rPr>
          <w:i/>
          <w:lang w:eastAsia="en-AU"/>
        </w:rPr>
      </w:pPr>
      <w:r w:rsidRPr="00243250">
        <w:rPr>
          <w:i/>
          <w:lang w:eastAsia="en-AU"/>
        </w:rPr>
        <w:t>Personal Injuries (Liabilities and Damages) Act 2003</w:t>
      </w:r>
      <w:r w:rsidR="002648D7" w:rsidRPr="00243250">
        <w:rPr>
          <w:i/>
          <w:lang w:eastAsia="en-AU"/>
        </w:rPr>
        <w:t xml:space="preserve"> – </w:t>
      </w:r>
      <w:hyperlink r:id="rId10" w:history="1">
        <w:r w:rsidR="002648D7" w:rsidRPr="00243250">
          <w:rPr>
            <w:rStyle w:val="Hyperlink"/>
            <w:i/>
            <w:lang w:eastAsia="en-AU"/>
          </w:rPr>
          <w:t>https://legislation.nt.gov.au/en/Legislation/PERSONAL-INJURIES-LIABILITIES-AND-DAMAGES-ACT-2003</w:t>
        </w:r>
      </w:hyperlink>
    </w:p>
    <w:p w14:paraId="25F213E0" w14:textId="2C8161B1" w:rsidR="004163D4" w:rsidRPr="004163D4" w:rsidRDefault="004163D4" w:rsidP="009B5CE5">
      <w:pPr>
        <w:pStyle w:val="ListParagraph"/>
        <w:numPr>
          <w:ilvl w:val="0"/>
          <w:numId w:val="52"/>
        </w:numPr>
        <w:ind w:left="851" w:hanging="284"/>
        <w:rPr>
          <w:lang w:eastAsia="en-AU"/>
        </w:rPr>
      </w:pPr>
      <w:r w:rsidRPr="007D1291">
        <w:rPr>
          <w:lang w:eastAsia="en-AU"/>
        </w:rPr>
        <w:t>Risk management approach</w:t>
      </w:r>
      <w:r>
        <w:rPr>
          <w:lang w:eastAsia="en-AU"/>
        </w:rPr>
        <w:t xml:space="preserve"> under the </w:t>
      </w:r>
      <w:r w:rsidR="009A3EB1">
        <w:rPr>
          <w:lang w:eastAsia="en-AU"/>
        </w:rPr>
        <w:t>safety management system</w:t>
      </w:r>
      <w:r w:rsidR="00E240F5">
        <w:rPr>
          <w:lang w:eastAsia="en-AU"/>
        </w:rPr>
        <w:t>:</w:t>
      </w:r>
    </w:p>
    <w:p w14:paraId="7766F8AE" w14:textId="48B25F2C" w:rsidR="004163D4" w:rsidRPr="004163D4" w:rsidRDefault="004163D4" w:rsidP="009B5CE5">
      <w:pPr>
        <w:pStyle w:val="ListParagraph"/>
        <w:numPr>
          <w:ilvl w:val="1"/>
          <w:numId w:val="52"/>
        </w:numPr>
        <w:ind w:left="1134" w:hanging="284"/>
        <w:rPr>
          <w:i/>
          <w:iCs w:val="0"/>
          <w:lang w:eastAsia="en-AU"/>
        </w:rPr>
      </w:pPr>
      <w:r w:rsidRPr="004163D4">
        <w:rPr>
          <w:i/>
          <w:iCs w:val="0"/>
          <w:lang w:eastAsia="en-AU"/>
        </w:rPr>
        <w:t>Work Health and Safety (National Uniform Legislation) Act 2011</w:t>
      </w:r>
      <w:r>
        <w:rPr>
          <w:i/>
          <w:iCs w:val="0"/>
          <w:lang w:eastAsia="en-AU"/>
        </w:rPr>
        <w:t xml:space="preserve">– </w:t>
      </w:r>
      <w:hyperlink r:id="rId11" w:history="1">
        <w:r w:rsidRPr="0039425F">
          <w:rPr>
            <w:rStyle w:val="Hyperlink"/>
            <w:i/>
            <w:iCs w:val="0"/>
            <w:lang w:eastAsia="en-AU"/>
          </w:rPr>
          <w:t>https://legislation.nt.gov.au/en/Legislation/WORK-HEALTH-AND-SAFETY-NATIONAL-UNIFORM-LEGISLATION-ACT-2011</w:t>
        </w:r>
      </w:hyperlink>
    </w:p>
    <w:p w14:paraId="6C4CD03C" w14:textId="2A5DE1E6" w:rsidR="004163D4" w:rsidRDefault="00436E8B" w:rsidP="009B5CE5">
      <w:pPr>
        <w:pStyle w:val="ListParagraph"/>
        <w:numPr>
          <w:ilvl w:val="1"/>
          <w:numId w:val="52"/>
        </w:numPr>
        <w:ind w:left="1134" w:hanging="284"/>
        <w:rPr>
          <w:lang w:eastAsia="en-AU"/>
        </w:rPr>
      </w:pPr>
      <w:r w:rsidRPr="004163D4">
        <w:rPr>
          <w:lang w:eastAsia="en-AU"/>
        </w:rPr>
        <w:t>Workplace requirements for hazard management</w:t>
      </w:r>
      <w:r w:rsidR="004163D4" w:rsidRPr="004163D4">
        <w:rPr>
          <w:lang w:eastAsia="en-AU"/>
        </w:rPr>
        <w:t xml:space="preserve"> </w:t>
      </w:r>
      <w:r w:rsidR="004163D4">
        <w:rPr>
          <w:lang w:eastAsia="en-AU"/>
        </w:rPr>
        <w:t>procedures –</w:t>
      </w:r>
      <w:r w:rsidR="00E240F5">
        <w:rPr>
          <w:lang w:eastAsia="en-AU"/>
        </w:rPr>
        <w:t xml:space="preserve"> </w:t>
      </w:r>
      <w:hyperlink r:id="rId12" w:history="1">
        <w:r w:rsidR="00E240F5" w:rsidRPr="00B8562A">
          <w:rPr>
            <w:rStyle w:val="Hyperlink"/>
            <w:lang w:eastAsia="en-AU"/>
          </w:rPr>
          <w:t>http://ed.ntschools.net/documentcentre/Pages/home.aspx?category=Work%20Health%20Safety&amp;subcategory=Safety%20management%20system</w:t>
        </w:r>
      </w:hyperlink>
    </w:p>
    <w:p w14:paraId="44CDE6F4" w14:textId="79797F95" w:rsidR="00436E8B" w:rsidRDefault="00436E8B" w:rsidP="009B5CE5">
      <w:pPr>
        <w:pStyle w:val="ListParagraph"/>
        <w:numPr>
          <w:ilvl w:val="1"/>
          <w:numId w:val="52"/>
        </w:numPr>
        <w:ind w:left="1134" w:hanging="284"/>
        <w:rPr>
          <w:lang w:eastAsia="en-AU"/>
        </w:rPr>
      </w:pPr>
      <w:r w:rsidRPr="004163D4">
        <w:rPr>
          <w:lang w:eastAsia="en-AU"/>
        </w:rPr>
        <w:t>Hazard management risk assessment template</w:t>
      </w:r>
      <w:r w:rsidR="004163D4">
        <w:rPr>
          <w:lang w:eastAsia="en-AU"/>
        </w:rPr>
        <w:t xml:space="preserve"> –</w:t>
      </w:r>
      <w:r w:rsidR="009B5CE5">
        <w:rPr>
          <w:lang w:eastAsia="en-AU"/>
        </w:rPr>
        <w:t xml:space="preserve"> </w:t>
      </w:r>
      <w:hyperlink r:id="rId13" w:history="1">
        <w:r w:rsidR="009B5CE5" w:rsidRPr="00B8562A">
          <w:rPr>
            <w:rStyle w:val="Hyperlink"/>
            <w:lang w:eastAsia="en-AU"/>
          </w:rPr>
          <w:t>http://ed.ntschools.net/documentcentre/pfgdocs/Forms/Topic%20Set/docsethomepage.aspx?ID=5374&amp;FolderCTID=0x0120D520000133CB8677583E43B3EBAB625411072700B2899F26301DD348B35E4EEAAC93ECA2&amp;List=2c758afa-90e7-4332-9b99-0c926174f6a3&amp;RootFolder=%2Fdocumentcentre%2Fpfgdocs%2F16%2FHazard%20management</w:t>
        </w:r>
      </w:hyperlink>
    </w:p>
    <w:p w14:paraId="518DADAA" w14:textId="6672697C" w:rsidR="00436E8B" w:rsidRPr="00436E8B" w:rsidRDefault="00436E8B" w:rsidP="009B5CE5">
      <w:pPr>
        <w:pStyle w:val="ListParagraph"/>
        <w:numPr>
          <w:ilvl w:val="1"/>
          <w:numId w:val="52"/>
        </w:numPr>
        <w:spacing w:after="0"/>
        <w:ind w:left="1134" w:hanging="284"/>
        <w:rPr>
          <w:lang w:eastAsia="en-AU"/>
        </w:rPr>
      </w:pPr>
      <w:r w:rsidRPr="004163D4">
        <w:rPr>
          <w:lang w:eastAsia="en-AU"/>
        </w:rPr>
        <w:t>Safety risk register</w:t>
      </w:r>
      <w:r w:rsidR="009A3EB1">
        <w:rPr>
          <w:lang w:eastAsia="en-AU"/>
        </w:rPr>
        <w:t xml:space="preserve"> –</w:t>
      </w:r>
      <w:r w:rsidR="009B5CE5">
        <w:rPr>
          <w:lang w:eastAsia="en-AU"/>
        </w:rPr>
        <w:t xml:space="preserve"> </w:t>
      </w:r>
      <w:hyperlink r:id="rId14" w:history="1">
        <w:r w:rsidR="009B5CE5" w:rsidRPr="00B8562A">
          <w:rPr>
            <w:rStyle w:val="Hyperlink"/>
            <w:lang w:eastAsia="en-AU"/>
          </w:rPr>
          <w:t>http://ed.ntschools.net/documentcentre/pfgdocs/Forms/Topic%20Set/docsethomepage.aspx?ID=5374&amp;FolderCTID=0x0120D520000133CB8677583E43B3EBAB625411072700B2899F26301DD348B35E4EEAAC93ECA2&amp;List=2c758afa-90e7-4332-9b99-0c926174f6a3&amp;RootFolder=%2Fdocumentcentre%2Fpfgdocs%2F16%2FHazard%20management</w:t>
        </w:r>
      </w:hyperlink>
    </w:p>
    <w:sectPr w:rsidR="00436E8B" w:rsidRPr="00436E8B" w:rsidSect="00AD3E5B">
      <w:headerReference w:type="default" r:id="rId15"/>
      <w:footerReference w:type="default" r:id="rId16"/>
      <w:headerReference w:type="first" r:id="rId17"/>
      <w:footerReference w:type="first" r:id="rId18"/>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7EFD7" w14:textId="77777777" w:rsidR="00091F6C" w:rsidRDefault="00091F6C" w:rsidP="007332FF">
      <w:r>
        <w:separator/>
      </w:r>
    </w:p>
  </w:endnote>
  <w:endnote w:type="continuationSeparator" w:id="0">
    <w:p w14:paraId="472EB6C7" w14:textId="77777777" w:rsidR="00091F6C" w:rsidRDefault="00091F6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BB1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55B0327" w14:textId="77777777" w:rsidTr="00D47DC7">
      <w:trPr>
        <w:cantSplit/>
        <w:trHeight w:hRule="exact" w:val="850"/>
      </w:trPr>
      <w:tc>
        <w:tcPr>
          <w:tcW w:w="10318" w:type="dxa"/>
          <w:vAlign w:val="bottom"/>
        </w:tcPr>
        <w:p w14:paraId="6A397629" w14:textId="4A53A8B2"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p>
        <w:p w14:paraId="3976F90F" w14:textId="2E5B2000" w:rsidR="00D47DC7" w:rsidRPr="00CE6614" w:rsidRDefault="002648D7" w:rsidP="00D47DC7">
          <w:pPr>
            <w:spacing w:after="0"/>
            <w:rPr>
              <w:rStyle w:val="PageNumber"/>
            </w:rPr>
          </w:pPr>
          <w:r>
            <w:rPr>
              <w:rStyle w:val="PageNumber"/>
            </w:rPr>
            <w:t xml:space="preserve">Published </w:t>
          </w:r>
          <w:r w:rsidR="00AD3E5B">
            <w:rPr>
              <w:rStyle w:val="PageNumber"/>
            </w:rPr>
            <w:t>April</w:t>
          </w:r>
          <w:r>
            <w:rPr>
              <w:rStyle w:val="PageNumber"/>
            </w:rPr>
            <w:t xml:space="preserve"> 2023 | </w:t>
          </w:r>
          <w:r w:rsidR="00D91A03">
            <w:rPr>
              <w:rStyle w:val="PageNumber"/>
            </w:rPr>
            <w:t xml:space="preserve">TRM </w:t>
          </w:r>
          <w:proofErr w:type="gramStart"/>
          <w:r w:rsidR="00D91A03">
            <w:rPr>
              <w:rStyle w:val="PageNumber"/>
            </w:rPr>
            <w:t>50:D</w:t>
          </w:r>
          <w:proofErr w:type="gramEnd"/>
          <w:r w:rsidR="00D91A03">
            <w:rPr>
              <w:rStyle w:val="PageNumber"/>
            </w:rPr>
            <w:t>22:88400</w:t>
          </w:r>
        </w:p>
        <w:p w14:paraId="243D7916"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6F94D7E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A0BA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937EA97" w14:textId="77777777" w:rsidTr="008921B4">
      <w:trPr>
        <w:cantSplit/>
        <w:trHeight w:hRule="exact" w:val="1134"/>
      </w:trPr>
      <w:tc>
        <w:tcPr>
          <w:tcW w:w="7767" w:type="dxa"/>
          <w:vAlign w:val="bottom"/>
        </w:tcPr>
        <w:p w14:paraId="59DDD670" w14:textId="31BB16AA"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p>
        <w:p w14:paraId="2E787FB3" w14:textId="1D06E2A3" w:rsidR="00D47DC7" w:rsidRPr="00CE6614" w:rsidRDefault="002648D7" w:rsidP="00D47DC7">
          <w:pPr>
            <w:spacing w:after="0"/>
            <w:rPr>
              <w:rStyle w:val="PageNumber"/>
            </w:rPr>
          </w:pPr>
          <w:r>
            <w:rPr>
              <w:rStyle w:val="PageNumber"/>
            </w:rPr>
            <w:t xml:space="preserve">Published </w:t>
          </w:r>
          <w:r w:rsidR="00AD3E5B">
            <w:rPr>
              <w:rStyle w:val="PageNumber"/>
            </w:rPr>
            <w:t>April</w:t>
          </w:r>
          <w:r>
            <w:rPr>
              <w:rStyle w:val="PageNumber"/>
            </w:rPr>
            <w:t xml:space="preserve"> 2023 | </w:t>
          </w:r>
          <w:r w:rsidR="00086399">
            <w:rPr>
              <w:rStyle w:val="PageNumber"/>
            </w:rPr>
            <w:t xml:space="preserve">TRM </w:t>
          </w:r>
          <w:proofErr w:type="gramStart"/>
          <w:r w:rsidR="00E2113E">
            <w:rPr>
              <w:rStyle w:val="PageNumber"/>
            </w:rPr>
            <w:t>50:D</w:t>
          </w:r>
          <w:proofErr w:type="gramEnd"/>
          <w:r w:rsidR="00E2113E">
            <w:rPr>
              <w:rStyle w:val="PageNumber"/>
            </w:rPr>
            <w:t>22:</w:t>
          </w:r>
          <w:r w:rsidR="00D91A03">
            <w:rPr>
              <w:rStyle w:val="PageNumber"/>
            </w:rPr>
            <w:t>88400</w:t>
          </w:r>
        </w:p>
        <w:p w14:paraId="5FC7B6EA"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0BF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0BFA">
            <w:rPr>
              <w:rStyle w:val="PageNumber"/>
              <w:noProof/>
            </w:rPr>
            <w:t>1</w:t>
          </w:r>
          <w:r w:rsidRPr="00AC4488">
            <w:rPr>
              <w:rStyle w:val="PageNumber"/>
            </w:rPr>
            <w:fldChar w:fldCharType="end"/>
          </w:r>
        </w:p>
      </w:tc>
      <w:tc>
        <w:tcPr>
          <w:tcW w:w="2551" w:type="dxa"/>
          <w:vAlign w:val="bottom"/>
        </w:tcPr>
        <w:p w14:paraId="0BC11464" w14:textId="77777777" w:rsidR="0071700C" w:rsidRPr="001E14EB" w:rsidRDefault="0071700C" w:rsidP="0071700C">
          <w:pPr>
            <w:spacing w:after="0"/>
            <w:jc w:val="right"/>
          </w:pPr>
          <w:r>
            <w:rPr>
              <w:noProof/>
              <w:lang w:eastAsia="en-AU"/>
            </w:rPr>
            <w:drawing>
              <wp:inline distT="0" distB="0" distL="0" distR="0" wp14:anchorId="2B92C17E" wp14:editId="3815CD3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12F676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4458E" w14:textId="77777777" w:rsidR="00091F6C" w:rsidRDefault="00091F6C" w:rsidP="007332FF">
      <w:r>
        <w:separator/>
      </w:r>
    </w:p>
  </w:footnote>
  <w:footnote w:type="continuationSeparator" w:id="0">
    <w:p w14:paraId="61C7C439" w14:textId="77777777" w:rsidR="00091F6C" w:rsidRDefault="00091F6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2422" w14:textId="54A17B5B" w:rsidR="00983000" w:rsidRPr="00162207" w:rsidRDefault="008F67F5"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9328C">
          <w:t>Duty of care owed by teachers – information sheet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54729C4" w14:textId="6F534366" w:rsidR="00E54F9E" w:rsidRDefault="00D4292E" w:rsidP="00435082">
        <w:pPr>
          <w:pStyle w:val="Title"/>
        </w:pPr>
        <w:r>
          <w:rPr>
            <w:rStyle w:val="TitleChar"/>
          </w:rPr>
          <w:t>Duty of care</w:t>
        </w:r>
        <w:r w:rsidR="00187184">
          <w:rPr>
            <w:rStyle w:val="TitleChar"/>
          </w:rPr>
          <w:t xml:space="preserve"> </w:t>
        </w:r>
        <w:r w:rsidR="0079328C">
          <w:rPr>
            <w:rStyle w:val="TitleChar"/>
          </w:rPr>
          <w:t>owed by teachers –</w:t>
        </w:r>
        <w:r w:rsidR="00187184">
          <w:rPr>
            <w:rStyle w:val="TitleChar"/>
          </w:rPr>
          <w:t xml:space="preserve"> </w:t>
        </w:r>
        <w:r>
          <w:rPr>
            <w:rStyle w:val="TitleChar"/>
          </w:rPr>
          <w:t>i</w:t>
        </w:r>
        <w:r w:rsidR="00C23DD3">
          <w:rPr>
            <w:rStyle w:val="TitleChar"/>
          </w:rPr>
          <w:t xml:space="preserve">nformation </w:t>
        </w:r>
        <w:r>
          <w:rPr>
            <w:rStyle w:val="TitleChar"/>
          </w:rPr>
          <w:t>sh</w:t>
        </w:r>
        <w:r w:rsidR="0079328C">
          <w:rPr>
            <w:rStyle w:val="TitleChar"/>
          </w:rPr>
          <w:t>eet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AFF"/>
    <w:multiLevelType w:val="hybridMultilevel"/>
    <w:tmpl w:val="C4E89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A017AA"/>
    <w:multiLevelType w:val="hybridMultilevel"/>
    <w:tmpl w:val="EDEC27C0"/>
    <w:lvl w:ilvl="0" w:tplc="26528AFC">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86276C"/>
    <w:multiLevelType w:val="multilevel"/>
    <w:tmpl w:val="3928FD02"/>
    <w:name w:val="NTG Table Bullet List32223"/>
    <w:numStyleLink w:val="Bulletlist"/>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3887D59"/>
    <w:multiLevelType w:val="hybridMultilevel"/>
    <w:tmpl w:val="1CAEB4B6"/>
    <w:lvl w:ilvl="0" w:tplc="26528AFC">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B694D21"/>
    <w:multiLevelType w:val="hybridMultilevel"/>
    <w:tmpl w:val="6FF2016C"/>
    <w:lvl w:ilvl="0" w:tplc="26528AFC">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B967852"/>
    <w:multiLevelType w:val="hybridMultilevel"/>
    <w:tmpl w:val="E6B8DC28"/>
    <w:lvl w:ilvl="0" w:tplc="0C090001">
      <w:start w:val="1"/>
      <w:numFmt w:val="bullet"/>
      <w:lvlText w:val=""/>
      <w:lvlJc w:val="left"/>
      <w:pPr>
        <w:ind w:left="720" w:hanging="360"/>
      </w:pPr>
      <w:rPr>
        <w:rFonts w:ascii="Symbol" w:hAnsi="Symbol" w:hint="default"/>
      </w:rPr>
    </w:lvl>
    <w:lvl w:ilvl="1" w:tplc="241A79DA">
      <w:start w:val="1"/>
      <w:numFmt w:val="bullet"/>
      <w:lvlText w:val="-"/>
      <w:lvlJc w:val="left"/>
      <w:pPr>
        <w:ind w:left="1440" w:hanging="360"/>
      </w:pPr>
      <w:rPr>
        <w:rFonts w:ascii="Lato" w:hAnsi="Lato"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3842BC6"/>
    <w:multiLevelType w:val="multilevel"/>
    <w:tmpl w:val="0C78A7AC"/>
    <w:numStyleLink w:val="Tablebulletlist"/>
  </w:abstractNum>
  <w:abstractNum w:abstractNumId="5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6DA2CAE"/>
    <w:multiLevelType w:val="multilevel"/>
    <w:tmpl w:val="3E5E177A"/>
    <w:name w:val="NTG Table Bullet List332222222222222"/>
    <w:numStyleLink w:val="Tablenumberlist"/>
  </w:abstractNum>
  <w:abstractNum w:abstractNumId="57" w15:restartNumberingAfterBreak="0">
    <w:nsid w:val="583359D9"/>
    <w:multiLevelType w:val="multilevel"/>
    <w:tmpl w:val="3E5E177A"/>
    <w:name w:val="NTG Table Bullet List332222222"/>
    <w:numStyleLink w:val="Tablenumberlist"/>
  </w:abstractNum>
  <w:abstractNum w:abstractNumId="58"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E21323"/>
    <w:multiLevelType w:val="multilevel"/>
    <w:tmpl w:val="4E6AC8F6"/>
    <w:numStyleLink w:val="Numberlist"/>
  </w:abstractNum>
  <w:abstractNum w:abstractNumId="61" w15:restartNumberingAfterBreak="0">
    <w:nsid w:val="5B9A5FFE"/>
    <w:multiLevelType w:val="multilevel"/>
    <w:tmpl w:val="0C78A7AC"/>
    <w:name w:val="NTG Table Bullet List33222222222222"/>
    <w:numStyleLink w:val="Tablebulletlist"/>
  </w:abstractNum>
  <w:abstractNum w:abstractNumId="62" w15:restartNumberingAfterBreak="0">
    <w:nsid w:val="5D444259"/>
    <w:multiLevelType w:val="multilevel"/>
    <w:tmpl w:val="0C78A7AC"/>
    <w:name w:val="NTG Table Bullet List332222"/>
    <w:numStyleLink w:val="Tablebulletlist"/>
  </w:abstractNum>
  <w:abstractNum w:abstractNumId="63"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4"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6"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8"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9262556"/>
    <w:multiLevelType w:val="multilevel"/>
    <w:tmpl w:val="3E5E177A"/>
    <w:name w:val="NTG Table Bullet List3322222222222222"/>
    <w:numStyleLink w:val="Tablenumberlist"/>
  </w:abstractNum>
  <w:abstractNum w:abstractNumId="70"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453664D"/>
    <w:multiLevelType w:val="multilevel"/>
    <w:tmpl w:val="0C78A7AC"/>
    <w:name w:val="NTG Table Bullet List3322222222222222222"/>
    <w:numStyleLink w:val="Tablebulletlist"/>
  </w:abstractNum>
  <w:abstractNum w:abstractNumId="73" w15:restartNumberingAfterBreak="0">
    <w:nsid w:val="76141D1E"/>
    <w:multiLevelType w:val="multilevel"/>
    <w:tmpl w:val="0C78A7AC"/>
    <w:name w:val="NTG Table Bullet List332222222222"/>
    <w:numStyleLink w:val="Tablebulletlist"/>
  </w:abstractNum>
  <w:abstractNum w:abstractNumId="74" w15:restartNumberingAfterBreak="0">
    <w:nsid w:val="765A32D4"/>
    <w:multiLevelType w:val="multilevel"/>
    <w:tmpl w:val="4E6AC8F6"/>
    <w:numStyleLink w:val="Numberlist"/>
  </w:abstractNum>
  <w:abstractNum w:abstractNumId="75"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5"/>
  </w:num>
  <w:num w:numId="2">
    <w:abstractNumId w:val="23"/>
  </w:num>
  <w:num w:numId="3">
    <w:abstractNumId w:val="76"/>
  </w:num>
  <w:num w:numId="4">
    <w:abstractNumId w:val="48"/>
  </w:num>
  <w:num w:numId="5">
    <w:abstractNumId w:val="29"/>
  </w:num>
  <w:num w:numId="6">
    <w:abstractNumId w:val="17"/>
  </w:num>
  <w:num w:numId="7">
    <w:abstractNumId w:val="53"/>
  </w:num>
  <w:num w:numId="8">
    <w:abstractNumId w:val="26"/>
  </w:num>
  <w:num w:numId="9">
    <w:abstractNumId w:val="60"/>
  </w:num>
  <w:num w:numId="10">
    <w:abstractNumId w:val="22"/>
  </w:num>
  <w:num w:numId="11">
    <w:abstractNumId w:val="66"/>
  </w:num>
  <w:num w:numId="12">
    <w:abstractNumId w:val="19"/>
  </w:num>
  <w:num w:numId="13">
    <w:abstractNumId w:val="2"/>
  </w:num>
  <w:num w:numId="14">
    <w:abstractNumId w:val="64"/>
  </w:num>
  <w:num w:numId="15">
    <w:abstractNumId w:val="28"/>
  </w:num>
  <w:num w:numId="16">
    <w:abstractNumId w:val="65"/>
  </w:num>
  <w:num w:numId="17">
    <w:abstractNumId w:val="74"/>
  </w:num>
  <w:num w:numId="18">
    <w:abstractNumId w:val="59"/>
  </w:num>
  <w:num w:numId="19">
    <w:abstractNumId w:val="51"/>
  </w:num>
  <w:num w:numId="20">
    <w:abstractNumId w:val="55"/>
  </w:num>
  <w:num w:numId="21">
    <w:abstractNumId w:val="40"/>
  </w:num>
  <w:num w:numId="22">
    <w:abstractNumId w:val="58"/>
  </w:num>
  <w:num w:numId="23">
    <w:abstractNumId w:val="50"/>
  </w:num>
  <w:num w:numId="24">
    <w:abstractNumId w:val="43"/>
  </w:num>
  <w:num w:numId="25">
    <w:abstractNumId w:val="38"/>
  </w:num>
  <w:num w:numId="26">
    <w:abstractNumId w:val="12"/>
  </w:num>
  <w:num w:numId="27">
    <w:abstractNumId w:val="75"/>
  </w:num>
  <w:num w:numId="28">
    <w:abstractNumId w:val="37"/>
  </w:num>
  <w:num w:numId="29">
    <w:abstractNumId w:val="30"/>
  </w:num>
  <w:num w:numId="30">
    <w:abstractNumId w:val="1"/>
  </w:num>
  <w:num w:numId="31">
    <w:abstractNumId w:val="41"/>
  </w:num>
  <w:num w:numId="32">
    <w:abstractNumId w:val="11"/>
  </w:num>
  <w:num w:numId="33">
    <w:abstractNumId w:val="67"/>
  </w:num>
  <w:num w:numId="34">
    <w:abstractNumId w:val="33"/>
  </w:num>
  <w:num w:numId="35">
    <w:abstractNumId w:val="52"/>
  </w:num>
  <w:num w:numId="36">
    <w:abstractNumId w:val="68"/>
  </w:num>
  <w:num w:numId="37">
    <w:abstractNumId w:val="70"/>
  </w:num>
  <w:num w:numId="38">
    <w:abstractNumId w:val="16"/>
  </w:num>
  <w:num w:numId="39">
    <w:abstractNumId w:val="27"/>
  </w:num>
  <w:num w:numId="40">
    <w:abstractNumId w:val="71"/>
  </w:num>
  <w:num w:numId="41">
    <w:abstractNumId w:val="3"/>
  </w:num>
  <w:num w:numId="42">
    <w:abstractNumId w:val="63"/>
  </w:num>
  <w:num w:numId="43">
    <w:abstractNumId w:val="13"/>
  </w:num>
  <w:num w:numId="44">
    <w:abstractNumId w:val="36"/>
  </w:num>
  <w:num w:numId="45">
    <w:abstractNumId w:val="44"/>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0"/>
  </w:num>
  <w:num w:numId="49">
    <w:abstractNumId w:val="46"/>
  </w:num>
  <w:num w:numId="50">
    <w:abstractNumId w:val="42"/>
  </w:num>
  <w:num w:numId="51">
    <w:abstractNumId w:val="5"/>
  </w:num>
  <w:num w:numId="52">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99"/>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1573"/>
    <w:rsid w:val="0006635A"/>
    <w:rsid w:val="00066D04"/>
    <w:rsid w:val="000720BE"/>
    <w:rsid w:val="0007259C"/>
    <w:rsid w:val="000801B3"/>
    <w:rsid w:val="00080202"/>
    <w:rsid w:val="00080DCD"/>
    <w:rsid w:val="00080E22"/>
    <w:rsid w:val="00082573"/>
    <w:rsid w:val="000840A3"/>
    <w:rsid w:val="00085062"/>
    <w:rsid w:val="00086399"/>
    <w:rsid w:val="00086A5F"/>
    <w:rsid w:val="000911EF"/>
    <w:rsid w:val="00091F6C"/>
    <w:rsid w:val="000962C5"/>
    <w:rsid w:val="00097865"/>
    <w:rsid w:val="000A4317"/>
    <w:rsid w:val="000A559C"/>
    <w:rsid w:val="000B2CA1"/>
    <w:rsid w:val="000D1F29"/>
    <w:rsid w:val="000D633D"/>
    <w:rsid w:val="000E10B6"/>
    <w:rsid w:val="000E342B"/>
    <w:rsid w:val="000E3ED2"/>
    <w:rsid w:val="000E5DD2"/>
    <w:rsid w:val="000F2958"/>
    <w:rsid w:val="000F3850"/>
    <w:rsid w:val="000F604F"/>
    <w:rsid w:val="00104E7F"/>
    <w:rsid w:val="00107DA1"/>
    <w:rsid w:val="0011070C"/>
    <w:rsid w:val="001137EC"/>
    <w:rsid w:val="001152F5"/>
    <w:rsid w:val="00117743"/>
    <w:rsid w:val="00117F5B"/>
    <w:rsid w:val="00130E72"/>
    <w:rsid w:val="00132658"/>
    <w:rsid w:val="00150DC0"/>
    <w:rsid w:val="0015394D"/>
    <w:rsid w:val="00156CD4"/>
    <w:rsid w:val="0016153B"/>
    <w:rsid w:val="00162207"/>
    <w:rsid w:val="00164A3E"/>
    <w:rsid w:val="00166FF6"/>
    <w:rsid w:val="00176123"/>
    <w:rsid w:val="00181620"/>
    <w:rsid w:val="00187130"/>
    <w:rsid w:val="00187184"/>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364CA"/>
    <w:rsid w:val="00237317"/>
    <w:rsid w:val="00243250"/>
    <w:rsid w:val="00247343"/>
    <w:rsid w:val="002648D7"/>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35D0C"/>
    <w:rsid w:val="00341B9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96A7A"/>
    <w:rsid w:val="003A6341"/>
    <w:rsid w:val="003B6412"/>
    <w:rsid w:val="003B67FD"/>
    <w:rsid w:val="003B6A61"/>
    <w:rsid w:val="003C2198"/>
    <w:rsid w:val="003C4941"/>
    <w:rsid w:val="003D0F63"/>
    <w:rsid w:val="003D42C0"/>
    <w:rsid w:val="003D4A8F"/>
    <w:rsid w:val="003D5891"/>
    <w:rsid w:val="003D5B29"/>
    <w:rsid w:val="003D7818"/>
    <w:rsid w:val="003E2445"/>
    <w:rsid w:val="003E3BB2"/>
    <w:rsid w:val="003F5B58"/>
    <w:rsid w:val="0040222A"/>
    <w:rsid w:val="004047BC"/>
    <w:rsid w:val="004100F7"/>
    <w:rsid w:val="00414CB3"/>
    <w:rsid w:val="0041563D"/>
    <w:rsid w:val="004163D4"/>
    <w:rsid w:val="00426E25"/>
    <w:rsid w:val="00427D9C"/>
    <w:rsid w:val="00427E7E"/>
    <w:rsid w:val="0043465D"/>
    <w:rsid w:val="00435082"/>
    <w:rsid w:val="00436E8B"/>
    <w:rsid w:val="00443B6E"/>
    <w:rsid w:val="00450636"/>
    <w:rsid w:val="0045420A"/>
    <w:rsid w:val="004554D4"/>
    <w:rsid w:val="004601C5"/>
    <w:rsid w:val="00461744"/>
    <w:rsid w:val="00466185"/>
    <w:rsid w:val="00466303"/>
    <w:rsid w:val="004668A7"/>
    <w:rsid w:val="00466D96"/>
    <w:rsid w:val="00467747"/>
    <w:rsid w:val="00470017"/>
    <w:rsid w:val="0047105A"/>
    <w:rsid w:val="00473C98"/>
    <w:rsid w:val="00474965"/>
    <w:rsid w:val="00482DF8"/>
    <w:rsid w:val="004864DE"/>
    <w:rsid w:val="00491E69"/>
    <w:rsid w:val="00494BE5"/>
    <w:rsid w:val="004A0EBA"/>
    <w:rsid w:val="004A2538"/>
    <w:rsid w:val="004A331E"/>
    <w:rsid w:val="004B0C15"/>
    <w:rsid w:val="004B35EA"/>
    <w:rsid w:val="004B69E4"/>
    <w:rsid w:val="004C6C39"/>
    <w:rsid w:val="004D075F"/>
    <w:rsid w:val="004D1B76"/>
    <w:rsid w:val="004D222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111D"/>
    <w:rsid w:val="00522F20"/>
    <w:rsid w:val="005249F5"/>
    <w:rsid w:val="005260F7"/>
    <w:rsid w:val="00543BD1"/>
    <w:rsid w:val="0054785A"/>
    <w:rsid w:val="00556113"/>
    <w:rsid w:val="00564C12"/>
    <w:rsid w:val="005654B8"/>
    <w:rsid w:val="00566434"/>
    <w:rsid w:val="00570D94"/>
    <w:rsid w:val="005762CC"/>
    <w:rsid w:val="00582D3D"/>
    <w:rsid w:val="00590040"/>
    <w:rsid w:val="0059377D"/>
    <w:rsid w:val="00595386"/>
    <w:rsid w:val="00597234"/>
    <w:rsid w:val="005A4AC0"/>
    <w:rsid w:val="005A4B37"/>
    <w:rsid w:val="005A539B"/>
    <w:rsid w:val="005A5FDF"/>
    <w:rsid w:val="005B0FB7"/>
    <w:rsid w:val="005B122A"/>
    <w:rsid w:val="005B1FCB"/>
    <w:rsid w:val="005B5AC2"/>
    <w:rsid w:val="005C2423"/>
    <w:rsid w:val="005C2833"/>
    <w:rsid w:val="005D08E7"/>
    <w:rsid w:val="005E144D"/>
    <w:rsid w:val="005E1500"/>
    <w:rsid w:val="005E3A43"/>
    <w:rsid w:val="005E4762"/>
    <w:rsid w:val="005F0B17"/>
    <w:rsid w:val="005F6602"/>
    <w:rsid w:val="005F77C7"/>
    <w:rsid w:val="00607167"/>
    <w:rsid w:val="00620675"/>
    <w:rsid w:val="00622910"/>
    <w:rsid w:val="006254B6"/>
    <w:rsid w:val="00627FC8"/>
    <w:rsid w:val="006433C3"/>
    <w:rsid w:val="00650F5B"/>
    <w:rsid w:val="006670D7"/>
    <w:rsid w:val="006719EA"/>
    <w:rsid w:val="00671F13"/>
    <w:rsid w:val="00671FF8"/>
    <w:rsid w:val="0067400A"/>
    <w:rsid w:val="006847AD"/>
    <w:rsid w:val="0069114B"/>
    <w:rsid w:val="006944C1"/>
    <w:rsid w:val="006955ED"/>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3663F"/>
    <w:rsid w:val="007408F5"/>
    <w:rsid w:val="00741EAE"/>
    <w:rsid w:val="00751A9A"/>
    <w:rsid w:val="00755248"/>
    <w:rsid w:val="0076190B"/>
    <w:rsid w:val="0076355D"/>
    <w:rsid w:val="00763A2D"/>
    <w:rsid w:val="007676A4"/>
    <w:rsid w:val="00777795"/>
    <w:rsid w:val="00783A57"/>
    <w:rsid w:val="00784C92"/>
    <w:rsid w:val="007859CD"/>
    <w:rsid w:val="00785C24"/>
    <w:rsid w:val="007907E4"/>
    <w:rsid w:val="0079328C"/>
    <w:rsid w:val="00796461"/>
    <w:rsid w:val="007A6A4F"/>
    <w:rsid w:val="007B03F5"/>
    <w:rsid w:val="007B5C09"/>
    <w:rsid w:val="007B5DA2"/>
    <w:rsid w:val="007C0966"/>
    <w:rsid w:val="007C19E7"/>
    <w:rsid w:val="007C5CFD"/>
    <w:rsid w:val="007C6D9F"/>
    <w:rsid w:val="007D1291"/>
    <w:rsid w:val="007D4893"/>
    <w:rsid w:val="007E70CF"/>
    <w:rsid w:val="007E74A4"/>
    <w:rsid w:val="007F1B6F"/>
    <w:rsid w:val="007F263F"/>
    <w:rsid w:val="008015A8"/>
    <w:rsid w:val="0080766E"/>
    <w:rsid w:val="00811169"/>
    <w:rsid w:val="008121E5"/>
    <w:rsid w:val="00815297"/>
    <w:rsid w:val="008170DB"/>
    <w:rsid w:val="00817BA1"/>
    <w:rsid w:val="00823022"/>
    <w:rsid w:val="0082634E"/>
    <w:rsid w:val="008313C4"/>
    <w:rsid w:val="00835434"/>
    <w:rsid w:val="008358C0"/>
    <w:rsid w:val="00842838"/>
    <w:rsid w:val="00854EC1"/>
    <w:rsid w:val="00855EFF"/>
    <w:rsid w:val="0085797F"/>
    <w:rsid w:val="00861DC3"/>
    <w:rsid w:val="008656AB"/>
    <w:rsid w:val="00867019"/>
    <w:rsid w:val="00872EF1"/>
    <w:rsid w:val="008735A9"/>
    <w:rsid w:val="0087727F"/>
    <w:rsid w:val="00877BC5"/>
    <w:rsid w:val="00877D20"/>
    <w:rsid w:val="00881C48"/>
    <w:rsid w:val="00885B80"/>
    <w:rsid w:val="00885C30"/>
    <w:rsid w:val="00885E9B"/>
    <w:rsid w:val="0089368E"/>
    <w:rsid w:val="00893C96"/>
    <w:rsid w:val="0089500A"/>
    <w:rsid w:val="00897C94"/>
    <w:rsid w:val="00897CCA"/>
    <w:rsid w:val="008A4B30"/>
    <w:rsid w:val="008A7C12"/>
    <w:rsid w:val="008B03CE"/>
    <w:rsid w:val="008B529E"/>
    <w:rsid w:val="008C17FB"/>
    <w:rsid w:val="008C70BB"/>
    <w:rsid w:val="008D1B00"/>
    <w:rsid w:val="008D57B8"/>
    <w:rsid w:val="008E03FC"/>
    <w:rsid w:val="008E26BE"/>
    <w:rsid w:val="008E510B"/>
    <w:rsid w:val="008F67F5"/>
    <w:rsid w:val="00902B13"/>
    <w:rsid w:val="00905CA0"/>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3EB1"/>
    <w:rsid w:val="009A5897"/>
    <w:rsid w:val="009A5F24"/>
    <w:rsid w:val="009B0B3E"/>
    <w:rsid w:val="009B1913"/>
    <w:rsid w:val="009B5CE5"/>
    <w:rsid w:val="009B6657"/>
    <w:rsid w:val="009B6966"/>
    <w:rsid w:val="009D0EB5"/>
    <w:rsid w:val="009D14F9"/>
    <w:rsid w:val="009D2B74"/>
    <w:rsid w:val="009D63FF"/>
    <w:rsid w:val="009E175D"/>
    <w:rsid w:val="009E306F"/>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2BE7"/>
    <w:rsid w:val="00A45005"/>
    <w:rsid w:val="00A567EE"/>
    <w:rsid w:val="00A70DD8"/>
    <w:rsid w:val="00A76790"/>
    <w:rsid w:val="00A85D0C"/>
    <w:rsid w:val="00A925EC"/>
    <w:rsid w:val="00A929AA"/>
    <w:rsid w:val="00A92B6B"/>
    <w:rsid w:val="00AA541E"/>
    <w:rsid w:val="00AC1821"/>
    <w:rsid w:val="00AD0DA4"/>
    <w:rsid w:val="00AD3E5B"/>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74DBF"/>
    <w:rsid w:val="00B7662F"/>
    <w:rsid w:val="00B81261"/>
    <w:rsid w:val="00B8223E"/>
    <w:rsid w:val="00B832AE"/>
    <w:rsid w:val="00B86678"/>
    <w:rsid w:val="00B92F9B"/>
    <w:rsid w:val="00B941B3"/>
    <w:rsid w:val="00B96513"/>
    <w:rsid w:val="00BA1D47"/>
    <w:rsid w:val="00BA66F0"/>
    <w:rsid w:val="00BB2239"/>
    <w:rsid w:val="00BB2AE7"/>
    <w:rsid w:val="00BB5474"/>
    <w:rsid w:val="00BB6464"/>
    <w:rsid w:val="00BC1BB8"/>
    <w:rsid w:val="00BD7FE1"/>
    <w:rsid w:val="00BE3539"/>
    <w:rsid w:val="00BE37CA"/>
    <w:rsid w:val="00BE4176"/>
    <w:rsid w:val="00BE6144"/>
    <w:rsid w:val="00BE635A"/>
    <w:rsid w:val="00BF17E9"/>
    <w:rsid w:val="00BF2ABB"/>
    <w:rsid w:val="00BF5099"/>
    <w:rsid w:val="00C10B5E"/>
    <w:rsid w:val="00C10F10"/>
    <w:rsid w:val="00C15D4D"/>
    <w:rsid w:val="00C175DC"/>
    <w:rsid w:val="00C23DD3"/>
    <w:rsid w:val="00C30171"/>
    <w:rsid w:val="00C309D8"/>
    <w:rsid w:val="00C364EA"/>
    <w:rsid w:val="00C43519"/>
    <w:rsid w:val="00C45263"/>
    <w:rsid w:val="00C51537"/>
    <w:rsid w:val="00C52BC3"/>
    <w:rsid w:val="00C61AFA"/>
    <w:rsid w:val="00C61D64"/>
    <w:rsid w:val="00C62099"/>
    <w:rsid w:val="00C62A34"/>
    <w:rsid w:val="00C64EA3"/>
    <w:rsid w:val="00C72867"/>
    <w:rsid w:val="00C75E81"/>
    <w:rsid w:val="00C83167"/>
    <w:rsid w:val="00C83BB6"/>
    <w:rsid w:val="00C86609"/>
    <w:rsid w:val="00C92B4C"/>
    <w:rsid w:val="00C9481C"/>
    <w:rsid w:val="00C954F6"/>
    <w:rsid w:val="00CA36A0"/>
    <w:rsid w:val="00CA6BC5"/>
    <w:rsid w:val="00CC571B"/>
    <w:rsid w:val="00CC61CD"/>
    <w:rsid w:val="00CC6C02"/>
    <w:rsid w:val="00CC737B"/>
    <w:rsid w:val="00CD5011"/>
    <w:rsid w:val="00CE640F"/>
    <w:rsid w:val="00CE76BC"/>
    <w:rsid w:val="00CF4464"/>
    <w:rsid w:val="00CF540E"/>
    <w:rsid w:val="00D02F07"/>
    <w:rsid w:val="00D15D88"/>
    <w:rsid w:val="00D27D49"/>
    <w:rsid w:val="00D27EBE"/>
    <w:rsid w:val="00D36A49"/>
    <w:rsid w:val="00D36B4F"/>
    <w:rsid w:val="00D4292E"/>
    <w:rsid w:val="00D47B36"/>
    <w:rsid w:val="00D47DC7"/>
    <w:rsid w:val="00D517C6"/>
    <w:rsid w:val="00D71B70"/>
    <w:rsid w:val="00D71D84"/>
    <w:rsid w:val="00D72464"/>
    <w:rsid w:val="00D72A57"/>
    <w:rsid w:val="00D768EB"/>
    <w:rsid w:val="00D80BFA"/>
    <w:rsid w:val="00D81E17"/>
    <w:rsid w:val="00D82D1E"/>
    <w:rsid w:val="00D832D9"/>
    <w:rsid w:val="00D90F00"/>
    <w:rsid w:val="00D91A03"/>
    <w:rsid w:val="00D96804"/>
    <w:rsid w:val="00D975C0"/>
    <w:rsid w:val="00DA5285"/>
    <w:rsid w:val="00DB191D"/>
    <w:rsid w:val="00DB3B3A"/>
    <w:rsid w:val="00DB4F91"/>
    <w:rsid w:val="00DB6D0A"/>
    <w:rsid w:val="00DC06BE"/>
    <w:rsid w:val="00DC1F0F"/>
    <w:rsid w:val="00DC3117"/>
    <w:rsid w:val="00DC4E2A"/>
    <w:rsid w:val="00DC5DD9"/>
    <w:rsid w:val="00DC6D2D"/>
    <w:rsid w:val="00DD4E59"/>
    <w:rsid w:val="00DE0DA1"/>
    <w:rsid w:val="00DE33B5"/>
    <w:rsid w:val="00DE5E18"/>
    <w:rsid w:val="00DF0487"/>
    <w:rsid w:val="00DF5EA4"/>
    <w:rsid w:val="00E02681"/>
    <w:rsid w:val="00E02792"/>
    <w:rsid w:val="00E034D8"/>
    <w:rsid w:val="00E04CC0"/>
    <w:rsid w:val="00E15816"/>
    <w:rsid w:val="00E160D5"/>
    <w:rsid w:val="00E2113E"/>
    <w:rsid w:val="00E239FF"/>
    <w:rsid w:val="00E240F5"/>
    <w:rsid w:val="00E27D7B"/>
    <w:rsid w:val="00E30556"/>
    <w:rsid w:val="00E30981"/>
    <w:rsid w:val="00E33136"/>
    <w:rsid w:val="00E34D7C"/>
    <w:rsid w:val="00E3723D"/>
    <w:rsid w:val="00E44C89"/>
    <w:rsid w:val="00E457A6"/>
    <w:rsid w:val="00E54F9E"/>
    <w:rsid w:val="00E57881"/>
    <w:rsid w:val="00E61BA2"/>
    <w:rsid w:val="00E63864"/>
    <w:rsid w:val="00E6403F"/>
    <w:rsid w:val="00E75451"/>
    <w:rsid w:val="00E75EA9"/>
    <w:rsid w:val="00E76AD6"/>
    <w:rsid w:val="00E770C4"/>
    <w:rsid w:val="00E80412"/>
    <w:rsid w:val="00E84C5A"/>
    <w:rsid w:val="00E861DB"/>
    <w:rsid w:val="00E908F1"/>
    <w:rsid w:val="00E91257"/>
    <w:rsid w:val="00E93406"/>
    <w:rsid w:val="00E956C5"/>
    <w:rsid w:val="00E95C39"/>
    <w:rsid w:val="00EA2C39"/>
    <w:rsid w:val="00EA65A7"/>
    <w:rsid w:val="00EB0A3C"/>
    <w:rsid w:val="00EB0A96"/>
    <w:rsid w:val="00EB77F9"/>
    <w:rsid w:val="00EC5769"/>
    <w:rsid w:val="00EC7D00"/>
    <w:rsid w:val="00ED0304"/>
    <w:rsid w:val="00ED482C"/>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10A5"/>
  <w15:docId w15:val="{65B8E2F5-2E3D-4E31-A242-B656087E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399"/>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character" w:styleId="UnresolvedMention">
    <w:name w:val="Unresolved Mention"/>
    <w:basedOn w:val="DefaultParagraphFont"/>
    <w:uiPriority w:val="99"/>
    <w:semiHidden/>
    <w:unhideWhenUsed/>
    <w:rsid w:val="00061573"/>
    <w:rPr>
      <w:color w:val="605E5C"/>
      <w:shd w:val="clear" w:color="auto" w:fill="E1DFDD"/>
    </w:rPr>
  </w:style>
  <w:style w:type="character" w:styleId="CommentReference">
    <w:name w:val="annotation reference"/>
    <w:basedOn w:val="DefaultParagraphFont"/>
    <w:uiPriority w:val="99"/>
    <w:semiHidden/>
    <w:unhideWhenUsed/>
    <w:rsid w:val="00D71B70"/>
    <w:rPr>
      <w:sz w:val="16"/>
      <w:szCs w:val="16"/>
    </w:rPr>
  </w:style>
  <w:style w:type="paragraph" w:styleId="CommentText">
    <w:name w:val="annotation text"/>
    <w:basedOn w:val="Normal"/>
    <w:link w:val="CommentTextChar"/>
    <w:uiPriority w:val="99"/>
    <w:unhideWhenUsed/>
    <w:rsid w:val="00D71B70"/>
    <w:rPr>
      <w:sz w:val="20"/>
      <w:szCs w:val="20"/>
    </w:rPr>
  </w:style>
  <w:style w:type="character" w:customStyle="1" w:styleId="CommentTextChar">
    <w:name w:val="Comment Text Char"/>
    <w:basedOn w:val="DefaultParagraphFont"/>
    <w:link w:val="CommentText"/>
    <w:uiPriority w:val="99"/>
    <w:rsid w:val="00D71B7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71B70"/>
    <w:rPr>
      <w:b/>
      <w:bCs/>
    </w:rPr>
  </w:style>
  <w:style w:type="character" w:customStyle="1" w:styleId="CommentSubjectChar">
    <w:name w:val="Comment Subject Char"/>
    <w:basedOn w:val="CommentTextChar"/>
    <w:link w:val="CommentSubject"/>
    <w:uiPriority w:val="99"/>
    <w:semiHidden/>
    <w:rsid w:val="00D71B70"/>
    <w:rPr>
      <w:rFonts w:ascii="Lato" w:hAnsi="Lato"/>
      <w:b/>
      <w:bCs/>
      <w:sz w:val="20"/>
      <w:szCs w:val="20"/>
    </w:rPr>
  </w:style>
  <w:style w:type="paragraph" w:styleId="Revision">
    <w:name w:val="Revision"/>
    <w:hidden/>
    <w:uiPriority w:val="99"/>
    <w:semiHidden/>
    <w:rsid w:val="00187184"/>
    <w:pPr>
      <w:spacing w:after="0"/>
    </w:pPr>
    <w:rPr>
      <w:rFonts w:ascii="Lato" w:hAnsi="Lato"/>
    </w:rPr>
  </w:style>
  <w:style w:type="table" w:customStyle="1" w:styleId="NTGtable1">
    <w:name w:val="NTG table 1"/>
    <w:basedOn w:val="TableNormal"/>
    <w:uiPriority w:val="99"/>
    <w:rsid w:val="003D5891"/>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96126713">
      <w:bodyDiv w:val="1"/>
      <w:marLeft w:val="0"/>
      <w:marRight w:val="0"/>
      <w:marTop w:val="0"/>
      <w:marBottom w:val="0"/>
      <w:divBdr>
        <w:top w:val="none" w:sz="0" w:space="0" w:color="auto"/>
        <w:left w:val="none" w:sz="0" w:space="0" w:color="auto"/>
        <w:bottom w:val="none" w:sz="0" w:space="0" w:color="auto"/>
        <w:right w:val="none" w:sz="0" w:space="0" w:color="auto"/>
      </w:divBdr>
      <w:divsChild>
        <w:div w:id="1225027339">
          <w:marLeft w:val="0"/>
          <w:marRight w:val="0"/>
          <w:marTop w:val="0"/>
          <w:marBottom w:val="0"/>
          <w:divBdr>
            <w:top w:val="none" w:sz="0" w:space="0" w:color="auto"/>
            <w:left w:val="none" w:sz="0" w:space="0" w:color="auto"/>
            <w:bottom w:val="none" w:sz="0" w:space="0" w:color="auto"/>
            <w:right w:val="none" w:sz="0" w:space="0" w:color="auto"/>
          </w:divBdr>
        </w:div>
        <w:div w:id="419639909">
          <w:marLeft w:val="0"/>
          <w:marRight w:val="0"/>
          <w:marTop w:val="0"/>
          <w:marBottom w:val="0"/>
          <w:divBdr>
            <w:top w:val="none" w:sz="0" w:space="0" w:color="auto"/>
            <w:left w:val="none" w:sz="0" w:space="0" w:color="auto"/>
            <w:bottom w:val="none" w:sz="0" w:space="0" w:color="auto"/>
            <w:right w:val="none" w:sz="0" w:space="0" w:color="auto"/>
          </w:divBdr>
        </w:div>
        <w:div w:id="1941328110">
          <w:marLeft w:val="0"/>
          <w:marRight w:val="0"/>
          <w:marTop w:val="0"/>
          <w:marBottom w:val="0"/>
          <w:divBdr>
            <w:top w:val="none" w:sz="0" w:space="0" w:color="auto"/>
            <w:left w:val="none" w:sz="0" w:space="0" w:color="auto"/>
            <w:bottom w:val="none" w:sz="0" w:space="0" w:color="auto"/>
            <w:right w:val="none" w:sz="0" w:space="0" w:color="auto"/>
          </w:divBdr>
        </w:div>
        <w:div w:id="1405251237">
          <w:marLeft w:val="0"/>
          <w:marRight w:val="0"/>
          <w:marTop w:val="0"/>
          <w:marBottom w:val="0"/>
          <w:divBdr>
            <w:top w:val="none" w:sz="0" w:space="0" w:color="auto"/>
            <w:left w:val="none" w:sz="0" w:space="0" w:color="auto"/>
            <w:bottom w:val="none" w:sz="0" w:space="0" w:color="auto"/>
            <w:right w:val="none" w:sz="0" w:space="0" w:color="auto"/>
          </w:divBdr>
        </w:div>
        <w:div w:id="168266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ntschools.net/documentcentre/pfgdocs/Forms/Topic%20Set/docsethomepage.aspx?ID=5374&amp;FolderCTID=0x0120D520000133CB8677583E43B3EBAB625411072700B2899F26301DD348B35E4EEAAC93ECA2&amp;List=2c758afa-90e7-4332-9b99-0c926174f6a3&amp;RootFolder=%2Fdocumentcentre%2Fpfgdocs%2F16%2FHazard%20management"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d.ntschools.net/documentcentre/Pages/home.aspx?category=Work%20Health%20Safety&amp;subcategory=Safety%20management%20syste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en/Legislation/WORK-HEALTH-AND-SAFETY-NATIONAL-UNIFORM-LEGISLATION-ACT-201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egislation.nt.gov.au/en/Legislation/PERSONAL-INJURIES-LIABILITIES-AND-DAMAGES-ACT-2003"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rb.nt.gov.au/professional-responsibilities/teaching-practice/protective-practice-guidelines" TargetMode="External"/><Relationship Id="rId14" Type="http://schemas.openxmlformats.org/officeDocument/2006/relationships/hyperlink" Target="http://ed.ntschools.net/documentcentre/pfgdocs/Forms/Topic%20Set/docsethomepage.aspx?ID=5374&amp;FolderCTID=0x0120D520000133CB8677583E43B3EBAB625411072700B2899F26301DD348B35E4EEAAC93ECA2&amp;List=2c758afa-90e7-4332-9b99-0c926174f6a3&amp;RootFolder=%2Fdocumentcentre%2Fpfgdocs%2F16%2FHazard%20manage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finn\Downloads\ntg-short-portrait-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7B8F62-4756-4603-A856-2B52633D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 (1).dotx</Template>
  <TotalTime>1</TotalTime>
  <Pages>2</Pages>
  <Words>905</Words>
  <Characters>5164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Duty of care owed by teachers – information sheet</vt:lpstr>
    </vt:vector>
  </TitlesOfParts>
  <Company>Education</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care owed by teachers – information sheet</dc:title>
  <dc:creator>Northern territory Government</dc:creator>
  <cp:lastModifiedBy>Missy Frey</cp:lastModifiedBy>
  <cp:revision>2</cp:revision>
  <cp:lastPrinted>2023-04-14T05:15:00Z</cp:lastPrinted>
  <dcterms:created xsi:type="dcterms:W3CDTF">2023-04-21T03:40:00Z</dcterms:created>
  <dcterms:modified xsi:type="dcterms:W3CDTF">2023-04-21T03:40:00Z</dcterms:modified>
</cp:coreProperties>
</file>