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C9CCE" w14:textId="7290C4C4" w:rsidR="003968B2" w:rsidRDefault="003968B2" w:rsidP="008455B6">
      <w:pPr>
        <w:pStyle w:val="Heading1"/>
        <w:rPr>
          <w:rFonts w:ascii="Lato Black" w:hAnsi="Lato Black"/>
        </w:rPr>
      </w:pPr>
      <w:r>
        <w:rPr>
          <w:rFonts w:ascii="Lato Black" w:hAnsi="Lato Black"/>
          <w:noProof/>
          <w:lang w:eastAsia="en-AU"/>
        </w:rPr>
        <mc:AlternateContent>
          <mc:Choice Requires="wps">
            <w:drawing>
              <wp:anchor distT="0" distB="0" distL="114300" distR="114300" simplePos="0" relativeHeight="251659264" behindDoc="1" locked="0" layoutInCell="1" allowOverlap="1" wp14:anchorId="00DFD898" wp14:editId="436C3043">
                <wp:simplePos x="0" y="0"/>
                <wp:positionH relativeFrom="column">
                  <wp:posOffset>4765040</wp:posOffset>
                </wp:positionH>
                <wp:positionV relativeFrom="paragraph">
                  <wp:posOffset>80645</wp:posOffset>
                </wp:positionV>
                <wp:extent cx="1574800" cy="447675"/>
                <wp:effectExtent l="0" t="0" r="6350" b="9525"/>
                <wp:wrapTight wrapText="bothSides">
                  <wp:wrapPolygon edited="0">
                    <wp:start x="0" y="0"/>
                    <wp:lineTo x="0" y="21140"/>
                    <wp:lineTo x="21426" y="21140"/>
                    <wp:lineTo x="2142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5748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DE0AC" w14:textId="6138FC83" w:rsidR="00E96C69" w:rsidRPr="003968B2" w:rsidRDefault="00E96C69" w:rsidP="00E96C69">
                            <w:pPr>
                              <w:jc w:val="center"/>
                              <w:rPr>
                                <w:b/>
                                <w:sz w:val="24"/>
                                <w:lang w:val="en-US"/>
                              </w:rPr>
                            </w:pPr>
                            <w:r w:rsidRPr="003968B2">
                              <w:rPr>
                                <w:b/>
                                <w:sz w:val="24"/>
                                <w:lang w:val="en-US"/>
                              </w:rPr>
                              <w:t>ATTACHMENT B</w:t>
                            </w:r>
                          </w:p>
                          <w:p w14:paraId="623C0D46" w14:textId="6E34F8F0" w:rsidR="003968B2" w:rsidRPr="003968B2" w:rsidRDefault="003968B2" w:rsidP="00E96C69">
                            <w:pPr>
                              <w:jc w:val="center"/>
                              <w:rPr>
                                <w:sz w:val="24"/>
                                <w:lang w:val="en-US"/>
                              </w:rPr>
                            </w:pPr>
                            <w:r w:rsidRPr="003968B2">
                              <w:rPr>
                                <w:sz w:val="24"/>
                                <w:lang w:val="en-US"/>
                              </w:rPr>
                              <w:t>EDOC2016/4340</w:t>
                            </w:r>
                          </w:p>
                          <w:p w14:paraId="013F00DC" w14:textId="77777777" w:rsidR="003968B2" w:rsidRPr="00E96C69" w:rsidRDefault="003968B2" w:rsidP="00E96C69">
                            <w:pPr>
                              <w:jc w:val="center"/>
                              <w:rPr>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DFD898" id="_x0000_t202" coordsize="21600,21600" o:spt="202" path="m,l,21600r21600,l21600,xe">
                <v:stroke joinstyle="miter"/>
                <v:path gradientshapeok="t" o:connecttype="rect"/>
              </v:shapetype>
              <v:shape id="Text Box 1" o:spid="_x0000_s1026" type="#_x0000_t202" style="position:absolute;left:0;text-align:left;margin-left:375.2pt;margin-top:6.35pt;width:124pt;height:35.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" fillcolor="white [3201]" stroked="f" strokeweight=".5pt">
                <v:textbox>
                  <w:txbxContent>
                    <w:p w14:paraId="537DE0AC" w14:textId="6138FC83" w:rsidR="00E96C69" w:rsidRPr="003968B2" w:rsidRDefault="00E96C69" w:rsidP="00E96C69">
                      <w:pPr>
                        <w:jc w:val="center"/>
                        <w:rPr>
                          <w:b/>
                          <w:sz w:val="24"/>
                          <w:lang w:val="en-US"/>
                        </w:rPr>
                      </w:pPr>
                      <w:r w:rsidRPr="003968B2">
                        <w:rPr>
                          <w:b/>
                          <w:sz w:val="24"/>
                          <w:lang w:val="en-US"/>
                        </w:rPr>
                        <w:t>ATTACHMENT B</w:t>
                      </w:r>
                    </w:p>
                    <w:p w14:paraId="623C0D46" w14:textId="6E34F8F0" w:rsidR="003968B2" w:rsidRPr="003968B2" w:rsidRDefault="003968B2" w:rsidP="00E96C69">
                      <w:pPr>
                        <w:jc w:val="center"/>
                        <w:rPr>
                          <w:sz w:val="24"/>
                          <w:lang w:val="en-US"/>
                        </w:rPr>
                      </w:pPr>
                      <w:r w:rsidRPr="003968B2">
                        <w:rPr>
                          <w:sz w:val="24"/>
                          <w:lang w:val="en-US"/>
                        </w:rPr>
                        <w:t>EDOC2016/4340</w:t>
                      </w:r>
                    </w:p>
                    <w:p w14:paraId="013F00DC" w14:textId="77777777" w:rsidR="003968B2" w:rsidRPr="00E96C69" w:rsidRDefault="003968B2" w:rsidP="00E96C69">
                      <w:pPr>
                        <w:jc w:val="center"/>
                        <w:rPr>
                          <w:sz w:val="24"/>
                          <w:lang w:val="en-US"/>
                        </w:rPr>
                      </w:pPr>
                    </w:p>
                  </w:txbxContent>
                </v:textbox>
                <w10:wrap type="tight"/>
              </v:shape>
            </w:pict>
          </mc:Fallback>
        </mc:AlternateContent>
      </w:r>
    </w:p>
    <w:p w14:paraId="62D29836" w14:textId="0FDAF633" w:rsidR="006D091D" w:rsidRPr="008455B6" w:rsidRDefault="00A30C59" w:rsidP="008455B6">
      <w:pPr>
        <w:pStyle w:val="Heading1"/>
        <w:rPr>
          <w:rFonts w:ascii="Lato" w:hAnsi="Lato"/>
          <w:sz w:val="22"/>
          <w:szCs w:val="22"/>
        </w:rPr>
      </w:pPr>
      <w:r>
        <w:rPr>
          <w:rFonts w:ascii="Lato Black" w:hAnsi="Lato Black"/>
        </w:rPr>
        <w:t xml:space="preserve">GUIDING DOCUMENTS AND </w:t>
      </w:r>
      <w:r w:rsidR="008C0EF2">
        <w:rPr>
          <w:rFonts w:ascii="Lato Black" w:hAnsi="Lato Black"/>
        </w:rPr>
        <w:br/>
      </w:r>
      <w:bookmarkStart w:id="0" w:name="_GoBack"/>
      <w:bookmarkEnd w:id="0"/>
      <w:r>
        <w:rPr>
          <w:rFonts w:ascii="Lato Black" w:hAnsi="Lato Black"/>
        </w:rPr>
        <w:t>ADDITIONAL RESOURCES</w:t>
      </w:r>
    </w:p>
    <w:p w14:paraId="0A195C43" w14:textId="74733039" w:rsidR="00A30C59" w:rsidRPr="00371133" w:rsidRDefault="00A30C59" w:rsidP="00A30C59">
      <w:pPr>
        <w:spacing w:before="240" w:after="120"/>
        <w:rPr>
          <w:rFonts w:cs="Arial"/>
          <w:b/>
          <w:bCs/>
          <w:sz w:val="28"/>
          <w:szCs w:val="28"/>
          <w:lang w:val="en-US"/>
        </w:rPr>
      </w:pPr>
      <w:r w:rsidRPr="00371133">
        <w:rPr>
          <w:rFonts w:cs="Arial"/>
          <w:b/>
          <w:bCs/>
          <w:sz w:val="28"/>
          <w:szCs w:val="28"/>
          <w:lang w:val="en-US"/>
        </w:rPr>
        <w:t>Guiding documents</w:t>
      </w:r>
      <w:r w:rsidR="00E2477A">
        <w:rPr>
          <w:rFonts w:cs="Arial"/>
          <w:b/>
          <w:bCs/>
          <w:sz w:val="28"/>
          <w:szCs w:val="28"/>
          <w:lang w:val="en-US"/>
        </w:rPr>
        <w:t>: Professional Readings</w:t>
      </w:r>
    </w:p>
    <w:p w14:paraId="09F52938" w14:textId="77777777" w:rsidR="00A30C59" w:rsidRPr="00371133" w:rsidRDefault="00A30C59" w:rsidP="00A30C59">
      <w:pPr>
        <w:widowControl w:val="0"/>
        <w:numPr>
          <w:ilvl w:val="0"/>
          <w:numId w:val="10"/>
        </w:numPr>
        <w:tabs>
          <w:tab w:val="left" w:pos="567"/>
        </w:tabs>
        <w:autoSpaceDE w:val="0"/>
        <w:autoSpaceDN w:val="0"/>
        <w:adjustRightInd w:val="0"/>
        <w:contextualSpacing/>
        <w:rPr>
          <w:rFonts w:cs="Arial"/>
          <w:b/>
          <w:sz w:val="24"/>
        </w:rPr>
      </w:pPr>
      <w:r w:rsidRPr="00371133">
        <w:rPr>
          <w:rFonts w:cs="Arial"/>
          <w:b/>
          <w:sz w:val="24"/>
        </w:rPr>
        <w:t>United Nations Convention on the Rights of Persons with a Disability</w:t>
      </w:r>
    </w:p>
    <w:p w14:paraId="1D3B09A2" w14:textId="4B30F56B" w:rsidR="00A30C59" w:rsidRPr="00371133" w:rsidRDefault="00A30C59" w:rsidP="00A30C59">
      <w:pPr>
        <w:widowControl w:val="0"/>
        <w:tabs>
          <w:tab w:val="left" w:pos="567"/>
        </w:tabs>
        <w:autoSpaceDE w:val="0"/>
        <w:autoSpaceDN w:val="0"/>
        <w:adjustRightInd w:val="0"/>
        <w:ind w:left="357"/>
        <w:rPr>
          <w:rFonts w:cs="Arial"/>
        </w:rPr>
      </w:pPr>
      <w:r w:rsidRPr="00371133">
        <w:rPr>
          <w:rFonts w:cs="Arial"/>
          <w:lang w:val="en"/>
        </w:rPr>
        <w:t xml:space="preserve">The </w:t>
      </w:r>
      <w:hyperlink r:id="rId8" w:history="1">
        <w:r w:rsidRPr="00371133">
          <w:rPr>
            <w:rFonts w:cs="Arial"/>
            <w:color w:val="0000FF"/>
            <w:u w:val="single"/>
          </w:rPr>
          <w:t>Convention on the Rights of Persons with Disabilities</w:t>
        </w:r>
      </w:hyperlink>
      <w:r w:rsidRPr="00371133">
        <w:rPr>
          <w:rFonts w:cs="Arial"/>
          <w:lang w:val="en"/>
        </w:rPr>
        <w:t xml:space="preserve"> is an </w:t>
      </w:r>
      <w:hyperlink r:id="rId9" w:tooltip="International human rights instrument" w:history="1">
        <w:r w:rsidRPr="00371133">
          <w:rPr>
            <w:rFonts w:cs="Arial"/>
            <w:lang w:val="en"/>
          </w:rPr>
          <w:t>international human rights</w:t>
        </w:r>
      </w:hyperlink>
      <w:r w:rsidRPr="00371133">
        <w:rPr>
          <w:rFonts w:cs="Arial"/>
          <w:lang w:val="en"/>
        </w:rPr>
        <w:t xml:space="preserve"> </w:t>
      </w:r>
      <w:hyperlink r:id="rId10" w:tooltip="Multilateral treaty" w:history="1">
        <w:r w:rsidRPr="00371133">
          <w:rPr>
            <w:rFonts w:cs="Arial"/>
            <w:lang w:val="en"/>
          </w:rPr>
          <w:t>treaty</w:t>
        </w:r>
      </w:hyperlink>
      <w:r w:rsidRPr="00371133">
        <w:rPr>
          <w:rFonts w:cs="Arial"/>
          <w:lang w:val="en"/>
        </w:rPr>
        <w:t xml:space="preserve"> intended to protect the rights and dignity of persons with </w:t>
      </w:r>
      <w:hyperlink r:id="rId11" w:tooltip="Disability" w:history="1">
        <w:r w:rsidRPr="00371133">
          <w:rPr>
            <w:rFonts w:cs="Arial"/>
            <w:lang w:val="en"/>
          </w:rPr>
          <w:t>disability</w:t>
        </w:r>
      </w:hyperlink>
      <w:r w:rsidRPr="00371133">
        <w:rPr>
          <w:rFonts w:cs="Arial"/>
          <w:lang w:val="en"/>
        </w:rPr>
        <w:t>. The convention:</w:t>
      </w:r>
    </w:p>
    <w:p w14:paraId="7CED5FD8" w14:textId="77777777" w:rsidR="00A30C59" w:rsidRPr="00371133" w:rsidRDefault="00A30C59" w:rsidP="00A30C59">
      <w:pPr>
        <w:widowControl w:val="0"/>
        <w:numPr>
          <w:ilvl w:val="0"/>
          <w:numId w:val="8"/>
        </w:numPr>
        <w:tabs>
          <w:tab w:val="left" w:pos="709"/>
        </w:tabs>
        <w:autoSpaceDE w:val="0"/>
        <w:autoSpaceDN w:val="0"/>
        <w:adjustRightInd w:val="0"/>
        <w:ind w:left="714" w:hanging="357"/>
        <w:rPr>
          <w:rFonts w:cs="Arial"/>
        </w:rPr>
      </w:pPr>
      <w:proofErr w:type="gramStart"/>
      <w:r w:rsidRPr="00371133">
        <w:rPr>
          <w:rFonts w:cs="Arial"/>
        </w:rPr>
        <w:t>sets</w:t>
      </w:r>
      <w:proofErr w:type="gramEnd"/>
      <w:r w:rsidRPr="00371133">
        <w:rPr>
          <w:rFonts w:cs="Arial"/>
        </w:rPr>
        <w:t xml:space="preserve"> out the essential requirements to promote, protect and ensure full and equal enjoyment of all human rights by persons with disability. </w:t>
      </w:r>
    </w:p>
    <w:p w14:paraId="3982D310" w14:textId="77777777" w:rsidR="00A30C59" w:rsidRPr="00371133" w:rsidRDefault="00A30C59" w:rsidP="00A30C59">
      <w:pPr>
        <w:widowControl w:val="0"/>
        <w:numPr>
          <w:ilvl w:val="0"/>
          <w:numId w:val="8"/>
        </w:numPr>
        <w:tabs>
          <w:tab w:val="left" w:pos="709"/>
        </w:tabs>
        <w:autoSpaceDE w:val="0"/>
        <w:autoSpaceDN w:val="0"/>
        <w:adjustRightInd w:val="0"/>
        <w:ind w:left="714" w:hanging="357"/>
        <w:rPr>
          <w:rFonts w:cs="Arial"/>
        </w:rPr>
      </w:pPr>
      <w:proofErr w:type="gramStart"/>
      <w:r w:rsidRPr="00371133">
        <w:rPr>
          <w:rFonts w:cs="Arial"/>
        </w:rPr>
        <w:t>c</w:t>
      </w:r>
      <w:r w:rsidRPr="00371133">
        <w:rPr>
          <w:rFonts w:cs="Arial"/>
          <w:color w:val="000000"/>
          <w:lang w:val="en"/>
        </w:rPr>
        <w:t>overs</w:t>
      </w:r>
      <w:proofErr w:type="gramEnd"/>
      <w:r w:rsidRPr="00371133">
        <w:rPr>
          <w:rFonts w:cs="Arial"/>
          <w:color w:val="000000"/>
          <w:lang w:val="en"/>
        </w:rPr>
        <w:t xml:space="preserve"> a number of key areas relevant to effective transition planning including living independently and being included in the community; education; work and employment; participation in cultural life, recreation, leisure and sport; equality and non-discrimination.</w:t>
      </w:r>
    </w:p>
    <w:p w14:paraId="6AE7CE5F" w14:textId="77777777" w:rsidR="00A30C59" w:rsidRPr="00371133" w:rsidRDefault="00A30C59" w:rsidP="00A30C59">
      <w:pPr>
        <w:widowControl w:val="0"/>
        <w:tabs>
          <w:tab w:val="left" w:pos="709"/>
        </w:tabs>
        <w:autoSpaceDE w:val="0"/>
        <w:autoSpaceDN w:val="0"/>
        <w:adjustRightInd w:val="0"/>
        <w:ind w:left="714"/>
        <w:rPr>
          <w:rFonts w:cs="Arial"/>
        </w:rPr>
      </w:pPr>
    </w:p>
    <w:p w14:paraId="59E5103D" w14:textId="77777777" w:rsidR="00A30C59" w:rsidRPr="00371133" w:rsidRDefault="00A30C59" w:rsidP="00A30C59">
      <w:pPr>
        <w:widowControl w:val="0"/>
        <w:numPr>
          <w:ilvl w:val="0"/>
          <w:numId w:val="10"/>
        </w:numPr>
        <w:tabs>
          <w:tab w:val="left" w:pos="567"/>
        </w:tabs>
        <w:autoSpaceDE w:val="0"/>
        <w:autoSpaceDN w:val="0"/>
        <w:adjustRightInd w:val="0"/>
        <w:contextualSpacing/>
        <w:rPr>
          <w:rFonts w:cs="Arial"/>
          <w:b/>
          <w:sz w:val="24"/>
        </w:rPr>
      </w:pPr>
      <w:r w:rsidRPr="00371133">
        <w:rPr>
          <w:rFonts w:cs="Arial"/>
          <w:b/>
          <w:sz w:val="24"/>
        </w:rPr>
        <w:t>National Disability Strategy</w:t>
      </w:r>
    </w:p>
    <w:p w14:paraId="43ACEC92" w14:textId="77777777" w:rsidR="00A30C59" w:rsidRPr="00371133" w:rsidRDefault="00A30C59" w:rsidP="00A30C59">
      <w:pPr>
        <w:widowControl w:val="0"/>
        <w:tabs>
          <w:tab w:val="left" w:pos="567"/>
        </w:tabs>
        <w:autoSpaceDE w:val="0"/>
        <w:autoSpaceDN w:val="0"/>
        <w:adjustRightInd w:val="0"/>
        <w:ind w:left="360"/>
        <w:rPr>
          <w:rFonts w:cs="Arial"/>
          <w:lang w:val="en"/>
        </w:rPr>
      </w:pPr>
      <w:r w:rsidRPr="00371133">
        <w:rPr>
          <w:rFonts w:cs="Arial"/>
          <w:lang w:val="en"/>
        </w:rPr>
        <w:t xml:space="preserve">The </w:t>
      </w:r>
      <w:hyperlink r:id="rId12" w:history="1">
        <w:r w:rsidRPr="00371133">
          <w:rPr>
            <w:rFonts w:cs="Arial"/>
            <w:color w:val="0000FF"/>
            <w:u w:val="single"/>
          </w:rPr>
          <w:t>National Disability Strategy - Australian Government Department of Social Services</w:t>
        </w:r>
      </w:hyperlink>
      <w:r w:rsidRPr="00371133">
        <w:rPr>
          <w:rFonts w:cs="Arial"/>
          <w:color w:val="0000FF"/>
          <w:u w:val="single"/>
        </w:rPr>
        <w:t xml:space="preserve"> </w:t>
      </w:r>
      <w:r w:rsidRPr="00371133">
        <w:rPr>
          <w:rFonts w:cs="Arial"/>
          <w:lang w:val="en"/>
        </w:rPr>
        <w:t xml:space="preserve">outlines the commitment of all Australian governments to a unified, national approach to improving the lives of people with disability, their families and </w:t>
      </w:r>
      <w:proofErr w:type="spellStart"/>
      <w:r w:rsidRPr="00371133">
        <w:rPr>
          <w:rFonts w:cs="Arial"/>
          <w:lang w:val="en"/>
        </w:rPr>
        <w:t>carers</w:t>
      </w:r>
      <w:proofErr w:type="spellEnd"/>
      <w:r w:rsidRPr="00371133">
        <w:rPr>
          <w:rFonts w:cs="Arial"/>
          <w:lang w:val="en"/>
        </w:rPr>
        <w:t xml:space="preserve">, and to providing leadership for a community-wide shift in attitudes. </w:t>
      </w:r>
    </w:p>
    <w:p w14:paraId="5BFC72E8" w14:textId="77777777" w:rsidR="00A30C59" w:rsidRPr="00371133" w:rsidRDefault="00A30C59" w:rsidP="00A30C59">
      <w:pPr>
        <w:widowControl w:val="0"/>
        <w:tabs>
          <w:tab w:val="left" w:pos="567"/>
        </w:tabs>
        <w:autoSpaceDE w:val="0"/>
        <w:autoSpaceDN w:val="0"/>
        <w:adjustRightInd w:val="0"/>
        <w:spacing w:before="120"/>
        <w:ind w:left="360"/>
        <w:rPr>
          <w:rFonts w:cs="Arial"/>
        </w:rPr>
      </w:pPr>
      <w:r w:rsidRPr="00371133">
        <w:rPr>
          <w:rFonts w:cs="Arial"/>
          <w:lang w:val="en"/>
        </w:rPr>
        <w:t xml:space="preserve">The Strategy </w:t>
      </w:r>
      <w:r w:rsidRPr="00371133">
        <w:rPr>
          <w:rFonts w:cs="Arial"/>
        </w:rPr>
        <w:t>covers six policy areas relevant to effective transition planning including:</w:t>
      </w:r>
    </w:p>
    <w:p w14:paraId="7ED10E43" w14:textId="77777777" w:rsidR="00A30C59" w:rsidRPr="00371133" w:rsidRDefault="00A30C59" w:rsidP="00A30C59">
      <w:pPr>
        <w:widowControl w:val="0"/>
        <w:numPr>
          <w:ilvl w:val="0"/>
          <w:numId w:val="15"/>
        </w:numPr>
        <w:autoSpaceDE w:val="0"/>
        <w:autoSpaceDN w:val="0"/>
        <w:adjustRightInd w:val="0"/>
        <w:ind w:left="786"/>
        <w:contextualSpacing/>
        <w:rPr>
          <w:rFonts w:cs="Arial"/>
        </w:rPr>
      </w:pPr>
      <w:r w:rsidRPr="00371133">
        <w:rPr>
          <w:rFonts w:cs="Arial"/>
        </w:rPr>
        <w:t xml:space="preserve">personal and community support </w:t>
      </w:r>
    </w:p>
    <w:p w14:paraId="351D1454" w14:textId="77777777" w:rsidR="00A30C59" w:rsidRPr="00371133" w:rsidRDefault="00A30C59" w:rsidP="00A30C59">
      <w:pPr>
        <w:widowControl w:val="0"/>
        <w:numPr>
          <w:ilvl w:val="0"/>
          <w:numId w:val="15"/>
        </w:numPr>
        <w:autoSpaceDE w:val="0"/>
        <w:autoSpaceDN w:val="0"/>
        <w:adjustRightInd w:val="0"/>
        <w:spacing w:after="240"/>
        <w:ind w:left="786"/>
        <w:contextualSpacing/>
        <w:rPr>
          <w:rFonts w:cs="Arial"/>
        </w:rPr>
      </w:pPr>
      <w:proofErr w:type="gramStart"/>
      <w:r w:rsidRPr="00371133">
        <w:rPr>
          <w:rFonts w:cs="Arial"/>
        </w:rPr>
        <w:t>learning</w:t>
      </w:r>
      <w:proofErr w:type="gramEnd"/>
      <w:r w:rsidRPr="00371133">
        <w:rPr>
          <w:rFonts w:cs="Arial"/>
        </w:rPr>
        <w:t xml:space="preserve"> and skills.</w:t>
      </w:r>
    </w:p>
    <w:p w14:paraId="37A1BB40" w14:textId="77777777" w:rsidR="00A30C59" w:rsidRPr="00371133" w:rsidRDefault="00A30C59" w:rsidP="00A30C59">
      <w:pPr>
        <w:widowControl w:val="0"/>
        <w:tabs>
          <w:tab w:val="left" w:pos="0"/>
        </w:tabs>
        <w:autoSpaceDE w:val="0"/>
        <w:autoSpaceDN w:val="0"/>
        <w:adjustRightInd w:val="0"/>
        <w:ind w:left="357"/>
        <w:rPr>
          <w:rFonts w:cs="Arial"/>
        </w:rPr>
      </w:pPr>
    </w:p>
    <w:p w14:paraId="52994CD5" w14:textId="77777777" w:rsidR="00A30C59" w:rsidRPr="00371133" w:rsidRDefault="00A30C59" w:rsidP="00A30C59">
      <w:pPr>
        <w:widowControl w:val="0"/>
        <w:numPr>
          <w:ilvl w:val="0"/>
          <w:numId w:val="10"/>
        </w:numPr>
        <w:tabs>
          <w:tab w:val="left" w:pos="567"/>
        </w:tabs>
        <w:autoSpaceDE w:val="0"/>
        <w:autoSpaceDN w:val="0"/>
        <w:adjustRightInd w:val="0"/>
        <w:contextualSpacing/>
        <w:rPr>
          <w:rFonts w:cs="Arial"/>
          <w:b/>
          <w:sz w:val="24"/>
        </w:rPr>
      </w:pPr>
      <w:r w:rsidRPr="00371133">
        <w:rPr>
          <w:rFonts w:cs="Arial"/>
          <w:b/>
          <w:sz w:val="24"/>
        </w:rPr>
        <w:t>National Framework for Protecting Australia’s Children</w:t>
      </w:r>
    </w:p>
    <w:p w14:paraId="5E256543" w14:textId="77777777" w:rsidR="00A30C59" w:rsidRPr="00371133" w:rsidRDefault="00A30C59" w:rsidP="00A30C59">
      <w:pPr>
        <w:widowControl w:val="0"/>
        <w:tabs>
          <w:tab w:val="left" w:pos="567"/>
        </w:tabs>
        <w:autoSpaceDE w:val="0"/>
        <w:autoSpaceDN w:val="0"/>
        <w:adjustRightInd w:val="0"/>
        <w:ind w:left="357"/>
        <w:rPr>
          <w:rFonts w:cs="Arial"/>
        </w:rPr>
      </w:pPr>
      <w:r w:rsidRPr="00371133">
        <w:rPr>
          <w:rFonts w:cs="Arial"/>
          <w:lang w:val="en"/>
        </w:rPr>
        <w:t xml:space="preserve">The </w:t>
      </w:r>
      <w:hyperlink r:id="rId13" w:history="1">
        <w:r w:rsidRPr="00371133">
          <w:rPr>
            <w:rFonts w:cs="Arial"/>
            <w:color w:val="0000FF"/>
            <w:u w:val="single"/>
            <w:lang w:val="en"/>
          </w:rPr>
          <w:t>National Framework for Protecting Australia’s Children</w:t>
        </w:r>
      </w:hyperlink>
      <w:r w:rsidRPr="00371133">
        <w:rPr>
          <w:rFonts w:cs="Arial"/>
          <w:color w:val="2C2A29"/>
          <w:lang w:val="en"/>
        </w:rPr>
        <w:t xml:space="preserve"> </w:t>
      </w:r>
      <w:r w:rsidRPr="00371133">
        <w:rPr>
          <w:rFonts w:cs="Arial"/>
          <w:lang w:val="en"/>
        </w:rPr>
        <w:t xml:space="preserve">applies to Commonwealth, State and Territory governments, non-government </w:t>
      </w:r>
      <w:proofErr w:type="spellStart"/>
      <w:r w:rsidRPr="00371133">
        <w:rPr>
          <w:rFonts w:cs="Arial"/>
          <w:lang w:val="en"/>
        </w:rPr>
        <w:t>organisations</w:t>
      </w:r>
      <w:proofErr w:type="spellEnd"/>
      <w:r w:rsidRPr="00371133">
        <w:rPr>
          <w:rFonts w:cs="Arial"/>
          <w:lang w:val="en"/>
        </w:rPr>
        <w:t>, service providers and individuals with an interest in ensuring Australia’s children are safe and well. The framework:</w:t>
      </w:r>
    </w:p>
    <w:p w14:paraId="5BAAAC08" w14:textId="77777777" w:rsidR="00A30C59" w:rsidRPr="00371133" w:rsidRDefault="00A30C59" w:rsidP="00A30C59">
      <w:pPr>
        <w:widowControl w:val="0"/>
        <w:numPr>
          <w:ilvl w:val="0"/>
          <w:numId w:val="9"/>
        </w:numPr>
        <w:tabs>
          <w:tab w:val="left" w:pos="709"/>
        </w:tabs>
        <w:autoSpaceDE w:val="0"/>
        <w:autoSpaceDN w:val="0"/>
        <w:adjustRightInd w:val="0"/>
        <w:ind w:left="714" w:hanging="357"/>
        <w:rPr>
          <w:rFonts w:cs="Arial"/>
        </w:rPr>
      </w:pPr>
      <w:proofErr w:type="gramStart"/>
      <w:r w:rsidRPr="00371133">
        <w:rPr>
          <w:rFonts w:cs="Arial"/>
        </w:rPr>
        <w:t>sets</w:t>
      </w:r>
      <w:proofErr w:type="gramEnd"/>
      <w:r w:rsidRPr="00371133">
        <w:rPr>
          <w:rFonts w:cs="Arial"/>
        </w:rPr>
        <w:t xml:space="preserve"> out a long term approach to ensuring the safety and wellbeing of Australia’s children.</w:t>
      </w:r>
    </w:p>
    <w:p w14:paraId="3D968FF0" w14:textId="77777777" w:rsidR="00A30C59" w:rsidRPr="00371133" w:rsidRDefault="00A30C59" w:rsidP="00A30C59">
      <w:pPr>
        <w:widowControl w:val="0"/>
        <w:numPr>
          <w:ilvl w:val="0"/>
          <w:numId w:val="9"/>
        </w:numPr>
        <w:tabs>
          <w:tab w:val="left" w:pos="709"/>
        </w:tabs>
        <w:autoSpaceDE w:val="0"/>
        <w:autoSpaceDN w:val="0"/>
        <w:adjustRightInd w:val="0"/>
        <w:ind w:left="714" w:hanging="357"/>
        <w:rPr>
          <w:rFonts w:cs="Arial"/>
        </w:rPr>
      </w:pPr>
      <w:proofErr w:type="gramStart"/>
      <w:r w:rsidRPr="00371133">
        <w:rPr>
          <w:rFonts w:cs="Arial"/>
        </w:rPr>
        <w:t>outlines</w:t>
      </w:r>
      <w:proofErr w:type="gramEnd"/>
      <w:r w:rsidRPr="00371133">
        <w:rPr>
          <w:rFonts w:cs="Arial"/>
        </w:rPr>
        <w:t xml:space="preserve"> six supporting outcomes relevant to effective transition planning including ensuring that children who have been abused or neglected receive the support and care they need, and improving support for young people leaving care. </w:t>
      </w:r>
    </w:p>
    <w:p w14:paraId="541CCCA4" w14:textId="77777777" w:rsidR="00A30C59" w:rsidRPr="00371133" w:rsidRDefault="00A30C59" w:rsidP="00A30C59">
      <w:pPr>
        <w:rPr>
          <w:rFonts w:cs="Arial"/>
          <w:b/>
          <w:lang w:val="en"/>
        </w:rPr>
      </w:pPr>
    </w:p>
    <w:p w14:paraId="6FE3A357" w14:textId="77777777" w:rsidR="00A30C59" w:rsidRPr="00371133" w:rsidRDefault="00A30C59" w:rsidP="00A30C59">
      <w:pPr>
        <w:numPr>
          <w:ilvl w:val="0"/>
          <w:numId w:val="10"/>
        </w:numPr>
        <w:contextualSpacing/>
        <w:rPr>
          <w:rFonts w:cs="Arial"/>
          <w:b/>
          <w:sz w:val="24"/>
          <w:lang w:val="en"/>
        </w:rPr>
      </w:pPr>
      <w:r w:rsidRPr="00371133">
        <w:rPr>
          <w:rFonts w:cs="Arial"/>
          <w:b/>
          <w:sz w:val="24"/>
          <w:lang w:val="en"/>
        </w:rPr>
        <w:t>National Standards for Disability Services</w:t>
      </w:r>
    </w:p>
    <w:p w14:paraId="0AFE32CD" w14:textId="77777777" w:rsidR="00A30C59" w:rsidRPr="00371133" w:rsidRDefault="00A30C59" w:rsidP="00A30C59">
      <w:pPr>
        <w:ind w:left="360"/>
        <w:rPr>
          <w:rFonts w:cs="Arial"/>
          <w:b/>
          <w:lang w:val="en"/>
        </w:rPr>
      </w:pPr>
      <w:r w:rsidRPr="00371133">
        <w:rPr>
          <w:rFonts w:cs="Arial"/>
        </w:rPr>
        <w:t xml:space="preserve">The </w:t>
      </w:r>
      <w:hyperlink r:id="rId14" w:history="1">
        <w:r w:rsidRPr="00371133">
          <w:rPr>
            <w:rFonts w:cs="Arial"/>
            <w:color w:val="0000FF"/>
            <w:u w:val="single"/>
          </w:rPr>
          <w:t>National Standards for Disability Services</w:t>
        </w:r>
      </w:hyperlink>
      <w:r w:rsidRPr="00371133">
        <w:rPr>
          <w:rFonts w:cs="Arial"/>
        </w:rPr>
        <w:t xml:space="preserve"> help to promote and drive a nationally consistent approach to improving the quality of services available to individuals. The standards:</w:t>
      </w:r>
    </w:p>
    <w:p w14:paraId="54EF8F0E" w14:textId="77777777" w:rsidR="00A30C59" w:rsidRPr="00371133" w:rsidRDefault="00A30C59" w:rsidP="00A30C59">
      <w:pPr>
        <w:widowControl w:val="0"/>
        <w:numPr>
          <w:ilvl w:val="0"/>
          <w:numId w:val="7"/>
        </w:numPr>
        <w:tabs>
          <w:tab w:val="left" w:pos="0"/>
        </w:tabs>
        <w:autoSpaceDE w:val="0"/>
        <w:autoSpaceDN w:val="0"/>
        <w:adjustRightInd w:val="0"/>
        <w:ind w:left="720"/>
        <w:rPr>
          <w:rFonts w:cs="Arial"/>
        </w:rPr>
      </w:pPr>
      <w:proofErr w:type="gramStart"/>
      <w:r w:rsidRPr="00371133">
        <w:rPr>
          <w:rFonts w:cs="Arial"/>
        </w:rPr>
        <w:t>set</w:t>
      </w:r>
      <w:proofErr w:type="gramEnd"/>
      <w:r w:rsidRPr="00371133">
        <w:rPr>
          <w:rFonts w:cs="Arial"/>
        </w:rPr>
        <w:t xml:space="preserve"> out nationally consistent quality standards to apply to the disability services sector.</w:t>
      </w:r>
    </w:p>
    <w:p w14:paraId="054FE8DA" w14:textId="77777777" w:rsidR="00A30C59" w:rsidRPr="00371133" w:rsidRDefault="00A30C59" w:rsidP="00A30C59">
      <w:pPr>
        <w:widowControl w:val="0"/>
        <w:numPr>
          <w:ilvl w:val="0"/>
          <w:numId w:val="7"/>
        </w:numPr>
        <w:tabs>
          <w:tab w:val="left" w:pos="0"/>
        </w:tabs>
        <w:autoSpaceDE w:val="0"/>
        <w:autoSpaceDN w:val="0"/>
        <w:adjustRightInd w:val="0"/>
        <w:ind w:left="720"/>
        <w:rPr>
          <w:rFonts w:cs="Arial"/>
        </w:rPr>
      </w:pPr>
      <w:proofErr w:type="gramStart"/>
      <w:r w:rsidRPr="00371133">
        <w:rPr>
          <w:rFonts w:cs="Arial"/>
        </w:rPr>
        <w:t>focus</w:t>
      </w:r>
      <w:proofErr w:type="gramEnd"/>
      <w:r w:rsidRPr="00371133">
        <w:rPr>
          <w:rFonts w:cs="Arial"/>
        </w:rPr>
        <w:t xml:space="preserve"> on person-centred approaches and promote choice and control by people with disability.</w:t>
      </w:r>
    </w:p>
    <w:p w14:paraId="65A4A1B9" w14:textId="77777777" w:rsidR="00A30C59" w:rsidRPr="00371133" w:rsidRDefault="00A30C59" w:rsidP="00A30C59">
      <w:pPr>
        <w:widowControl w:val="0"/>
        <w:numPr>
          <w:ilvl w:val="0"/>
          <w:numId w:val="7"/>
        </w:numPr>
        <w:tabs>
          <w:tab w:val="left" w:pos="0"/>
        </w:tabs>
        <w:autoSpaceDE w:val="0"/>
        <w:autoSpaceDN w:val="0"/>
        <w:adjustRightInd w:val="0"/>
        <w:ind w:left="720"/>
        <w:rPr>
          <w:rFonts w:cs="Arial"/>
        </w:rPr>
      </w:pPr>
      <w:proofErr w:type="gramStart"/>
      <w:r w:rsidRPr="00371133">
        <w:rPr>
          <w:rFonts w:cs="Arial"/>
        </w:rPr>
        <w:t>include</w:t>
      </w:r>
      <w:proofErr w:type="gramEnd"/>
      <w:r w:rsidRPr="00371133">
        <w:rPr>
          <w:rFonts w:cs="Arial"/>
        </w:rPr>
        <w:t xml:space="preserve"> six standards that are all relevant to effective transition planning.</w:t>
      </w:r>
    </w:p>
    <w:p w14:paraId="77DD2EB0" w14:textId="77777777" w:rsidR="00A30C59" w:rsidRPr="00371133" w:rsidRDefault="00A30C59" w:rsidP="00A30C59">
      <w:pPr>
        <w:numPr>
          <w:ilvl w:val="0"/>
          <w:numId w:val="7"/>
        </w:numPr>
        <w:ind w:left="720"/>
        <w:rPr>
          <w:rFonts w:cs="Arial"/>
          <w:b/>
          <w:lang w:val="en"/>
        </w:rPr>
      </w:pPr>
      <w:proofErr w:type="gramStart"/>
      <w:r w:rsidRPr="00371133">
        <w:rPr>
          <w:rFonts w:cs="Arial"/>
        </w:rPr>
        <w:t>have</w:t>
      </w:r>
      <w:proofErr w:type="gramEnd"/>
      <w:r w:rsidRPr="00371133">
        <w:rPr>
          <w:rFonts w:cs="Arial"/>
        </w:rPr>
        <w:t xml:space="preserve"> been adopted by the Australian Government across its Disability Employment Services, and State and Territory governments are expected to adopt the new standards.</w:t>
      </w:r>
    </w:p>
    <w:p w14:paraId="64F6B4C3" w14:textId="7AB6569C" w:rsidR="001475C2" w:rsidRDefault="001475C2">
      <w:r>
        <w:br w:type="page"/>
      </w:r>
    </w:p>
    <w:p w14:paraId="338884BD" w14:textId="77777777" w:rsidR="00A21D4D" w:rsidRDefault="001475C2" w:rsidP="00A21D4D">
      <w:pPr>
        <w:tabs>
          <w:tab w:val="left" w:pos="426"/>
        </w:tabs>
        <w:rPr>
          <w:b/>
        </w:rPr>
      </w:pPr>
      <w:r w:rsidRPr="001475C2">
        <w:rPr>
          <w:b/>
        </w:rPr>
        <w:lastRenderedPageBreak/>
        <w:t>e)</w:t>
      </w:r>
      <w:r w:rsidRPr="001475C2">
        <w:rPr>
          <w:b/>
        </w:rPr>
        <w:tab/>
        <w:t xml:space="preserve">Disability Employment Services Eligible School Leavers Guidelines </w:t>
      </w:r>
    </w:p>
    <w:p w14:paraId="69A6EBCD" w14:textId="418557DD" w:rsidR="001475C2" w:rsidRPr="001475C2" w:rsidRDefault="001475C2" w:rsidP="00A21D4D">
      <w:pPr>
        <w:tabs>
          <w:tab w:val="left" w:pos="426"/>
        </w:tabs>
        <w:ind w:left="426"/>
        <w:rPr>
          <w:b/>
        </w:rPr>
      </w:pPr>
      <w:r w:rsidRPr="001475C2">
        <w:rPr>
          <w:rFonts w:cs="Arial"/>
          <w:lang w:val="en"/>
        </w:rPr>
        <w:t>The Disability employment Services Eligible School Leavers guidelines assists students with significant disability to transition from school to post-school open employment. This document outlines the participation requirements, and how job seekers can satisfy their participation requirements and continue to receive income support.</w:t>
      </w:r>
    </w:p>
    <w:p w14:paraId="793CD82B" w14:textId="77777777" w:rsidR="001475C2" w:rsidRPr="001475C2" w:rsidRDefault="001475C2" w:rsidP="001475C2">
      <w:pPr>
        <w:widowControl w:val="0"/>
        <w:tabs>
          <w:tab w:val="left" w:pos="567"/>
        </w:tabs>
        <w:autoSpaceDE w:val="0"/>
        <w:autoSpaceDN w:val="0"/>
        <w:adjustRightInd w:val="0"/>
        <w:spacing w:before="240" w:after="240"/>
        <w:contextualSpacing/>
        <w:rPr>
          <w:rFonts w:cs="Arial"/>
          <w:b/>
          <w:bCs/>
          <w:sz w:val="28"/>
          <w:szCs w:val="28"/>
          <w:lang w:val="en-US"/>
        </w:rPr>
      </w:pPr>
    </w:p>
    <w:p w14:paraId="2E3DD49F" w14:textId="77777777" w:rsidR="001475C2" w:rsidRPr="001475C2" w:rsidRDefault="001475C2" w:rsidP="001475C2">
      <w:pPr>
        <w:widowControl w:val="0"/>
        <w:tabs>
          <w:tab w:val="left" w:pos="567"/>
        </w:tabs>
        <w:autoSpaceDE w:val="0"/>
        <w:autoSpaceDN w:val="0"/>
        <w:adjustRightInd w:val="0"/>
        <w:spacing w:before="240" w:after="240"/>
        <w:contextualSpacing/>
        <w:rPr>
          <w:rFonts w:cs="Arial"/>
          <w:b/>
          <w:bCs/>
          <w:sz w:val="28"/>
          <w:szCs w:val="28"/>
          <w:lang w:val="en-US"/>
        </w:rPr>
      </w:pPr>
      <w:r w:rsidRPr="001475C2">
        <w:rPr>
          <w:rFonts w:cs="Arial"/>
          <w:b/>
          <w:bCs/>
          <w:sz w:val="28"/>
          <w:szCs w:val="28"/>
          <w:lang w:val="en-US"/>
        </w:rPr>
        <w:t>Additional Resources</w:t>
      </w:r>
    </w:p>
    <w:p w14:paraId="151299ED" w14:textId="77777777" w:rsidR="001475C2" w:rsidRPr="001475C2" w:rsidRDefault="001475C2" w:rsidP="00E2477A">
      <w:pPr>
        <w:numPr>
          <w:ilvl w:val="0"/>
          <w:numId w:val="16"/>
        </w:numPr>
        <w:ind w:left="360"/>
        <w:contextualSpacing/>
        <w:rPr>
          <w:rFonts w:cs="Arial"/>
          <w:b/>
          <w:sz w:val="24"/>
        </w:rPr>
      </w:pPr>
      <w:r w:rsidRPr="001475C2">
        <w:rPr>
          <w:rFonts w:cs="Arial"/>
          <w:b/>
          <w:sz w:val="24"/>
        </w:rPr>
        <w:t xml:space="preserve">Department of Education </w:t>
      </w:r>
    </w:p>
    <w:p w14:paraId="05A7DB7D" w14:textId="77777777" w:rsidR="001475C2" w:rsidRPr="001475C2" w:rsidRDefault="001475C2" w:rsidP="00E2477A">
      <w:pPr>
        <w:ind w:left="360"/>
        <w:rPr>
          <w:rFonts w:cs="Arial"/>
          <w:u w:val="single"/>
        </w:rPr>
      </w:pPr>
      <w:r w:rsidRPr="001475C2">
        <w:rPr>
          <w:rFonts w:cs="Arial"/>
        </w:rPr>
        <w:t xml:space="preserve">The </w:t>
      </w:r>
      <w:hyperlink r:id="rId15" w:history="1">
        <w:r w:rsidRPr="001475C2">
          <w:rPr>
            <w:rFonts w:cs="Arial"/>
            <w:color w:val="0000FF"/>
            <w:u w:val="single"/>
          </w:rPr>
          <w:t>Transitioning from school services webpage</w:t>
        </w:r>
      </w:hyperlink>
      <w:r w:rsidRPr="001475C2">
        <w:rPr>
          <w:rFonts w:cs="Arial"/>
        </w:rPr>
        <w:t xml:space="preserve"> provides additional information regarding service delivery and transitional practices in the Northern Territory. </w:t>
      </w:r>
    </w:p>
    <w:p w14:paraId="139BFB57" w14:textId="77777777" w:rsidR="001475C2" w:rsidRPr="001475C2" w:rsidRDefault="001475C2" w:rsidP="00E2477A">
      <w:pPr>
        <w:rPr>
          <w:rFonts w:cs="Arial"/>
          <w:u w:val="single"/>
        </w:rPr>
      </w:pPr>
    </w:p>
    <w:p w14:paraId="62060388" w14:textId="77777777" w:rsidR="001475C2" w:rsidRPr="001475C2" w:rsidRDefault="001475C2" w:rsidP="00E2477A">
      <w:pPr>
        <w:rPr>
          <w:rFonts w:cs="Arial"/>
          <w:u w:val="single"/>
        </w:rPr>
      </w:pPr>
      <w:r w:rsidRPr="001475C2">
        <w:rPr>
          <w:rFonts w:cs="Arial"/>
          <w:b/>
          <w:sz w:val="24"/>
        </w:rPr>
        <w:t>b)</w:t>
      </w:r>
      <w:r w:rsidRPr="001475C2">
        <w:rPr>
          <w:rFonts w:cs="Arial"/>
          <w:b/>
        </w:rPr>
        <w:t xml:space="preserve"> </w:t>
      </w:r>
      <w:r w:rsidRPr="001475C2">
        <w:rPr>
          <w:rFonts w:cs="Arial"/>
          <w:b/>
          <w:sz w:val="24"/>
        </w:rPr>
        <w:t xml:space="preserve">Dr Paula Kohler </w:t>
      </w:r>
    </w:p>
    <w:p w14:paraId="1BC26AD3" w14:textId="22A356E3" w:rsidR="001475C2" w:rsidRPr="001475C2" w:rsidRDefault="001475C2" w:rsidP="00E2477A">
      <w:pPr>
        <w:numPr>
          <w:ilvl w:val="0"/>
          <w:numId w:val="11"/>
        </w:numPr>
        <w:ind w:left="720"/>
        <w:rPr>
          <w:rFonts w:cs="Arial"/>
        </w:rPr>
      </w:pPr>
      <w:r w:rsidRPr="001475C2">
        <w:rPr>
          <w:rFonts w:cs="Arial"/>
        </w:rPr>
        <w:t xml:space="preserve">Dr </w:t>
      </w:r>
      <w:r w:rsidR="00DF117F">
        <w:rPr>
          <w:rFonts w:cs="Arial"/>
        </w:rPr>
        <w:t xml:space="preserve">Paula D </w:t>
      </w:r>
      <w:r w:rsidRPr="001475C2">
        <w:rPr>
          <w:rFonts w:cs="Arial"/>
        </w:rPr>
        <w:t>Kohler is recognised for her research in effective transition practices for youth with disability including effective transition programs, transition-related competencies, career and technical experiences, work-based education and other aspects of transition-focused education.</w:t>
      </w:r>
    </w:p>
    <w:p w14:paraId="0C88E225" w14:textId="6B12BE08" w:rsidR="001475C2" w:rsidRPr="001475C2" w:rsidRDefault="00DF117F" w:rsidP="00E2477A">
      <w:pPr>
        <w:numPr>
          <w:ilvl w:val="0"/>
          <w:numId w:val="11"/>
        </w:numPr>
        <w:ind w:left="720"/>
        <w:rPr>
          <w:rFonts w:cs="Arial"/>
        </w:rPr>
      </w:pPr>
      <w:r>
        <w:rPr>
          <w:rFonts w:cs="Arial"/>
        </w:rPr>
        <w:t xml:space="preserve">Dr </w:t>
      </w:r>
      <w:proofErr w:type="gramStart"/>
      <w:r>
        <w:rPr>
          <w:rFonts w:cs="Arial"/>
        </w:rPr>
        <w:t xml:space="preserve">Kohler’s </w:t>
      </w:r>
      <w:r w:rsidR="001475C2" w:rsidRPr="001475C2">
        <w:rPr>
          <w:rFonts w:cs="Arial"/>
        </w:rPr>
        <w:t xml:space="preserve"> </w:t>
      </w:r>
      <w:proofErr w:type="gramEnd"/>
      <w:hyperlink r:id="rId16" w:history="1">
        <w:r w:rsidR="001475C2" w:rsidRPr="00A21D4D">
          <w:rPr>
            <w:rStyle w:val="Hyperlink"/>
            <w:rFonts w:cs="Arial"/>
          </w:rPr>
          <w:t>taxonomy model</w:t>
        </w:r>
      </w:hyperlink>
      <w:r w:rsidR="001475C2" w:rsidRPr="001475C2">
        <w:rPr>
          <w:rFonts w:cs="Arial"/>
        </w:rPr>
        <w:t xml:space="preserve"> is represented for planning, organising and evaluating transition education, services and programs.</w:t>
      </w:r>
    </w:p>
    <w:p w14:paraId="28EDD157" w14:textId="77777777" w:rsidR="001475C2" w:rsidRPr="001475C2" w:rsidRDefault="001475C2" w:rsidP="00E2477A">
      <w:pPr>
        <w:rPr>
          <w:rFonts w:cs="Arial"/>
          <w:b/>
          <w:sz w:val="24"/>
        </w:rPr>
      </w:pPr>
      <w:r w:rsidRPr="001475C2">
        <w:rPr>
          <w:rFonts w:cs="Arial"/>
          <w:b/>
          <w:sz w:val="24"/>
        </w:rPr>
        <w:t xml:space="preserve">  </w:t>
      </w:r>
    </w:p>
    <w:p w14:paraId="4684BE29" w14:textId="77777777" w:rsidR="001475C2" w:rsidRPr="001475C2" w:rsidRDefault="001475C2" w:rsidP="00E2477A">
      <w:pPr>
        <w:rPr>
          <w:rFonts w:cs="Arial"/>
          <w:b/>
          <w:sz w:val="24"/>
        </w:rPr>
      </w:pPr>
      <w:r w:rsidRPr="001475C2">
        <w:rPr>
          <w:rFonts w:cs="Arial"/>
          <w:b/>
          <w:sz w:val="24"/>
        </w:rPr>
        <w:t>c) Family-friendly-fun.com</w:t>
      </w:r>
    </w:p>
    <w:p w14:paraId="6D8016A4" w14:textId="77777777" w:rsidR="001475C2" w:rsidRPr="001475C2" w:rsidRDefault="001475C2" w:rsidP="00A21D4D">
      <w:pPr>
        <w:ind w:left="284"/>
        <w:rPr>
          <w:rFonts w:cs="Arial"/>
        </w:rPr>
      </w:pPr>
      <w:r w:rsidRPr="001475C2">
        <w:rPr>
          <w:rFonts w:cs="Arial"/>
        </w:rPr>
        <w:t xml:space="preserve">An easy to read, informative article around the transition process and the importance of interagency collaboration: </w:t>
      </w:r>
      <w:hyperlink r:id="rId17" w:history="1">
        <w:r w:rsidRPr="001475C2">
          <w:rPr>
            <w:rFonts w:cs="Arial"/>
            <w:color w:val="0000FF"/>
            <w:u w:val="single"/>
          </w:rPr>
          <w:t>Special education transition planning.</w:t>
        </w:r>
      </w:hyperlink>
    </w:p>
    <w:p w14:paraId="65F1730F" w14:textId="77777777" w:rsidR="001475C2" w:rsidRPr="001475C2" w:rsidRDefault="001475C2" w:rsidP="00E2477A">
      <w:pPr>
        <w:rPr>
          <w:rFonts w:cs="Arial"/>
        </w:rPr>
      </w:pPr>
    </w:p>
    <w:p w14:paraId="7AD7EC6C" w14:textId="10357795" w:rsidR="001475C2" w:rsidRPr="001475C2" w:rsidRDefault="001475C2" w:rsidP="00E2477A">
      <w:pPr>
        <w:rPr>
          <w:rFonts w:cs="Arial"/>
        </w:rPr>
      </w:pPr>
      <w:r w:rsidRPr="001475C2">
        <w:rPr>
          <w:rFonts w:cs="Arial"/>
          <w:b/>
          <w:sz w:val="24"/>
        </w:rPr>
        <w:t xml:space="preserve">d) </w:t>
      </w:r>
      <w:hyperlink r:id="rId18" w:history="1">
        <w:r w:rsidRPr="00DF117F">
          <w:rPr>
            <w:rStyle w:val="Hyperlink"/>
            <w:rFonts w:cs="Arial"/>
            <w:b/>
            <w:sz w:val="24"/>
          </w:rPr>
          <w:t>Guiding Circles</w:t>
        </w:r>
      </w:hyperlink>
      <w:r w:rsidRPr="001475C2">
        <w:rPr>
          <w:rFonts w:cs="Arial"/>
          <w:b/>
          <w:sz w:val="24"/>
        </w:rPr>
        <w:t xml:space="preserve"> – Gray </w:t>
      </w:r>
      <w:proofErr w:type="spellStart"/>
      <w:r w:rsidRPr="001475C2">
        <w:rPr>
          <w:rFonts w:cs="Arial"/>
          <w:b/>
          <w:sz w:val="24"/>
        </w:rPr>
        <w:t>Poehnell</w:t>
      </w:r>
      <w:proofErr w:type="spellEnd"/>
      <w:r w:rsidRPr="001475C2">
        <w:rPr>
          <w:rFonts w:cs="Arial"/>
          <w:b/>
          <w:sz w:val="24"/>
        </w:rPr>
        <w:t>, Dr Rod McCormick &amp; Dr Norm Amundson</w:t>
      </w:r>
    </w:p>
    <w:p w14:paraId="4895F39B" w14:textId="77777777" w:rsidR="001475C2" w:rsidRPr="001475C2" w:rsidRDefault="001475C2" w:rsidP="00E2477A">
      <w:pPr>
        <w:numPr>
          <w:ilvl w:val="0"/>
          <w:numId w:val="13"/>
        </w:numPr>
        <w:ind w:left="720"/>
        <w:rPr>
          <w:rFonts w:cs="Arial"/>
          <w:color w:val="000000"/>
          <w:lang w:val="en-GB"/>
        </w:rPr>
      </w:pPr>
      <w:r w:rsidRPr="001475C2">
        <w:rPr>
          <w:rFonts w:cs="Arial"/>
          <w:color w:val="000000"/>
          <w:lang w:val="en-GB"/>
        </w:rPr>
        <w:t>This is an interactive, flexible and fun approach to career development.</w:t>
      </w:r>
    </w:p>
    <w:p w14:paraId="3BAF4B43" w14:textId="77777777" w:rsidR="001475C2" w:rsidRPr="001475C2" w:rsidRDefault="001475C2" w:rsidP="00E2477A">
      <w:pPr>
        <w:numPr>
          <w:ilvl w:val="0"/>
          <w:numId w:val="13"/>
        </w:numPr>
        <w:ind w:left="720"/>
        <w:rPr>
          <w:rFonts w:cs="Arial"/>
          <w:color w:val="000000"/>
          <w:lang w:val="en-GB"/>
        </w:rPr>
      </w:pPr>
      <w:r w:rsidRPr="001475C2">
        <w:rPr>
          <w:rFonts w:cs="Arial"/>
          <w:color w:val="000000"/>
          <w:lang w:val="en-GB"/>
        </w:rPr>
        <w:t>It helps guide participants through the process of self-reflection, career exploration and decision making, and provides a unique perspective on the essence of career and life decision making elements.</w:t>
      </w:r>
    </w:p>
    <w:p w14:paraId="15D87AE4" w14:textId="77777777" w:rsidR="001475C2" w:rsidRPr="001475C2" w:rsidRDefault="001475C2" w:rsidP="001475C2">
      <w:pPr>
        <w:ind w:left="360"/>
        <w:rPr>
          <w:rFonts w:cs="Arial"/>
          <w:b/>
          <w:sz w:val="24"/>
          <w:lang w:val="en"/>
        </w:rPr>
      </w:pPr>
    </w:p>
    <w:p w14:paraId="2CEF485B" w14:textId="77777777" w:rsidR="001475C2" w:rsidRPr="001475C2" w:rsidRDefault="001475C2" w:rsidP="001475C2">
      <w:pPr>
        <w:numPr>
          <w:ilvl w:val="0"/>
          <w:numId w:val="17"/>
        </w:numPr>
        <w:contextualSpacing/>
        <w:rPr>
          <w:rFonts w:cs="Arial"/>
          <w:b/>
          <w:sz w:val="24"/>
          <w:lang w:val="en"/>
        </w:rPr>
      </w:pPr>
      <w:r w:rsidRPr="001475C2">
        <w:rPr>
          <w:rFonts w:cs="Arial"/>
          <w:b/>
          <w:sz w:val="24"/>
          <w:lang w:val="en"/>
        </w:rPr>
        <w:t xml:space="preserve">National Disability Coordination Officer NT </w:t>
      </w:r>
    </w:p>
    <w:p w14:paraId="72B7A87E" w14:textId="77777777" w:rsidR="001475C2" w:rsidRPr="001475C2" w:rsidRDefault="001475C2" w:rsidP="00E2477A">
      <w:pPr>
        <w:numPr>
          <w:ilvl w:val="0"/>
          <w:numId w:val="12"/>
        </w:numPr>
        <w:ind w:left="720"/>
        <w:rPr>
          <w:rFonts w:cs="Arial"/>
          <w:lang w:val="en"/>
        </w:rPr>
      </w:pPr>
      <w:r w:rsidRPr="001475C2">
        <w:rPr>
          <w:rFonts w:cs="Arial"/>
          <w:lang w:val="en"/>
        </w:rPr>
        <w:t xml:space="preserve">The Road Ahead: this workbook is designed to assist young adults make informed choices about their future career pathway. </w:t>
      </w:r>
    </w:p>
    <w:p w14:paraId="0AC7D706" w14:textId="77777777" w:rsidR="001475C2" w:rsidRPr="001475C2" w:rsidRDefault="001475C2" w:rsidP="00E2477A">
      <w:pPr>
        <w:numPr>
          <w:ilvl w:val="0"/>
          <w:numId w:val="12"/>
        </w:numPr>
        <w:ind w:left="720"/>
        <w:rPr>
          <w:rFonts w:cs="Arial"/>
          <w:color w:val="0000FF"/>
          <w:u w:val="single"/>
          <w:lang w:val="en"/>
        </w:rPr>
      </w:pPr>
      <w:r w:rsidRPr="001475C2">
        <w:rPr>
          <w:rFonts w:cs="Arial"/>
          <w:lang w:val="en"/>
        </w:rPr>
        <w:t xml:space="preserve">The Road Ahead is filled with worksheets for self-reflection, information about the available supports within the Northern Territory and guiding timeframes. This is an invaluable resource which is NT-specific. </w:t>
      </w:r>
      <w:hyperlink r:id="rId19" w:history="1">
        <w:r w:rsidRPr="001475C2">
          <w:rPr>
            <w:rFonts w:cs="Arial"/>
            <w:color w:val="0000FF"/>
            <w:u w:val="single"/>
            <w:lang w:val="en"/>
          </w:rPr>
          <w:t>http://www.cdu.edu.au/sites/default/files/saes/docs/the-road-ahead.pdf</w:t>
        </w:r>
      </w:hyperlink>
    </w:p>
    <w:p w14:paraId="2F90AE5D" w14:textId="77777777" w:rsidR="001475C2" w:rsidRPr="001475C2" w:rsidRDefault="001475C2" w:rsidP="00DF117F">
      <w:pPr>
        <w:numPr>
          <w:ilvl w:val="0"/>
          <w:numId w:val="13"/>
        </w:numPr>
        <w:ind w:left="709"/>
        <w:rPr>
          <w:rFonts w:cs="Arial"/>
          <w:b/>
          <w:color w:val="0000FF"/>
          <w:u w:val="single"/>
          <w:lang w:val="en"/>
        </w:rPr>
      </w:pPr>
      <w:r w:rsidRPr="001475C2">
        <w:rPr>
          <w:rFonts w:cs="Arial"/>
          <w:lang w:val="en"/>
        </w:rPr>
        <w:t>The National Disability Coordination Officer NT</w:t>
      </w:r>
      <w:r w:rsidRPr="001475C2">
        <w:rPr>
          <w:rFonts w:cs="Arial"/>
          <w:b/>
          <w:lang w:val="en"/>
        </w:rPr>
        <w:t xml:space="preserve"> </w:t>
      </w:r>
      <w:r w:rsidRPr="001475C2">
        <w:rPr>
          <w:rFonts w:cs="Arial"/>
          <w:lang w:val="en"/>
        </w:rPr>
        <w:t xml:space="preserve">also has a website that provides a range of information including the resources available for teachers and students to support the transition process: </w:t>
      </w:r>
      <w:hyperlink r:id="rId20" w:history="1">
        <w:r w:rsidRPr="001475C2">
          <w:rPr>
            <w:rFonts w:cs="Arial"/>
            <w:color w:val="0000FF"/>
            <w:u w:val="single"/>
            <w:lang w:val="en"/>
          </w:rPr>
          <w:t>www.cdu.edu.au/ndco</w:t>
        </w:r>
      </w:hyperlink>
      <w:r w:rsidRPr="001475C2">
        <w:rPr>
          <w:rFonts w:cs="Arial"/>
          <w:b/>
          <w:color w:val="0000FF"/>
          <w:u w:val="single"/>
          <w:lang w:val="en"/>
        </w:rPr>
        <w:t xml:space="preserve"> </w:t>
      </w:r>
    </w:p>
    <w:p w14:paraId="5C7DED91" w14:textId="77777777" w:rsidR="001475C2" w:rsidRPr="001475C2" w:rsidRDefault="001475C2" w:rsidP="00E2477A">
      <w:pPr>
        <w:ind w:left="360"/>
        <w:rPr>
          <w:rFonts w:cs="Arial"/>
          <w:b/>
          <w:sz w:val="24"/>
        </w:rPr>
      </w:pPr>
    </w:p>
    <w:p w14:paraId="660FADF6" w14:textId="77777777" w:rsidR="001475C2" w:rsidRPr="001475C2" w:rsidRDefault="001475C2" w:rsidP="001475C2">
      <w:pPr>
        <w:numPr>
          <w:ilvl w:val="0"/>
          <w:numId w:val="17"/>
        </w:numPr>
        <w:contextualSpacing/>
        <w:rPr>
          <w:rFonts w:cs="Arial"/>
          <w:b/>
          <w:sz w:val="24"/>
        </w:rPr>
      </w:pPr>
      <w:r w:rsidRPr="001475C2">
        <w:rPr>
          <w:rFonts w:cs="Arial"/>
          <w:b/>
          <w:sz w:val="24"/>
        </w:rPr>
        <w:t xml:space="preserve">Paul </w:t>
      </w:r>
      <w:proofErr w:type="spellStart"/>
      <w:r w:rsidRPr="001475C2">
        <w:rPr>
          <w:rFonts w:cs="Arial"/>
          <w:b/>
          <w:sz w:val="24"/>
        </w:rPr>
        <w:t>Wehman</w:t>
      </w:r>
      <w:proofErr w:type="spellEnd"/>
    </w:p>
    <w:p w14:paraId="0291B1DA" w14:textId="77777777" w:rsidR="001475C2" w:rsidRPr="001475C2" w:rsidRDefault="001475C2" w:rsidP="001475C2">
      <w:pPr>
        <w:numPr>
          <w:ilvl w:val="0"/>
          <w:numId w:val="14"/>
        </w:numPr>
        <w:rPr>
          <w:rFonts w:cs="Arial"/>
          <w:color w:val="000000"/>
        </w:rPr>
      </w:pPr>
      <w:r w:rsidRPr="001475C2">
        <w:rPr>
          <w:rFonts w:cs="Arial"/>
          <w:color w:val="000000"/>
        </w:rPr>
        <w:t>Life Beyond the Classroom (1996) Transition Strategies for Young People with Disabilities, Paul Brookes Publishing Co, London.</w:t>
      </w:r>
    </w:p>
    <w:p w14:paraId="2A60B8DC" w14:textId="77777777" w:rsidR="001475C2" w:rsidRPr="001475C2" w:rsidRDefault="001475C2" w:rsidP="001475C2">
      <w:pPr>
        <w:numPr>
          <w:ilvl w:val="0"/>
          <w:numId w:val="14"/>
        </w:numPr>
        <w:rPr>
          <w:rFonts w:cs="Arial"/>
        </w:rPr>
      </w:pPr>
      <w:r w:rsidRPr="001475C2">
        <w:rPr>
          <w:rFonts w:cs="Arial"/>
          <w:color w:val="000000"/>
        </w:rPr>
        <w:t xml:space="preserve">This publication provides theoretical information and practical forms, charts, checklists, and study questions covering transition issues. </w:t>
      </w:r>
    </w:p>
    <w:p w14:paraId="5BA0A065" w14:textId="77777777" w:rsidR="001475C2" w:rsidRPr="001475C2" w:rsidRDefault="001475C2" w:rsidP="001475C2">
      <w:pPr>
        <w:numPr>
          <w:ilvl w:val="0"/>
          <w:numId w:val="14"/>
        </w:numPr>
        <w:rPr>
          <w:rFonts w:cs="Arial"/>
        </w:rPr>
      </w:pPr>
      <w:r w:rsidRPr="001475C2">
        <w:rPr>
          <w:rFonts w:cs="Arial"/>
          <w:color w:val="000000"/>
        </w:rPr>
        <w:t>This publication supplies an essential framework for defining and planning transition, addresses facilitation and support of transition, and discusses ways of customising transition service delivery to people with specific types of disability</w:t>
      </w:r>
      <w:r w:rsidRPr="001475C2">
        <w:rPr>
          <w:rFonts w:cs="Arial"/>
          <w:vanish/>
          <w:color w:val="000000"/>
        </w:rPr>
        <w:t>. </w:t>
      </w:r>
      <w:hyperlink r:id="rId21" w:history="1">
        <w:r w:rsidRPr="001475C2">
          <w:rPr>
            <w:rFonts w:cs="Arial"/>
            <w:b/>
            <w:bCs/>
            <w:vanish/>
            <w:color w:val="0066CC"/>
          </w:rPr>
          <w:t>more »</w:t>
        </w:r>
      </w:hyperlink>
      <w:r w:rsidRPr="001475C2">
        <w:rPr>
          <w:rFonts w:cs="Arial"/>
          <w:color w:val="000000"/>
        </w:rPr>
        <w:t>.</w:t>
      </w:r>
    </w:p>
    <w:p w14:paraId="5BD6A8F1" w14:textId="77777777" w:rsidR="00E2477A" w:rsidRPr="00E2477A" w:rsidRDefault="00E2477A" w:rsidP="00E2477A">
      <w:pPr>
        <w:ind w:left="360"/>
        <w:rPr>
          <w:rFonts w:cs="Arial"/>
          <w:b/>
          <w:sz w:val="28"/>
          <w:szCs w:val="28"/>
        </w:rPr>
      </w:pPr>
    </w:p>
    <w:p w14:paraId="06DC91F2" w14:textId="31EC932B" w:rsidR="001475C2" w:rsidRPr="001475C2" w:rsidRDefault="001475C2" w:rsidP="001475C2">
      <w:pPr>
        <w:numPr>
          <w:ilvl w:val="0"/>
          <w:numId w:val="17"/>
        </w:numPr>
        <w:rPr>
          <w:rFonts w:cs="Arial"/>
          <w:b/>
          <w:sz w:val="28"/>
          <w:szCs w:val="28"/>
        </w:rPr>
      </w:pPr>
      <w:r w:rsidRPr="001475C2">
        <w:rPr>
          <w:rFonts w:cs="Arial"/>
          <w:b/>
          <w:sz w:val="24"/>
        </w:rPr>
        <w:t xml:space="preserve">Transition Sustainability Toolkit – Jane E </w:t>
      </w:r>
      <w:proofErr w:type="spellStart"/>
      <w:r w:rsidRPr="001475C2">
        <w:rPr>
          <w:rFonts w:cs="Arial"/>
          <w:b/>
          <w:sz w:val="24"/>
        </w:rPr>
        <w:t>Gothberg</w:t>
      </w:r>
      <w:proofErr w:type="spellEnd"/>
      <w:r w:rsidRPr="001475C2">
        <w:rPr>
          <w:rFonts w:cs="Arial"/>
          <w:b/>
          <w:sz w:val="24"/>
        </w:rPr>
        <w:t>, Jennifer l Coyle &amp; Paula D Kohler</w:t>
      </w:r>
    </w:p>
    <w:p w14:paraId="78417541" w14:textId="68C32743" w:rsidR="001475C2" w:rsidRPr="001475C2" w:rsidRDefault="001475C2" w:rsidP="00A21D4D">
      <w:pPr>
        <w:ind w:left="357"/>
      </w:pPr>
      <w:r w:rsidRPr="001475C2">
        <w:rPr>
          <w:rFonts w:cs="Arial"/>
        </w:rPr>
        <w:t xml:space="preserve">A lengthy document around the effective planning, implementation and longevity of transition plans: </w:t>
      </w:r>
      <w:hyperlink r:id="rId22" w:history="1">
        <w:r w:rsidRPr="001475C2">
          <w:rPr>
            <w:rFonts w:cs="Arial"/>
            <w:color w:val="0000FF"/>
            <w:u w:val="single"/>
          </w:rPr>
          <w:t>Transition Team Leader Sustainability Toolkit | NSTTAC</w:t>
        </w:r>
      </w:hyperlink>
    </w:p>
    <w:p w14:paraId="023C4770" w14:textId="77777777" w:rsidR="001475C2" w:rsidRPr="001475C2" w:rsidRDefault="001475C2" w:rsidP="001475C2"/>
    <w:sectPr w:rsidR="001475C2" w:rsidRPr="001475C2" w:rsidSect="00A21D4D">
      <w:headerReference w:type="default" r:id="rId23"/>
      <w:footerReference w:type="default" r:id="rId24"/>
      <w:headerReference w:type="first" r:id="rId25"/>
      <w:pgSz w:w="11900" w:h="16840"/>
      <w:pgMar w:top="1135" w:right="851" w:bottom="1134" w:left="851" w:header="283"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9665" w14:textId="77777777" w:rsidR="005B6C16" w:rsidRDefault="005B6C16">
      <w:r>
        <w:separator/>
      </w:r>
    </w:p>
  </w:endnote>
  <w:endnote w:type="continuationSeparator" w:id="0">
    <w:p w14:paraId="6C66F71C" w14:textId="77777777" w:rsidR="005B6C16" w:rsidRDefault="005B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20002A87" w:usb1="00000000" w:usb2="00000000"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48319"/>
      <w:docPartObj>
        <w:docPartGallery w:val="Page Numbers (Bottom of Page)"/>
        <w:docPartUnique/>
      </w:docPartObj>
    </w:sdtPr>
    <w:sdtEndPr>
      <w:rPr>
        <w:noProof/>
      </w:rPr>
    </w:sdtEndPr>
    <w:sdtContent>
      <w:p w14:paraId="487D9827" w14:textId="1B9CEF88" w:rsidR="00C00A65" w:rsidRDefault="00C00A65" w:rsidP="00C00A65">
        <w:pPr>
          <w:pStyle w:val="Footer"/>
          <w:rPr>
            <w:noProof/>
          </w:rPr>
        </w:pPr>
        <w:r>
          <w:fldChar w:fldCharType="begin"/>
        </w:r>
        <w:r>
          <w:instrText xml:space="preserve"> PAGE   \* MERGEFORMAT </w:instrText>
        </w:r>
        <w:r>
          <w:fldChar w:fldCharType="separate"/>
        </w:r>
        <w:r w:rsidR="008C0EF2">
          <w:rPr>
            <w:noProof/>
          </w:rPr>
          <w:t>2</w:t>
        </w:r>
        <w:r>
          <w:rPr>
            <w:noProof/>
          </w:rPr>
          <w:fldChar w:fldCharType="end"/>
        </w:r>
      </w:p>
      <w:p w14:paraId="782010F2" w14:textId="22CA5DCF" w:rsidR="00C00A65" w:rsidRDefault="00C00A65" w:rsidP="00C00A65">
        <w:pPr>
          <w:pStyle w:val="Footer"/>
          <w:jc w:val="right"/>
        </w:pPr>
        <w:r>
          <w:rPr>
            <w:noProof/>
          </w:rPr>
          <w:t xml:space="preserve"> </w:t>
        </w:r>
        <w:r>
          <w:rPr>
            <w:noProof/>
          </w:rPr>
          <w:tab/>
        </w:r>
        <w:r>
          <w:rPr>
            <w:noProof/>
          </w:rPr>
          <w:tab/>
          <w:t>www. educaiton.nt.gov.au</w:t>
        </w:r>
      </w:p>
    </w:sdtContent>
  </w:sdt>
  <w:p w14:paraId="0AFE3AC5" w14:textId="3048E904" w:rsidR="00531BBC" w:rsidRDefault="00531BBC" w:rsidP="00E96C69">
    <w:pPr>
      <w:pStyle w:val="Defaul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47108" w14:textId="77777777" w:rsidR="005B6C16" w:rsidRDefault="005B6C16">
      <w:r>
        <w:separator/>
      </w:r>
    </w:p>
  </w:footnote>
  <w:footnote w:type="continuationSeparator" w:id="0">
    <w:p w14:paraId="2D587055" w14:textId="77777777" w:rsidR="005B6C16" w:rsidRDefault="005B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5FB3" w14:textId="63C21219" w:rsidR="00B82F6F" w:rsidRDefault="001B7375" w:rsidP="00C00A65">
    <w:pPr>
      <w:pStyle w:val="Header"/>
      <w:jc w:val="right"/>
    </w:pPr>
    <w:r>
      <w:rPr>
        <w:noProof/>
        <w:lang w:eastAsia="en-AU"/>
      </w:rPr>
      <w:drawing>
        <wp:anchor distT="114300" distB="114300" distL="114300" distR="114300" simplePos="0" relativeHeight="251656192" behindDoc="1" locked="0" layoutInCell="0" allowOverlap="1" wp14:anchorId="69198CC7" wp14:editId="143AA488">
          <wp:simplePos x="0" y="0"/>
          <wp:positionH relativeFrom="margin">
            <wp:posOffset>-879475</wp:posOffset>
          </wp:positionH>
          <wp:positionV relativeFrom="margin">
            <wp:posOffset>-2876550</wp:posOffset>
          </wp:positionV>
          <wp:extent cx="2169160" cy="701040"/>
          <wp:effectExtent l="0" t="0" r="0" b="3810"/>
          <wp:wrapNone/>
          <wp:docPr id="1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67C">
      <w:t>Attachment B</w:t>
    </w:r>
  </w:p>
  <w:p w14:paraId="36D626F3" w14:textId="45F8467E" w:rsidR="00B82F6F" w:rsidRDefault="00C00A65" w:rsidP="00531BBC">
    <w:pPr>
      <w:pStyle w:val="Header"/>
    </w:pPr>
    <w:r>
      <w:t>Guidelines: Transition from School for Students with Disability</w:t>
    </w:r>
  </w:p>
  <w:p w14:paraId="2C2833AA" w14:textId="77777777" w:rsidR="00531BBC" w:rsidRPr="00531BBC" w:rsidRDefault="00531BBC" w:rsidP="00A21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D7780" w14:textId="77777777" w:rsidR="001462FF" w:rsidRPr="001462FF" w:rsidRDefault="001462FF" w:rsidP="001462FF">
    <w:pPr>
      <w:pStyle w:val="Header"/>
    </w:pPr>
    <w:r w:rsidRPr="001462FF">
      <w:rPr>
        <w:noProof/>
        <w:lang w:eastAsia="en-AU"/>
      </w:rPr>
      <w:drawing>
        <wp:anchor distT="114300" distB="114300" distL="114300" distR="114300" simplePos="0" relativeHeight="251665408" behindDoc="1" locked="0" layoutInCell="1" allowOverlap="1" wp14:anchorId="23AD311D" wp14:editId="4641F961">
          <wp:simplePos x="0" y="0"/>
          <wp:positionH relativeFrom="margin">
            <wp:posOffset>4173855</wp:posOffset>
          </wp:positionH>
          <wp:positionV relativeFrom="page">
            <wp:align>top</wp:align>
          </wp:positionV>
          <wp:extent cx="704434" cy="1104900"/>
          <wp:effectExtent l="0" t="0" r="635" b="0"/>
          <wp:wrapNone/>
          <wp:docPr id="15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434"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62FF">
      <w:rPr>
        <w:noProof/>
        <w:lang w:eastAsia="en-AU"/>
      </w:rPr>
      <w:drawing>
        <wp:anchor distT="114300" distB="114300" distL="114300" distR="114300" simplePos="0" relativeHeight="251662336" behindDoc="1" locked="0" layoutInCell="0" allowOverlap="1" wp14:anchorId="6C08E1E4" wp14:editId="2BCED7FF">
          <wp:simplePos x="0" y="0"/>
          <wp:positionH relativeFrom="margin">
            <wp:posOffset>-879475</wp:posOffset>
          </wp:positionH>
          <wp:positionV relativeFrom="margin">
            <wp:posOffset>-2876550</wp:posOffset>
          </wp:positionV>
          <wp:extent cx="2169160" cy="701040"/>
          <wp:effectExtent l="0" t="0" r="0" b="3810"/>
          <wp:wrapNone/>
          <wp:docPr id="1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E472A" w14:textId="77777777" w:rsidR="001462FF" w:rsidRPr="001462FF" w:rsidRDefault="00E96C69" w:rsidP="001462FF">
    <w:pPr>
      <w:pStyle w:val="Header"/>
    </w:pPr>
    <w:r w:rsidRPr="001462FF">
      <w:rPr>
        <w:noProof/>
        <w:lang w:eastAsia="en-AU"/>
      </w:rPr>
      <w:drawing>
        <wp:anchor distT="114300" distB="114300" distL="114300" distR="114300" simplePos="0" relativeHeight="251666432" behindDoc="1" locked="0" layoutInCell="0" allowOverlap="1" wp14:anchorId="39412854" wp14:editId="13B4FE6D">
          <wp:simplePos x="0" y="0"/>
          <wp:positionH relativeFrom="margin">
            <wp:posOffset>-334010</wp:posOffset>
          </wp:positionH>
          <wp:positionV relativeFrom="topMargin">
            <wp:posOffset>314113</wp:posOffset>
          </wp:positionV>
          <wp:extent cx="2169160" cy="701040"/>
          <wp:effectExtent l="0" t="0" r="0" b="3810"/>
          <wp:wrapNone/>
          <wp:docPr id="1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CCBB0" w14:textId="77777777" w:rsidR="001462FF" w:rsidRPr="001462FF" w:rsidRDefault="001462FF" w:rsidP="001462FF">
    <w:pPr>
      <w:pStyle w:val="Header"/>
    </w:pPr>
  </w:p>
  <w:p w14:paraId="02FEBF9C" w14:textId="77777777" w:rsidR="001462FF" w:rsidRPr="001462FF" w:rsidRDefault="001462FF" w:rsidP="00496197">
    <w:pPr>
      <w:pStyle w:val="Header"/>
    </w:pPr>
    <w:r w:rsidRPr="001462FF">
      <w:tab/>
    </w:r>
  </w:p>
  <w:p w14:paraId="483B4A7A" w14:textId="1D87DD01" w:rsidR="001462FF" w:rsidRPr="00F07FE0" w:rsidRDefault="001462FF" w:rsidP="003968B2">
    <w:pPr>
      <w:pStyle w:val="Header"/>
      <w:rPr>
        <w:b/>
        <w:sz w:val="24"/>
      </w:rPr>
    </w:pPr>
    <w:r w:rsidRPr="001462FF">
      <w:rPr>
        <w:noProof/>
        <w:lang w:eastAsia="en-AU"/>
      </w:rPr>
      <mc:AlternateContent>
        <mc:Choice Requires="wps">
          <w:drawing>
            <wp:anchor distT="0" distB="0" distL="114300" distR="114300" simplePos="0" relativeHeight="251663360" behindDoc="0" locked="0" layoutInCell="1" allowOverlap="1" wp14:anchorId="21916242" wp14:editId="61733C77">
              <wp:simplePos x="0" y="0"/>
              <wp:positionH relativeFrom="page">
                <wp:posOffset>5597525</wp:posOffset>
              </wp:positionH>
              <wp:positionV relativeFrom="page">
                <wp:posOffset>766776</wp:posOffset>
              </wp:positionV>
              <wp:extent cx="1574800" cy="271145"/>
              <wp:effectExtent l="0" t="0" r="6350" b="14605"/>
              <wp:wrapTight wrapText="bothSides">
                <wp:wrapPolygon edited="0">
                  <wp:start x="0" y="0"/>
                  <wp:lineTo x="0" y="21246"/>
                  <wp:lineTo x="21426" y="21246"/>
                  <wp:lineTo x="21426" y="0"/>
                  <wp:lineTo x="0" y="0"/>
                </wp:wrapPolygon>
              </wp:wrapTight>
              <wp:docPr id="6"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2B2A9" w14:textId="77777777" w:rsidR="001462FF" w:rsidRDefault="001462FF" w:rsidP="001462FF">
                          <w:pPr>
                            <w:pStyle w:val="Departmentof"/>
                          </w:pPr>
                          <w:r>
                            <w:t>Department of</w:t>
                          </w:r>
                        </w:p>
                        <w:p w14:paraId="4AECC434" w14:textId="77777777" w:rsidR="001462FF" w:rsidRDefault="001462FF" w:rsidP="001462FF">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16242" id="_x0000_t202" coordsize="21600,21600" o:spt="202" path="m,l,21600r21600,l21600,xe">
              <v:stroke joinstyle="miter"/>
              <v:path gradientshapeok="t" o:connecttype="rect"/>
            </v:shapetype>
            <v:shape id="_x0000_tx2" o:spid="_x0000_s1027" type="#_x0000_t202" style="position:absolute;margin-left:440.75pt;margin-top:60.4pt;width:124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" filled="f" stroked="f">
              <v:textbox inset="0,0,0,0">
                <w:txbxContent>
                  <w:p w14:paraId="23E2B2A9" w14:textId="77777777" w:rsidR="001462FF" w:rsidRDefault="001462FF" w:rsidP="001462FF">
                    <w:pPr>
                      <w:pStyle w:val="Departmentof"/>
                    </w:pPr>
                    <w:r>
                      <w:t>Department of</w:t>
                    </w:r>
                  </w:p>
                  <w:p w14:paraId="4AECC434" w14:textId="77777777" w:rsidR="001462FF" w:rsidRDefault="001462FF" w:rsidP="001462FF">
                    <w:pPr>
                      <w:pStyle w:val="Departmentname"/>
                    </w:pPr>
                    <w:r>
                      <w:t>Education</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7BC"/>
    <w:multiLevelType w:val="hybridMultilevel"/>
    <w:tmpl w:val="E53CF30C"/>
    <w:lvl w:ilvl="0" w:tplc="0C090001">
      <w:start w:val="1"/>
      <w:numFmt w:val="bullet"/>
      <w:lvlText w:val=""/>
      <w:lvlJc w:val="left"/>
      <w:pPr>
        <w:ind w:left="1347" w:hanging="360"/>
      </w:pPr>
      <w:rPr>
        <w:rFonts w:ascii="Symbol" w:hAnsi="Symbol" w:hint="default"/>
      </w:rPr>
    </w:lvl>
    <w:lvl w:ilvl="1" w:tplc="0C090003" w:tentative="1">
      <w:start w:val="1"/>
      <w:numFmt w:val="bullet"/>
      <w:lvlText w:val="o"/>
      <w:lvlJc w:val="left"/>
      <w:pPr>
        <w:ind w:left="2067" w:hanging="360"/>
      </w:pPr>
      <w:rPr>
        <w:rFonts w:ascii="Courier New" w:hAnsi="Courier New" w:cs="Courier New" w:hint="default"/>
      </w:rPr>
    </w:lvl>
    <w:lvl w:ilvl="2" w:tplc="0C090005" w:tentative="1">
      <w:start w:val="1"/>
      <w:numFmt w:val="bullet"/>
      <w:lvlText w:val=""/>
      <w:lvlJc w:val="left"/>
      <w:pPr>
        <w:ind w:left="2787" w:hanging="360"/>
      </w:pPr>
      <w:rPr>
        <w:rFonts w:ascii="Wingdings" w:hAnsi="Wingdings" w:hint="default"/>
      </w:rPr>
    </w:lvl>
    <w:lvl w:ilvl="3" w:tplc="0C090001" w:tentative="1">
      <w:start w:val="1"/>
      <w:numFmt w:val="bullet"/>
      <w:lvlText w:val=""/>
      <w:lvlJc w:val="left"/>
      <w:pPr>
        <w:ind w:left="3507" w:hanging="360"/>
      </w:pPr>
      <w:rPr>
        <w:rFonts w:ascii="Symbol" w:hAnsi="Symbol" w:hint="default"/>
      </w:rPr>
    </w:lvl>
    <w:lvl w:ilvl="4" w:tplc="0C090003" w:tentative="1">
      <w:start w:val="1"/>
      <w:numFmt w:val="bullet"/>
      <w:lvlText w:val="o"/>
      <w:lvlJc w:val="left"/>
      <w:pPr>
        <w:ind w:left="4227" w:hanging="360"/>
      </w:pPr>
      <w:rPr>
        <w:rFonts w:ascii="Courier New" w:hAnsi="Courier New" w:cs="Courier New" w:hint="default"/>
      </w:rPr>
    </w:lvl>
    <w:lvl w:ilvl="5" w:tplc="0C090005" w:tentative="1">
      <w:start w:val="1"/>
      <w:numFmt w:val="bullet"/>
      <w:lvlText w:val=""/>
      <w:lvlJc w:val="left"/>
      <w:pPr>
        <w:ind w:left="4947" w:hanging="360"/>
      </w:pPr>
      <w:rPr>
        <w:rFonts w:ascii="Wingdings" w:hAnsi="Wingdings" w:hint="default"/>
      </w:rPr>
    </w:lvl>
    <w:lvl w:ilvl="6" w:tplc="0C090001" w:tentative="1">
      <w:start w:val="1"/>
      <w:numFmt w:val="bullet"/>
      <w:lvlText w:val=""/>
      <w:lvlJc w:val="left"/>
      <w:pPr>
        <w:ind w:left="5667" w:hanging="360"/>
      </w:pPr>
      <w:rPr>
        <w:rFonts w:ascii="Symbol" w:hAnsi="Symbol" w:hint="default"/>
      </w:rPr>
    </w:lvl>
    <w:lvl w:ilvl="7" w:tplc="0C090003" w:tentative="1">
      <w:start w:val="1"/>
      <w:numFmt w:val="bullet"/>
      <w:lvlText w:val="o"/>
      <w:lvlJc w:val="left"/>
      <w:pPr>
        <w:ind w:left="6387" w:hanging="360"/>
      </w:pPr>
      <w:rPr>
        <w:rFonts w:ascii="Courier New" w:hAnsi="Courier New" w:cs="Courier New" w:hint="default"/>
      </w:rPr>
    </w:lvl>
    <w:lvl w:ilvl="8" w:tplc="0C090005" w:tentative="1">
      <w:start w:val="1"/>
      <w:numFmt w:val="bullet"/>
      <w:lvlText w:val=""/>
      <w:lvlJc w:val="left"/>
      <w:pPr>
        <w:ind w:left="7107" w:hanging="360"/>
      </w:pPr>
      <w:rPr>
        <w:rFonts w:ascii="Wingdings" w:hAnsi="Wingdings" w:hint="default"/>
      </w:rPr>
    </w:lvl>
  </w:abstractNum>
  <w:abstractNum w:abstractNumId="1"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D3067"/>
    <w:multiLevelType w:val="hybridMultilevel"/>
    <w:tmpl w:val="1D6E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5B0DBE"/>
    <w:multiLevelType w:val="hybridMultilevel"/>
    <w:tmpl w:val="1E40D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038C6"/>
    <w:multiLevelType w:val="hybridMultilevel"/>
    <w:tmpl w:val="47A0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DA45D1"/>
    <w:multiLevelType w:val="hybridMultilevel"/>
    <w:tmpl w:val="C532B7FA"/>
    <w:lvl w:ilvl="0" w:tplc="8F4A7F7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5204868"/>
    <w:multiLevelType w:val="hybridMultilevel"/>
    <w:tmpl w:val="898AF29E"/>
    <w:lvl w:ilvl="0" w:tplc="3BD60BC0">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0BA5C14"/>
    <w:multiLevelType w:val="hybridMultilevel"/>
    <w:tmpl w:val="5C1AE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477822"/>
    <w:multiLevelType w:val="hybridMultilevel"/>
    <w:tmpl w:val="1D02167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45C2427"/>
    <w:multiLevelType w:val="hybridMultilevel"/>
    <w:tmpl w:val="E254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177745"/>
    <w:multiLevelType w:val="hybridMultilevel"/>
    <w:tmpl w:val="02C6A522"/>
    <w:lvl w:ilvl="0" w:tplc="8B28E39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F15C8D"/>
    <w:multiLevelType w:val="hybridMultilevel"/>
    <w:tmpl w:val="F3F6DCBE"/>
    <w:lvl w:ilvl="0" w:tplc="E43677D2">
      <w:start w:val="5"/>
      <w:numFmt w:val="lowerLetter"/>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9734BEE"/>
    <w:multiLevelType w:val="hybridMultilevel"/>
    <w:tmpl w:val="4D38D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FD45E63"/>
    <w:multiLevelType w:val="hybridMultilevel"/>
    <w:tmpl w:val="ABE862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F2781D"/>
    <w:multiLevelType w:val="hybridMultilevel"/>
    <w:tmpl w:val="87625564"/>
    <w:lvl w:ilvl="0" w:tplc="0C090001">
      <w:start w:val="1"/>
      <w:numFmt w:val="bullet"/>
      <w:lvlText w:val=""/>
      <w:lvlJc w:val="left"/>
      <w:pPr>
        <w:ind w:left="1700" w:hanging="360"/>
      </w:pPr>
      <w:rPr>
        <w:rFonts w:ascii="Symbol" w:hAnsi="Symbol" w:hint="default"/>
      </w:rPr>
    </w:lvl>
    <w:lvl w:ilvl="1" w:tplc="0C090003">
      <w:start w:val="1"/>
      <w:numFmt w:val="bullet"/>
      <w:lvlText w:val="o"/>
      <w:lvlJc w:val="left"/>
      <w:pPr>
        <w:ind w:left="2420" w:hanging="360"/>
      </w:pPr>
      <w:rPr>
        <w:rFonts w:ascii="Courier New" w:hAnsi="Courier New" w:cs="Courier New" w:hint="default"/>
      </w:rPr>
    </w:lvl>
    <w:lvl w:ilvl="2" w:tplc="0C090005" w:tentative="1">
      <w:start w:val="1"/>
      <w:numFmt w:val="bullet"/>
      <w:lvlText w:val=""/>
      <w:lvlJc w:val="left"/>
      <w:pPr>
        <w:ind w:left="3140" w:hanging="360"/>
      </w:pPr>
      <w:rPr>
        <w:rFonts w:ascii="Wingdings" w:hAnsi="Wingdings" w:hint="default"/>
      </w:rPr>
    </w:lvl>
    <w:lvl w:ilvl="3" w:tplc="0C090001" w:tentative="1">
      <w:start w:val="1"/>
      <w:numFmt w:val="bullet"/>
      <w:lvlText w:val=""/>
      <w:lvlJc w:val="left"/>
      <w:pPr>
        <w:ind w:left="3860" w:hanging="360"/>
      </w:pPr>
      <w:rPr>
        <w:rFonts w:ascii="Symbol" w:hAnsi="Symbol" w:hint="default"/>
      </w:rPr>
    </w:lvl>
    <w:lvl w:ilvl="4" w:tplc="0C090003" w:tentative="1">
      <w:start w:val="1"/>
      <w:numFmt w:val="bullet"/>
      <w:lvlText w:val="o"/>
      <w:lvlJc w:val="left"/>
      <w:pPr>
        <w:ind w:left="4580" w:hanging="360"/>
      </w:pPr>
      <w:rPr>
        <w:rFonts w:ascii="Courier New" w:hAnsi="Courier New" w:cs="Courier New" w:hint="default"/>
      </w:rPr>
    </w:lvl>
    <w:lvl w:ilvl="5" w:tplc="0C090005" w:tentative="1">
      <w:start w:val="1"/>
      <w:numFmt w:val="bullet"/>
      <w:lvlText w:val=""/>
      <w:lvlJc w:val="left"/>
      <w:pPr>
        <w:ind w:left="5300" w:hanging="360"/>
      </w:pPr>
      <w:rPr>
        <w:rFonts w:ascii="Wingdings" w:hAnsi="Wingdings" w:hint="default"/>
      </w:rPr>
    </w:lvl>
    <w:lvl w:ilvl="6" w:tplc="0C090001" w:tentative="1">
      <w:start w:val="1"/>
      <w:numFmt w:val="bullet"/>
      <w:lvlText w:val=""/>
      <w:lvlJc w:val="left"/>
      <w:pPr>
        <w:ind w:left="6020" w:hanging="360"/>
      </w:pPr>
      <w:rPr>
        <w:rFonts w:ascii="Symbol" w:hAnsi="Symbol" w:hint="default"/>
      </w:rPr>
    </w:lvl>
    <w:lvl w:ilvl="7" w:tplc="0C090003" w:tentative="1">
      <w:start w:val="1"/>
      <w:numFmt w:val="bullet"/>
      <w:lvlText w:val="o"/>
      <w:lvlJc w:val="left"/>
      <w:pPr>
        <w:ind w:left="6740" w:hanging="360"/>
      </w:pPr>
      <w:rPr>
        <w:rFonts w:ascii="Courier New" w:hAnsi="Courier New" w:cs="Courier New" w:hint="default"/>
      </w:rPr>
    </w:lvl>
    <w:lvl w:ilvl="8" w:tplc="0C090005" w:tentative="1">
      <w:start w:val="1"/>
      <w:numFmt w:val="bullet"/>
      <w:lvlText w:val=""/>
      <w:lvlJc w:val="left"/>
      <w:pPr>
        <w:ind w:left="7460" w:hanging="360"/>
      </w:pPr>
      <w:rPr>
        <w:rFonts w:ascii="Wingdings" w:hAnsi="Wingdings" w:hint="default"/>
      </w:rPr>
    </w:lvl>
  </w:abstractNum>
  <w:abstractNum w:abstractNumId="15" w15:restartNumberingAfterBreak="0">
    <w:nsid w:val="72527366"/>
    <w:multiLevelType w:val="hybridMultilevel"/>
    <w:tmpl w:val="DB0877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7DC42DB0"/>
    <w:multiLevelType w:val="hybridMultilevel"/>
    <w:tmpl w:val="FFC001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7"/>
  </w:num>
  <w:num w:numId="3">
    <w:abstractNumId w:val="2"/>
  </w:num>
  <w:num w:numId="4">
    <w:abstractNumId w:val="9"/>
  </w:num>
  <w:num w:numId="5">
    <w:abstractNumId w:val="1"/>
  </w:num>
  <w:num w:numId="6">
    <w:abstractNumId w:val="4"/>
  </w:num>
  <w:num w:numId="7">
    <w:abstractNumId w:val="13"/>
  </w:num>
  <w:num w:numId="8">
    <w:abstractNumId w:val="14"/>
  </w:num>
  <w:num w:numId="9">
    <w:abstractNumId w:val="12"/>
  </w:num>
  <w:num w:numId="10">
    <w:abstractNumId w:val="8"/>
  </w:num>
  <w:num w:numId="11">
    <w:abstractNumId w:val="6"/>
  </w:num>
  <w:num w:numId="12">
    <w:abstractNumId w:val="10"/>
  </w:num>
  <w:num w:numId="13">
    <w:abstractNumId w:val="5"/>
  </w:num>
  <w:num w:numId="14">
    <w:abstractNumId w:val="3"/>
  </w:num>
  <w:num w:numId="15">
    <w:abstractNumId w:val="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75"/>
    <w:rsid w:val="00056228"/>
    <w:rsid w:val="0006037C"/>
    <w:rsid w:val="001462FF"/>
    <w:rsid w:val="001475C2"/>
    <w:rsid w:val="00172AC4"/>
    <w:rsid w:val="001807DC"/>
    <w:rsid w:val="001A467C"/>
    <w:rsid w:val="001B322C"/>
    <w:rsid w:val="001B7375"/>
    <w:rsid w:val="001E46FD"/>
    <w:rsid w:val="002301F6"/>
    <w:rsid w:val="00236B43"/>
    <w:rsid w:val="002B514E"/>
    <w:rsid w:val="002C7B88"/>
    <w:rsid w:val="002E249F"/>
    <w:rsid w:val="002E5B9C"/>
    <w:rsid w:val="00305E23"/>
    <w:rsid w:val="00373D43"/>
    <w:rsid w:val="00377583"/>
    <w:rsid w:val="003968B2"/>
    <w:rsid w:val="003E1A65"/>
    <w:rsid w:val="00496197"/>
    <w:rsid w:val="004D5321"/>
    <w:rsid w:val="004F44B5"/>
    <w:rsid w:val="0051141C"/>
    <w:rsid w:val="00520ED8"/>
    <w:rsid w:val="00526256"/>
    <w:rsid w:val="005263FB"/>
    <w:rsid w:val="00531BBC"/>
    <w:rsid w:val="005A2D9C"/>
    <w:rsid w:val="005B6C16"/>
    <w:rsid w:val="00696484"/>
    <w:rsid w:val="006A5684"/>
    <w:rsid w:val="006C580F"/>
    <w:rsid w:val="006D091D"/>
    <w:rsid w:val="00715444"/>
    <w:rsid w:val="007749DC"/>
    <w:rsid w:val="007C4FA0"/>
    <w:rsid w:val="00821EFF"/>
    <w:rsid w:val="00837D62"/>
    <w:rsid w:val="00837D8A"/>
    <w:rsid w:val="008400F4"/>
    <w:rsid w:val="008455B6"/>
    <w:rsid w:val="008C0EF2"/>
    <w:rsid w:val="008C442B"/>
    <w:rsid w:val="00A02220"/>
    <w:rsid w:val="00A02CD3"/>
    <w:rsid w:val="00A1786D"/>
    <w:rsid w:val="00A21D4D"/>
    <w:rsid w:val="00A30C59"/>
    <w:rsid w:val="00A6361A"/>
    <w:rsid w:val="00A653CD"/>
    <w:rsid w:val="00A67393"/>
    <w:rsid w:val="00AA17CC"/>
    <w:rsid w:val="00AB4A9B"/>
    <w:rsid w:val="00B82F6F"/>
    <w:rsid w:val="00B85FAF"/>
    <w:rsid w:val="00B920A7"/>
    <w:rsid w:val="00B92D9E"/>
    <w:rsid w:val="00BC1CDA"/>
    <w:rsid w:val="00C00A65"/>
    <w:rsid w:val="00C1575F"/>
    <w:rsid w:val="00D01B04"/>
    <w:rsid w:val="00D61A22"/>
    <w:rsid w:val="00DA5FCB"/>
    <w:rsid w:val="00DF02C7"/>
    <w:rsid w:val="00DF117F"/>
    <w:rsid w:val="00E21391"/>
    <w:rsid w:val="00E2477A"/>
    <w:rsid w:val="00E27DB8"/>
    <w:rsid w:val="00E96C69"/>
    <w:rsid w:val="00F0066E"/>
    <w:rsid w:val="00F053D9"/>
    <w:rsid w:val="00F07FE0"/>
    <w:rsid w:val="00F52ADA"/>
    <w:rsid w:val="00F55487"/>
    <w:rsid w:val="00F6002B"/>
    <w:rsid w:val="00F65948"/>
    <w:rsid w:val="00F87F41"/>
    <w:rsid w:val="00FB6EB1"/>
    <w:rsid w:val="00FF577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F037F"/>
  <w15:docId w15:val="{5AE035F7-C641-49B7-B36F-F3BCB7F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2B"/>
    <w:rPr>
      <w:rFonts w:ascii="Lato" w:eastAsia="Times New Roman" w:hAnsi="Lato"/>
      <w:sz w:val="22"/>
      <w:szCs w:val="24"/>
      <w:lang w:eastAsia="en-US"/>
    </w:rPr>
  </w:style>
  <w:style w:type="paragraph" w:styleId="Heading1">
    <w:name w:val="heading 1"/>
    <w:basedOn w:val="Normal"/>
    <w:next w:val="Normal"/>
    <w:link w:val="Heading1Char"/>
    <w:qFormat/>
    <w:rsid w:val="00B82F6F"/>
    <w:pPr>
      <w:keepNext/>
      <w:spacing w:before="240" w:after="120"/>
      <w:jc w:val="center"/>
      <w:outlineLvl w:val="0"/>
    </w:pPr>
    <w:rPr>
      <w:rFonts w:ascii="Arial Black" w:hAnsi="Arial Black" w:cs="Arial"/>
      <w:b/>
      <w:bCs/>
      <w:caps/>
      <w:color w:val="002868"/>
      <w:sz w:val="40"/>
      <w:szCs w:val="32"/>
    </w:rPr>
  </w:style>
  <w:style w:type="paragraph" w:styleId="Heading2">
    <w:name w:val="heading 2"/>
    <w:basedOn w:val="Normal"/>
    <w:next w:val="Normal"/>
    <w:link w:val="Heading2Char"/>
    <w:qFormat/>
    <w:rsid w:val="00B82F6F"/>
    <w:pPr>
      <w:keepNext/>
      <w:spacing w:before="120"/>
      <w:outlineLvl w:val="1"/>
    </w:pPr>
    <w:rPr>
      <w:rFonts w:cs="Arial"/>
      <w:b/>
      <w:bCs/>
      <w:iCs/>
      <w:caps/>
      <w:sz w:val="32"/>
    </w:rPr>
  </w:style>
  <w:style w:type="paragraph" w:styleId="Heading3">
    <w:name w:val="heading 3"/>
    <w:basedOn w:val="Normal"/>
    <w:next w:val="Normal"/>
    <w:link w:val="Heading3Char"/>
    <w:uiPriority w:val="9"/>
    <w:unhideWhenUsed/>
    <w:qFormat/>
    <w:rsid w:val="00F6002B"/>
    <w:pPr>
      <w:keepNext/>
      <w:keepLines/>
      <w:spacing w:before="40"/>
      <w:outlineLvl w:val="2"/>
    </w:pPr>
    <w:rPr>
      <w:b/>
      <w:caps/>
      <w:sz w:val="20"/>
    </w:rPr>
  </w:style>
  <w:style w:type="paragraph" w:styleId="Heading4">
    <w:name w:val="heading 4"/>
    <w:basedOn w:val="Normal"/>
    <w:next w:val="Normal"/>
    <w:link w:val="Heading4Char"/>
    <w:uiPriority w:val="9"/>
    <w:semiHidden/>
    <w:unhideWhenUsed/>
    <w:qFormat/>
    <w:rsid w:val="00837D62"/>
    <w:pPr>
      <w:keepNext/>
      <w:keepLines/>
      <w:spacing w:before="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basedOn w:val="Normal"/>
    <w:rsid w:val="00531BBC"/>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uiPriority w:val="22"/>
    <w:rsid w:val="00531BBC"/>
    <w:rPr>
      <w:b/>
    </w:rPr>
  </w:style>
  <w:style w:type="character" w:customStyle="1" w:styleId="apple-converted-space">
    <w:name w:val="apple-converted-space"/>
    <w:basedOn w:val="DefaultParagraphFont"/>
    <w:rsid w:val="00531BBC"/>
  </w:style>
  <w:style w:type="character" w:customStyle="1" w:styleId="Heading1Char">
    <w:name w:val="Heading 1 Char"/>
    <w:link w:val="Heading1"/>
    <w:rsid w:val="00B82F6F"/>
    <w:rPr>
      <w:rFonts w:ascii="Arial Black" w:eastAsia="Times New Roman" w:hAnsi="Arial Black" w:cs="Arial"/>
      <w:b/>
      <w:bCs/>
      <w:caps/>
      <w:color w:val="002868"/>
      <w:sz w:val="40"/>
      <w:szCs w:val="32"/>
    </w:rPr>
  </w:style>
  <w:style w:type="character" w:customStyle="1" w:styleId="Heading2Char">
    <w:name w:val="Heading 2 Char"/>
    <w:link w:val="Heading2"/>
    <w:rsid w:val="00B82F6F"/>
    <w:rPr>
      <w:rFonts w:ascii="Arial" w:eastAsia="Times New Roman" w:hAnsi="Arial" w:cs="Arial"/>
      <w:b/>
      <w:bCs/>
      <w:iCs/>
      <w:caps/>
      <w:sz w:val="32"/>
    </w:rPr>
  </w:style>
  <w:style w:type="character" w:customStyle="1" w:styleId="Heading3Char">
    <w:name w:val="Heading 3 Char"/>
    <w:link w:val="Heading3"/>
    <w:uiPriority w:val="9"/>
    <w:rsid w:val="00F6002B"/>
    <w:rPr>
      <w:rFonts w:ascii="Lato" w:eastAsia="Times New Roman" w:hAnsi="Lato"/>
      <w:b/>
      <w:caps/>
      <w:szCs w:val="24"/>
      <w:lang w:eastAsia="en-US"/>
    </w:rPr>
  </w:style>
  <w:style w:type="paragraph" w:styleId="ListParagraph">
    <w:name w:val="List Paragraph"/>
    <w:basedOn w:val="Normal"/>
    <w:uiPriority w:val="34"/>
    <w:qFormat/>
    <w:rsid w:val="00B82F6F"/>
    <w:pPr>
      <w:ind w:left="720"/>
      <w:contextualSpacing/>
    </w:pPr>
  </w:style>
  <w:style w:type="paragraph" w:styleId="BalloonText">
    <w:name w:val="Balloon Text"/>
    <w:basedOn w:val="Normal"/>
    <w:link w:val="BalloonTextChar"/>
    <w:uiPriority w:val="99"/>
    <w:semiHidden/>
    <w:unhideWhenUsed/>
    <w:rsid w:val="00B85FAF"/>
    <w:rPr>
      <w:rFonts w:ascii="Segoe UI" w:hAnsi="Segoe UI" w:cs="Segoe UI"/>
      <w:sz w:val="18"/>
      <w:szCs w:val="18"/>
    </w:rPr>
  </w:style>
  <w:style w:type="character" w:customStyle="1" w:styleId="BalloonTextChar">
    <w:name w:val="Balloon Text Char"/>
    <w:link w:val="BalloonText"/>
    <w:uiPriority w:val="99"/>
    <w:semiHidden/>
    <w:rsid w:val="00B85FAF"/>
    <w:rPr>
      <w:rFonts w:ascii="Segoe UI" w:eastAsia="Times New Roman" w:hAnsi="Segoe UI" w:cs="Segoe UI"/>
      <w:sz w:val="18"/>
      <w:szCs w:val="18"/>
    </w:rPr>
  </w:style>
  <w:style w:type="character" w:customStyle="1" w:styleId="Heading4Char">
    <w:name w:val="Heading 4 Char"/>
    <w:link w:val="Heading4"/>
    <w:uiPriority w:val="9"/>
    <w:semiHidden/>
    <w:rsid w:val="00837D62"/>
    <w:rPr>
      <w:rFonts w:ascii="Lato" w:eastAsia="Times New Roman" w:hAnsi="Lato"/>
      <w:i/>
      <w:iCs/>
      <w:color w:val="365F91"/>
      <w:sz w:val="22"/>
      <w:szCs w:val="24"/>
      <w:lang w:eastAsia="en-US"/>
    </w:rPr>
  </w:style>
  <w:style w:type="paragraph" w:customStyle="1" w:styleId="AgencyName">
    <w:name w:val="AgencyName"/>
    <w:basedOn w:val="Normal"/>
    <w:rsid w:val="007749DC"/>
    <w:pPr>
      <w:spacing w:after="120"/>
    </w:pPr>
    <w:rPr>
      <w:spacing w:val="8"/>
      <w:sz w:val="26"/>
      <w:szCs w:val="26"/>
      <w:lang w:eastAsia="en-AU"/>
    </w:rPr>
  </w:style>
  <w:style w:type="paragraph" w:customStyle="1" w:styleId="WebAddress">
    <w:name w:val="WebAddress"/>
    <w:basedOn w:val="AgencyName"/>
    <w:rsid w:val="007749DC"/>
    <w:pPr>
      <w:jc w:val="right"/>
    </w:pPr>
    <w:rPr>
      <w:sz w:val="28"/>
      <w:szCs w:val="28"/>
    </w:rPr>
  </w:style>
  <w:style w:type="character" w:customStyle="1" w:styleId="AgencyNameChar">
    <w:name w:val="AgencyName Char"/>
    <w:rsid w:val="007749DC"/>
    <w:rPr>
      <w:rFonts w:ascii="Arial" w:hAnsi="Arial"/>
      <w:spacing w:val="8"/>
      <w:sz w:val="26"/>
      <w:szCs w:val="26"/>
      <w:lang w:val="en-AU" w:eastAsia="en-AU" w:bidi="ar-SA"/>
    </w:rPr>
  </w:style>
  <w:style w:type="paragraph" w:styleId="NormalWeb">
    <w:name w:val="Normal (Web)"/>
    <w:basedOn w:val="Normal"/>
    <w:uiPriority w:val="99"/>
    <w:unhideWhenUsed/>
    <w:rsid w:val="007749DC"/>
    <w:pPr>
      <w:spacing w:before="100" w:beforeAutospacing="1" w:after="100" w:afterAutospacing="1" w:line="270" w:lineRule="atLeast"/>
    </w:pPr>
    <w:rPr>
      <w:rFonts w:ascii="Times New Roman" w:hAnsi="Times New Roman"/>
      <w:sz w:val="24"/>
      <w:lang w:eastAsia="en-AU"/>
    </w:rPr>
  </w:style>
  <w:style w:type="paragraph" w:customStyle="1" w:styleId="SOFinalBulletsCoded2-3Letters">
    <w:name w:val="SO Final Bullets Coded (2-3 Letters)"/>
    <w:rsid w:val="007749D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uiPriority w:val="99"/>
    <w:semiHidden/>
    <w:unhideWhenUsed/>
    <w:rsid w:val="007749DC"/>
    <w:rPr>
      <w:sz w:val="16"/>
      <w:szCs w:val="16"/>
    </w:rPr>
  </w:style>
  <w:style w:type="paragraph" w:styleId="CommentText">
    <w:name w:val="annotation text"/>
    <w:basedOn w:val="Normal"/>
    <w:link w:val="CommentTextChar"/>
    <w:uiPriority w:val="99"/>
    <w:semiHidden/>
    <w:unhideWhenUsed/>
    <w:rsid w:val="007749DC"/>
    <w:rPr>
      <w:sz w:val="20"/>
      <w:szCs w:val="20"/>
      <w:lang w:eastAsia="en-AU"/>
    </w:rPr>
  </w:style>
  <w:style w:type="character" w:customStyle="1" w:styleId="CommentTextChar">
    <w:name w:val="Comment Text Char"/>
    <w:link w:val="CommentText"/>
    <w:uiPriority w:val="99"/>
    <w:semiHidden/>
    <w:rsid w:val="007749DC"/>
    <w:rPr>
      <w:rFonts w:ascii="Arial" w:eastAsia="Times New Roman" w:hAnsi="Arial" w:cs="Times New Roman"/>
      <w:sz w:val="20"/>
      <w:szCs w:val="20"/>
      <w:lang w:eastAsia="en-AU"/>
    </w:rPr>
  </w:style>
  <w:style w:type="character" w:styleId="Hyperlink">
    <w:name w:val="Hyperlink"/>
    <w:uiPriority w:val="99"/>
    <w:unhideWhenUsed/>
    <w:rsid w:val="007749DC"/>
    <w:rPr>
      <w:color w:val="0000FF"/>
      <w:u w:val="single"/>
    </w:rPr>
  </w:style>
  <w:style w:type="paragraph" w:styleId="Title">
    <w:name w:val="Title"/>
    <w:basedOn w:val="Normal"/>
    <w:next w:val="Normal"/>
    <w:link w:val="TitleChar"/>
    <w:uiPriority w:val="10"/>
    <w:qFormat/>
    <w:rsid w:val="00837D62"/>
    <w:pPr>
      <w:spacing w:before="240" w:after="60"/>
      <w:jc w:val="center"/>
      <w:outlineLvl w:val="0"/>
    </w:pPr>
    <w:rPr>
      <w:b/>
      <w:bCs/>
      <w:kern w:val="28"/>
      <w:sz w:val="32"/>
      <w:szCs w:val="32"/>
    </w:rPr>
  </w:style>
  <w:style w:type="character" w:customStyle="1" w:styleId="TitleChar">
    <w:name w:val="Title Char"/>
    <w:link w:val="Title"/>
    <w:uiPriority w:val="10"/>
    <w:rsid w:val="00837D62"/>
    <w:rPr>
      <w:rFonts w:ascii="Lato" w:eastAsia="Times New Roman" w:hAnsi="Lato" w:cs="Times New Roman"/>
      <w:b/>
      <w:bCs/>
      <w:kern w:val="28"/>
      <w:sz w:val="32"/>
      <w:szCs w:val="32"/>
      <w:lang w:eastAsia="en-US"/>
    </w:rPr>
  </w:style>
  <w:style w:type="paragraph" w:styleId="Subtitle">
    <w:name w:val="Subtitle"/>
    <w:basedOn w:val="Normal"/>
    <w:next w:val="Normal"/>
    <w:link w:val="SubtitleChar"/>
    <w:uiPriority w:val="11"/>
    <w:qFormat/>
    <w:rsid w:val="00837D62"/>
    <w:pPr>
      <w:spacing w:after="60"/>
      <w:jc w:val="center"/>
      <w:outlineLvl w:val="1"/>
    </w:pPr>
    <w:rPr>
      <w:sz w:val="24"/>
    </w:rPr>
  </w:style>
  <w:style w:type="character" w:customStyle="1" w:styleId="SubtitleChar">
    <w:name w:val="Subtitle Char"/>
    <w:link w:val="Subtitle"/>
    <w:uiPriority w:val="11"/>
    <w:rsid w:val="00837D62"/>
    <w:rPr>
      <w:rFonts w:ascii="Lato" w:eastAsia="Times New Roman" w:hAnsi="Lato" w:cs="Times New Roman"/>
      <w:sz w:val="24"/>
      <w:szCs w:val="24"/>
      <w:lang w:eastAsia="en-US"/>
    </w:rPr>
  </w:style>
  <w:style w:type="character" w:styleId="BookTitle">
    <w:name w:val="Book Title"/>
    <w:uiPriority w:val="33"/>
    <w:qFormat/>
    <w:rsid w:val="00837D62"/>
    <w:rPr>
      <w:rFonts w:ascii="Lato" w:hAnsi="Lato"/>
      <w:b/>
      <w:bCs/>
      <w:smallCaps/>
      <w:spacing w:val="5"/>
    </w:rPr>
  </w:style>
  <w:style w:type="character" w:styleId="IntenseReference">
    <w:name w:val="Intense Reference"/>
    <w:uiPriority w:val="32"/>
    <w:qFormat/>
    <w:rsid w:val="00837D62"/>
    <w:rPr>
      <w:rFonts w:ascii="Lato" w:hAnsi="Lato"/>
      <w:b/>
      <w:bCs/>
      <w:smallCaps/>
      <w:color w:val="C0504D"/>
      <w:spacing w:val="5"/>
      <w:u w:val="single"/>
    </w:rPr>
  </w:style>
  <w:style w:type="character" w:styleId="SubtleReference">
    <w:name w:val="Subtle Reference"/>
    <w:uiPriority w:val="31"/>
    <w:qFormat/>
    <w:rsid w:val="00837D62"/>
    <w:rPr>
      <w:rFonts w:ascii="Lato" w:hAnsi="Lato"/>
      <w:smallCaps/>
      <w:color w:val="C0504D"/>
      <w:u w:val="single"/>
    </w:rPr>
  </w:style>
  <w:style w:type="paragraph" w:styleId="IntenseQuote">
    <w:name w:val="Intense Quote"/>
    <w:basedOn w:val="Normal"/>
    <w:next w:val="Normal"/>
    <w:link w:val="IntenseQuoteChar"/>
    <w:uiPriority w:val="30"/>
    <w:qFormat/>
    <w:rsid w:val="00837D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7D62"/>
    <w:rPr>
      <w:rFonts w:ascii="Lato" w:eastAsia="Times New Roman" w:hAnsi="Lato"/>
      <w:b/>
      <w:bCs/>
      <w:i/>
      <w:iCs/>
      <w:color w:val="4F81BD"/>
      <w:sz w:val="22"/>
      <w:szCs w:val="24"/>
      <w:lang w:eastAsia="en-US"/>
    </w:rPr>
  </w:style>
  <w:style w:type="table" w:styleId="MediumGrid3-Accent1">
    <w:name w:val="Medium Grid 3 Accent 1"/>
    <w:basedOn w:val="TableNormal"/>
    <w:uiPriority w:val="69"/>
    <w:rsid w:val="00F07FE0"/>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2C7B88"/>
    <w:rPr>
      <w:color w:val="800080" w:themeColor="followedHyperlink"/>
      <w:u w:val="single"/>
    </w:rPr>
  </w:style>
  <w:style w:type="paragraph" w:customStyle="1" w:styleId="Default">
    <w:name w:val="Default"/>
    <w:rsid w:val="00F65948"/>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F55487"/>
    <w:rPr>
      <w:b/>
      <w:bCs/>
      <w:lang w:eastAsia="en-US"/>
    </w:rPr>
  </w:style>
  <w:style w:type="character" w:customStyle="1" w:styleId="CommentSubjectChar">
    <w:name w:val="Comment Subject Char"/>
    <w:basedOn w:val="CommentTextChar"/>
    <w:link w:val="CommentSubject"/>
    <w:uiPriority w:val="99"/>
    <w:semiHidden/>
    <w:rsid w:val="00F55487"/>
    <w:rPr>
      <w:rFonts w:ascii="Lato" w:eastAsia="Times New Roman" w:hAnsi="Lato"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resources/general-assembly/convention-on-the-rights-of-persons-with-disabilities-ares61106.html" TargetMode="External"/><Relationship Id="rId13" Type="http://schemas.openxmlformats.org/officeDocument/2006/relationships/hyperlink" Target="http://www.dss.gov.au/our-responsibilities/families-and-children/publications-articles/protecting-children-is-everyones-business" TargetMode="External"/><Relationship Id="rId18" Type="http://schemas.openxmlformats.org/officeDocument/2006/relationships/hyperlink" Target="http://discoveringstrengths.com/index.php/the-tools/guiding-circl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aperbackswap.com/Life-Beyond-Classroom-Paul-Wehman/book/1557667527/" TargetMode="External"/><Relationship Id="rId7" Type="http://schemas.openxmlformats.org/officeDocument/2006/relationships/endnotes" Target="endnotes.xml"/><Relationship Id="rId12" Type="http://schemas.openxmlformats.org/officeDocument/2006/relationships/hyperlink" Target="http://www.dss.gov.au/our-responsibilities/disability-and-carers/program-services/government-international/national-disability-strategy" TargetMode="External"/><Relationship Id="rId17" Type="http://schemas.openxmlformats.org/officeDocument/2006/relationships/hyperlink" Target="http://www.family-friendly-fun.com/special-needs/transition-planning.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ssed.org/wp-content/uploads/2011/10/Taxonomy.pdf" TargetMode="External"/><Relationship Id="rId20" Type="http://schemas.openxmlformats.org/officeDocument/2006/relationships/hyperlink" Target="http://www.cdu.edu.au/nd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isabilit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t.gov.au/learning/special-education/transition-from-school-services" TargetMode="External"/><Relationship Id="rId23" Type="http://schemas.openxmlformats.org/officeDocument/2006/relationships/header" Target="header1.xml"/><Relationship Id="rId10" Type="http://schemas.openxmlformats.org/officeDocument/2006/relationships/hyperlink" Target="http://en.wikipedia.org/wiki/Multilateral_treaty" TargetMode="External"/><Relationship Id="rId19" Type="http://schemas.openxmlformats.org/officeDocument/2006/relationships/hyperlink" Target="http://www.cdu.edu.au/sites/default/files/saes/docs/the-road-ahead.pdf" TargetMode="External"/><Relationship Id="rId4" Type="http://schemas.openxmlformats.org/officeDocument/2006/relationships/settings" Target="settings.xml"/><Relationship Id="rId9" Type="http://schemas.openxmlformats.org/officeDocument/2006/relationships/hyperlink" Target="http://en.wikipedia.org/wiki/International_human_rights_instrument" TargetMode="External"/><Relationship Id="rId14" Type="http://schemas.openxmlformats.org/officeDocument/2006/relationships/hyperlink" Target="https://www.dss.gov.au/our-responsibilities/disability-and-carers/standards-and-quality-assurance/national-standards-for-disability-services" TargetMode="External"/><Relationship Id="rId22" Type="http://schemas.openxmlformats.org/officeDocument/2006/relationships/hyperlink" Target="http://transitionta.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14F2-D5A6-4242-9A5D-85CAA39B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First Class in Graphic Design</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Wells1</dc:creator>
  <cp:lastModifiedBy>Margarida Dearaujo</cp:lastModifiedBy>
  <cp:revision>14</cp:revision>
  <cp:lastPrinted>2019-05-17T05:24:00Z</cp:lastPrinted>
  <dcterms:created xsi:type="dcterms:W3CDTF">2017-06-07T05:41:00Z</dcterms:created>
  <dcterms:modified xsi:type="dcterms:W3CDTF">2019-06-10T02:26:00Z</dcterms:modified>
</cp:coreProperties>
</file>