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3E93" w14:textId="77777777" w:rsidR="0084591D" w:rsidRDefault="0084591D" w:rsidP="00F5326B">
      <w:pPr>
        <w:rPr>
          <w:noProof/>
          <w:lang w:eastAsia="en-AU"/>
        </w:rPr>
      </w:pPr>
      <w:r>
        <w:rPr>
          <w:noProof/>
          <w:lang w:eastAsia="en-AU"/>
        </w:rPr>
        <w:t xml:space="preserve">This document should be read in </w:t>
      </w:r>
      <w:r>
        <w:t>conjunction</w:t>
      </w:r>
      <w:r>
        <w:rPr>
          <w:noProof/>
          <w:lang w:eastAsia="en-AU"/>
        </w:rPr>
        <w:t xml:space="preserve"> with:</w:t>
      </w:r>
    </w:p>
    <w:p w14:paraId="774B752D" w14:textId="4A57F194" w:rsidR="0084591D" w:rsidRDefault="00B3522D" w:rsidP="00F5326B">
      <w:pPr>
        <w:pStyle w:val="ListParagraph"/>
        <w:numPr>
          <w:ilvl w:val="0"/>
          <w:numId w:val="9"/>
        </w:numPr>
        <w:spacing w:after="0"/>
        <w:ind w:left="426"/>
        <w:rPr>
          <w:noProof/>
          <w:lang w:eastAsia="en-AU"/>
        </w:rPr>
      </w:pPr>
      <w:hyperlink r:id="rId9" w:history="1">
        <w:r w:rsidR="0084591D" w:rsidRPr="00F5326B">
          <w:rPr>
            <w:rStyle w:val="Hyperlink"/>
            <w:noProof/>
            <w:lang w:eastAsia="en-AU"/>
          </w:rPr>
          <w:t>Students with Disability Policy</w:t>
        </w:r>
      </w:hyperlink>
      <w:r w:rsidR="00DB6309">
        <w:rPr>
          <w:rStyle w:val="Hyperlink"/>
          <w:noProof/>
          <w:lang w:eastAsia="en-AU"/>
        </w:rPr>
        <w:t xml:space="preserve"> and Guidelines</w:t>
      </w:r>
    </w:p>
    <w:p w14:paraId="07AF322B" w14:textId="2E4D4A62" w:rsidR="0084591D" w:rsidRDefault="00B3522D" w:rsidP="00655DE3">
      <w:pPr>
        <w:pStyle w:val="ListParagraph"/>
        <w:numPr>
          <w:ilvl w:val="0"/>
          <w:numId w:val="9"/>
        </w:numPr>
        <w:spacing w:after="0"/>
        <w:ind w:left="426"/>
        <w:rPr>
          <w:noProof/>
          <w:lang w:eastAsia="en-AU"/>
        </w:rPr>
      </w:pPr>
      <w:hyperlink r:id="rId10" w:history="1">
        <w:r w:rsidR="0084591D" w:rsidRPr="00F5326B">
          <w:rPr>
            <w:rStyle w:val="Hyperlink"/>
            <w:noProof/>
            <w:lang w:eastAsia="en-AU"/>
          </w:rPr>
          <w:t>Enrolment in Special Schools and Special Centres Guidelines</w:t>
        </w:r>
      </w:hyperlink>
      <w:r w:rsidR="00F5326B">
        <w:rPr>
          <w:noProof/>
          <w:lang w:eastAsia="en-AU"/>
        </w:rPr>
        <w:t>.</w:t>
      </w:r>
    </w:p>
    <w:p w14:paraId="67243F49" w14:textId="115BC742" w:rsidR="0084591D" w:rsidRDefault="00F90D33" w:rsidP="00F5326B">
      <w:pPr>
        <w:pStyle w:val="Heading1"/>
        <w:spacing w:before="360"/>
        <w:ind w:left="425" w:hanging="425"/>
      </w:pPr>
      <w:r>
        <w:t>Introduction</w:t>
      </w:r>
    </w:p>
    <w:p w14:paraId="749CBF0A" w14:textId="77777777" w:rsidR="0084591D" w:rsidRPr="00C87D96" w:rsidRDefault="0084591D" w:rsidP="007B3385">
      <w:pPr>
        <w:ind w:left="426"/>
      </w:pPr>
      <w:r w:rsidRPr="00C87D96">
        <w:t>When a school identifies a student experiencing problems that are significantly outside developmental or educational expectations, and the student has not responded to targeted interventions, a referral to an external practitioner may be warranted to clarify whether the student’s performance might be explained by the child having a disorder or disability.</w:t>
      </w:r>
    </w:p>
    <w:p w14:paraId="3C59D593" w14:textId="77777777" w:rsidR="0084591D" w:rsidRPr="00C87D96" w:rsidRDefault="0084591D" w:rsidP="007B3385">
      <w:pPr>
        <w:ind w:left="426"/>
        <w:rPr>
          <w:color w:val="000000"/>
        </w:rPr>
      </w:pPr>
      <w:r w:rsidRPr="00C87D96">
        <w:rPr>
          <w:color w:val="000000"/>
        </w:rPr>
        <w:t xml:space="preserve">These </w:t>
      </w:r>
      <w:r w:rsidRPr="00F5326B">
        <w:t>guidelines</w:t>
      </w:r>
      <w:r w:rsidRPr="00C87D96">
        <w:rPr>
          <w:color w:val="000000"/>
        </w:rPr>
        <w:t>:</w:t>
      </w:r>
    </w:p>
    <w:p w14:paraId="5D633474" w14:textId="77777777" w:rsidR="0084591D" w:rsidRPr="005F0301" w:rsidRDefault="0084591D" w:rsidP="005F0301">
      <w:pPr>
        <w:pStyle w:val="ListParagraph"/>
        <w:numPr>
          <w:ilvl w:val="0"/>
          <w:numId w:val="11"/>
        </w:numPr>
        <w:spacing w:after="0"/>
        <w:ind w:left="851" w:hanging="425"/>
        <w:contextualSpacing/>
        <w:rPr>
          <w:color w:val="000000"/>
        </w:rPr>
      </w:pPr>
      <w:r w:rsidRPr="0084591D">
        <w:rPr>
          <w:color w:val="000000"/>
        </w:rPr>
        <w:t xml:space="preserve">set parameters to ensure schools uphold procedures for engaging external </w:t>
      </w:r>
      <w:r w:rsidRPr="005F0301">
        <w:rPr>
          <w:color w:val="000000"/>
        </w:rPr>
        <w:t>practitioners</w:t>
      </w:r>
      <w:r w:rsidRPr="0084591D">
        <w:rPr>
          <w:color w:val="000000"/>
        </w:rPr>
        <w:t xml:space="preserve"> to assess and support students with disability</w:t>
      </w:r>
    </w:p>
    <w:p w14:paraId="41E02DFE" w14:textId="77777777" w:rsidR="0084591D" w:rsidRPr="005F0301" w:rsidRDefault="0084591D" w:rsidP="005F0301">
      <w:pPr>
        <w:pStyle w:val="ListParagraph"/>
        <w:numPr>
          <w:ilvl w:val="0"/>
          <w:numId w:val="11"/>
        </w:numPr>
        <w:spacing w:after="0"/>
        <w:ind w:left="851" w:hanging="425"/>
        <w:contextualSpacing/>
        <w:rPr>
          <w:color w:val="000000"/>
        </w:rPr>
      </w:pPr>
      <w:r w:rsidRPr="005F0301">
        <w:rPr>
          <w:color w:val="000000"/>
        </w:rPr>
        <w:t>provide a framework for procuring external practitioners</w:t>
      </w:r>
    </w:p>
    <w:p w14:paraId="505139AC" w14:textId="603D8923" w:rsidR="0084591D" w:rsidRPr="005F0301" w:rsidRDefault="0084591D" w:rsidP="005F0301">
      <w:pPr>
        <w:pStyle w:val="ListParagraph"/>
        <w:numPr>
          <w:ilvl w:val="0"/>
          <w:numId w:val="11"/>
        </w:numPr>
        <w:spacing w:after="0"/>
        <w:ind w:left="851" w:hanging="425"/>
        <w:contextualSpacing/>
        <w:rPr>
          <w:color w:val="000000"/>
        </w:rPr>
      </w:pPr>
      <w:r w:rsidRPr="005F0301">
        <w:rPr>
          <w:color w:val="000000"/>
        </w:rPr>
        <w:t xml:space="preserve">establish minimum standards for assessment and support services that align with legislative requirements, professional standards and departmental policy. </w:t>
      </w:r>
    </w:p>
    <w:p w14:paraId="571E5180" w14:textId="210797A8" w:rsidR="003C4941" w:rsidRDefault="00F90D33" w:rsidP="00F5326B">
      <w:pPr>
        <w:pStyle w:val="Heading1"/>
        <w:spacing w:before="360"/>
        <w:ind w:left="425" w:hanging="425"/>
      </w:pPr>
      <w:r>
        <w:t>Definitions</w:t>
      </w:r>
    </w:p>
    <w:p w14:paraId="4129896C" w14:textId="77777777" w:rsidR="0084591D" w:rsidRPr="008235F0" w:rsidRDefault="0084591D" w:rsidP="007B3385">
      <w:pPr>
        <w:ind w:left="426"/>
      </w:pPr>
      <w:r w:rsidRPr="00F5326B">
        <w:rPr>
          <w:b/>
          <w:bCs/>
          <w:iCs/>
        </w:rPr>
        <w:t>Disability</w:t>
      </w:r>
      <w:r w:rsidRPr="008235F0">
        <w:t xml:space="preserve">, </w:t>
      </w:r>
      <w:r w:rsidRPr="00F5326B">
        <w:t>i</w:t>
      </w:r>
      <w:r w:rsidRPr="008235F0">
        <w:t>n relation to a person, means:</w:t>
      </w:r>
    </w:p>
    <w:p w14:paraId="7189B99E" w14:textId="77777777" w:rsidR="0084591D" w:rsidRPr="00930541" w:rsidRDefault="0084591D" w:rsidP="005F0301">
      <w:pPr>
        <w:pStyle w:val="ListParagraph"/>
        <w:numPr>
          <w:ilvl w:val="0"/>
          <w:numId w:val="12"/>
        </w:numPr>
        <w:ind w:left="426" w:firstLine="0"/>
        <w:contextualSpacing/>
      </w:pPr>
      <w:r w:rsidRPr="00930541">
        <w:t>total or partial loss of a person’s bodily or mental functions, or</w:t>
      </w:r>
    </w:p>
    <w:p w14:paraId="4BA2C3E1" w14:textId="77777777" w:rsidR="0084591D" w:rsidRPr="00930541" w:rsidRDefault="0084591D" w:rsidP="007B3385">
      <w:pPr>
        <w:pStyle w:val="ListParagraph"/>
        <w:numPr>
          <w:ilvl w:val="0"/>
          <w:numId w:val="12"/>
        </w:numPr>
        <w:ind w:left="426" w:firstLine="0"/>
        <w:contextualSpacing/>
      </w:pPr>
      <w:r w:rsidRPr="00930541">
        <w:t>total or partial loss of a part of the body, or</w:t>
      </w:r>
    </w:p>
    <w:p w14:paraId="3E4174B7" w14:textId="77777777" w:rsidR="0084591D" w:rsidRPr="00930541" w:rsidRDefault="0084591D" w:rsidP="007B3385">
      <w:pPr>
        <w:pStyle w:val="ListParagraph"/>
        <w:numPr>
          <w:ilvl w:val="0"/>
          <w:numId w:val="12"/>
        </w:numPr>
        <w:ind w:left="426" w:firstLine="0"/>
        <w:contextualSpacing/>
      </w:pPr>
      <w:r w:rsidRPr="00930541">
        <w:t>the presence in the body of organis</w:t>
      </w:r>
      <w:r w:rsidRPr="005F0301">
        <w:t>m</w:t>
      </w:r>
      <w:r w:rsidRPr="00930541">
        <w:t>s causing dis</w:t>
      </w:r>
      <w:r w:rsidRPr="005F0301">
        <w:t>e</w:t>
      </w:r>
      <w:r w:rsidRPr="00930541">
        <w:t>ase</w:t>
      </w:r>
      <w:r w:rsidRPr="005F0301">
        <w:t xml:space="preserve"> </w:t>
      </w:r>
      <w:r w:rsidRPr="00930541">
        <w:t>or illness, or</w:t>
      </w:r>
    </w:p>
    <w:p w14:paraId="7027727C" w14:textId="77777777" w:rsidR="0084591D" w:rsidRPr="00930541" w:rsidRDefault="0084591D" w:rsidP="007B3385">
      <w:pPr>
        <w:pStyle w:val="ListParagraph"/>
        <w:numPr>
          <w:ilvl w:val="0"/>
          <w:numId w:val="12"/>
        </w:numPr>
        <w:ind w:left="426" w:firstLine="0"/>
        <w:contextualSpacing/>
      </w:pPr>
      <w:r w:rsidRPr="00930541">
        <w:t>the presence in the body of organisms capable of causing disease or illness, or</w:t>
      </w:r>
    </w:p>
    <w:p w14:paraId="345FEF5E" w14:textId="77777777" w:rsidR="0084591D" w:rsidRPr="00930541" w:rsidRDefault="0084591D" w:rsidP="007B3385">
      <w:pPr>
        <w:pStyle w:val="ListParagraph"/>
        <w:numPr>
          <w:ilvl w:val="0"/>
          <w:numId w:val="12"/>
        </w:numPr>
        <w:ind w:left="426" w:firstLine="0"/>
        <w:contextualSpacing/>
      </w:pPr>
      <w:r w:rsidRPr="00930541">
        <w:t>the malfunction, malformation or disf</w:t>
      </w:r>
      <w:r w:rsidRPr="005F0301">
        <w:t>i</w:t>
      </w:r>
      <w:r w:rsidRPr="00930541">
        <w:t>gure</w:t>
      </w:r>
      <w:r w:rsidRPr="005F0301">
        <w:t>m</w:t>
      </w:r>
      <w:r w:rsidRPr="00930541">
        <w:t>ent of a part of the person’s body, or</w:t>
      </w:r>
    </w:p>
    <w:p w14:paraId="5F6EA76A" w14:textId="77777777" w:rsidR="0084591D" w:rsidRPr="00930541" w:rsidRDefault="0084591D" w:rsidP="005F0301">
      <w:pPr>
        <w:pStyle w:val="ListParagraph"/>
        <w:numPr>
          <w:ilvl w:val="0"/>
          <w:numId w:val="12"/>
        </w:numPr>
        <w:ind w:left="851" w:hanging="425"/>
        <w:contextualSpacing/>
      </w:pPr>
      <w:r w:rsidRPr="00930541">
        <w:t>a disorder or malfunction that results in the person learning differently from a person without the disorder or malfunction, or</w:t>
      </w:r>
    </w:p>
    <w:p w14:paraId="3319652D" w14:textId="77777777" w:rsidR="0084591D" w:rsidRPr="00930541" w:rsidRDefault="0084591D" w:rsidP="005F0301">
      <w:pPr>
        <w:pStyle w:val="ListParagraph"/>
        <w:numPr>
          <w:ilvl w:val="0"/>
          <w:numId w:val="12"/>
        </w:numPr>
        <w:ind w:left="851" w:hanging="425"/>
        <w:contextualSpacing/>
      </w:pPr>
      <w:r w:rsidRPr="00930541">
        <w:t>a disorder, illness or disease that affects a person’s thought processes, perception</w:t>
      </w:r>
      <w:r w:rsidRPr="005F0301">
        <w:t xml:space="preserve"> </w:t>
      </w:r>
      <w:r w:rsidRPr="00930541">
        <w:t>of</w:t>
      </w:r>
      <w:r w:rsidRPr="005F0301">
        <w:t xml:space="preserve"> </w:t>
      </w:r>
      <w:r w:rsidRPr="00930541">
        <w:t>reality,</w:t>
      </w:r>
      <w:r w:rsidRPr="005F0301">
        <w:t xml:space="preserve"> </w:t>
      </w:r>
      <w:r w:rsidRPr="00930541">
        <w:t>emotions or judgment, or that results in disturbed behaviour;</w:t>
      </w:r>
    </w:p>
    <w:p w14:paraId="704B36C0" w14:textId="77777777" w:rsidR="0084591D" w:rsidRPr="00930541" w:rsidRDefault="0084591D" w:rsidP="007B3385">
      <w:pPr>
        <w:ind w:left="426"/>
        <w:contextualSpacing/>
      </w:pPr>
      <w:r>
        <w:t>a</w:t>
      </w:r>
      <w:r w:rsidRPr="00930541">
        <w:t>nd includes disability that:</w:t>
      </w:r>
    </w:p>
    <w:p w14:paraId="108067ED" w14:textId="77777777" w:rsidR="0084591D" w:rsidRPr="00930541" w:rsidRDefault="0084591D" w:rsidP="005F0301">
      <w:pPr>
        <w:pStyle w:val="ListParagraph"/>
        <w:numPr>
          <w:ilvl w:val="0"/>
          <w:numId w:val="12"/>
        </w:numPr>
        <w:ind w:left="426" w:firstLine="0"/>
        <w:contextualSpacing/>
      </w:pPr>
      <w:r w:rsidRPr="00930541">
        <w:t>presently exists, or</w:t>
      </w:r>
    </w:p>
    <w:p w14:paraId="291FB276" w14:textId="77777777" w:rsidR="0084591D" w:rsidRPr="00930541" w:rsidRDefault="0084591D" w:rsidP="005F0301">
      <w:pPr>
        <w:pStyle w:val="ListParagraph"/>
        <w:numPr>
          <w:ilvl w:val="0"/>
          <w:numId w:val="12"/>
        </w:numPr>
        <w:ind w:left="851" w:hanging="425"/>
        <w:contextualSpacing/>
      </w:pPr>
      <w:r w:rsidRPr="00930541">
        <w:t>previously existed but no longer exists, or</w:t>
      </w:r>
    </w:p>
    <w:p w14:paraId="3C7A7B10" w14:textId="77777777" w:rsidR="005F0301" w:rsidRDefault="0084591D" w:rsidP="00FF45A1">
      <w:pPr>
        <w:pStyle w:val="ListParagraph"/>
        <w:numPr>
          <w:ilvl w:val="0"/>
          <w:numId w:val="12"/>
        </w:numPr>
        <w:ind w:left="851" w:hanging="425"/>
        <w:contextualSpacing/>
      </w:pPr>
      <w:r w:rsidRPr="00930541">
        <w:t>may exist in the future, or</w:t>
      </w:r>
    </w:p>
    <w:p w14:paraId="77AE6A1C" w14:textId="6F1CBC8E" w:rsidR="0084591D" w:rsidRPr="00930541" w:rsidRDefault="0084591D" w:rsidP="00FF45A1">
      <w:pPr>
        <w:pStyle w:val="ListParagraph"/>
        <w:numPr>
          <w:ilvl w:val="0"/>
          <w:numId w:val="12"/>
        </w:numPr>
        <w:ind w:left="851" w:hanging="425"/>
        <w:contextualSpacing/>
      </w:pPr>
      <w:r w:rsidRPr="00930541">
        <w:lastRenderedPageBreak/>
        <w:t>is imputed to a person</w:t>
      </w:r>
      <w:r>
        <w:t>.</w:t>
      </w:r>
      <w:r>
        <w:rPr>
          <w:rStyle w:val="FootnoteReference"/>
          <w:rFonts w:cs="Arial"/>
          <w:color w:val="000000"/>
          <w:sz w:val="24"/>
        </w:rPr>
        <w:footnoteReference w:id="1"/>
      </w:r>
      <w:r w:rsidRPr="005F0301">
        <w:rPr>
          <w:vertAlign w:val="superscript"/>
        </w:rPr>
        <w:t xml:space="preserve">, </w:t>
      </w:r>
      <w:r>
        <w:rPr>
          <w:rStyle w:val="FootnoteReference"/>
          <w:rFonts w:cs="Arial"/>
          <w:color w:val="000000"/>
          <w:sz w:val="24"/>
        </w:rPr>
        <w:footnoteReference w:id="2"/>
      </w:r>
    </w:p>
    <w:p w14:paraId="7929AB74" w14:textId="21C04DF3" w:rsidR="0084591D" w:rsidRPr="00C87D96" w:rsidRDefault="0084591D" w:rsidP="005F0301">
      <w:pPr>
        <w:ind w:left="426"/>
      </w:pPr>
      <w:r w:rsidRPr="005F0301">
        <w:rPr>
          <w:b/>
          <w:bCs/>
          <w:iCs/>
        </w:rPr>
        <w:t>External practitioners</w:t>
      </w:r>
      <w:r w:rsidRPr="00C87D96">
        <w:t xml:space="preserve"> </w:t>
      </w:r>
      <w:r w:rsidR="005F0301">
        <w:t>refers to</w:t>
      </w:r>
      <w:r w:rsidRPr="00C87D96">
        <w:t xml:space="preserve"> individuals or organisations (either government or private), external to the </w:t>
      </w:r>
      <w:r w:rsidR="005F0301">
        <w:t>Department of Education</w:t>
      </w:r>
      <w:r w:rsidRPr="00C87D96">
        <w:t xml:space="preserve">, that provide additional and specialist support to complement school programs and services. External practitioners include but are not limited to psychologists, speech pathologists, occupational therapists, physiotherapists and paediatricians.  </w:t>
      </w:r>
    </w:p>
    <w:p w14:paraId="4EA387F0" w14:textId="5D77C3B6" w:rsidR="0084591D" w:rsidRPr="008235F0" w:rsidRDefault="0084591D" w:rsidP="005F0301">
      <w:pPr>
        <w:ind w:left="426"/>
        <w:rPr>
          <w:b/>
          <w:bCs/>
          <w:lang w:val="en-US"/>
        </w:rPr>
      </w:pPr>
      <w:r w:rsidRPr="00F5326B">
        <w:rPr>
          <w:b/>
          <w:bCs/>
          <w:iCs/>
        </w:rPr>
        <w:t>Parent</w:t>
      </w:r>
      <w:r w:rsidRPr="00F5326B">
        <w:t xml:space="preserve"> </w:t>
      </w:r>
      <w:r w:rsidR="005F0301">
        <w:t>refers to</w:t>
      </w:r>
      <w:r w:rsidR="004D1D36">
        <w:t>:</w:t>
      </w:r>
      <w:r w:rsidRPr="008235F0">
        <w:rPr>
          <w:b/>
          <w:bCs/>
          <w:lang w:val="en-US"/>
        </w:rPr>
        <w:t xml:space="preserve"> </w:t>
      </w:r>
    </w:p>
    <w:p w14:paraId="72A2D355" w14:textId="77777777" w:rsidR="0084591D" w:rsidRPr="005F0301" w:rsidRDefault="0084591D" w:rsidP="005F0301">
      <w:pPr>
        <w:pStyle w:val="ListParagraph"/>
        <w:numPr>
          <w:ilvl w:val="0"/>
          <w:numId w:val="11"/>
        </w:numPr>
        <w:spacing w:after="0"/>
        <w:ind w:left="851" w:hanging="425"/>
        <w:contextualSpacing/>
        <w:rPr>
          <w:color w:val="000000"/>
        </w:rPr>
      </w:pPr>
      <w:r w:rsidRPr="005F0301">
        <w:rPr>
          <w:color w:val="000000"/>
        </w:rPr>
        <w:t xml:space="preserve">the child’s father, mother or any other person who has parental responsibility for the child and also for an Aboriginal or Torres Strait Islander child includes a person who is regarded as a parent under Aboriginal or Torres Strait Islander customary law or Aboriginal or Torres Strait Islander tradition; </w:t>
      </w:r>
    </w:p>
    <w:p w14:paraId="6B925937" w14:textId="6571B9E6" w:rsidR="0084591D" w:rsidRPr="005F0301" w:rsidRDefault="0084591D" w:rsidP="005F0301">
      <w:pPr>
        <w:pStyle w:val="ListParagraph"/>
        <w:numPr>
          <w:ilvl w:val="0"/>
          <w:numId w:val="11"/>
        </w:numPr>
        <w:spacing w:after="0"/>
        <w:ind w:left="851" w:hanging="425"/>
        <w:contextualSpacing/>
        <w:rPr>
          <w:color w:val="000000"/>
        </w:rPr>
      </w:pPr>
      <w:r w:rsidRPr="005F0301">
        <w:rPr>
          <w:color w:val="000000"/>
        </w:rPr>
        <w:t xml:space="preserve">a guardian/caregiver and is a person who has parental responsibility for a child or daily care and control of a child, is the person with whom a child currently resides, or is a person caring for the child at any given time. </w:t>
      </w:r>
    </w:p>
    <w:p w14:paraId="56F58DBD" w14:textId="77777777" w:rsidR="00F5326B" w:rsidRPr="004D1D36" w:rsidRDefault="00F5326B" w:rsidP="005F0301">
      <w:pPr>
        <w:pStyle w:val="ListParagraph"/>
        <w:spacing w:after="0"/>
        <w:ind w:left="426"/>
        <w:rPr>
          <w:b/>
          <w:bCs/>
          <w:lang w:val="en-US"/>
        </w:rPr>
      </w:pPr>
    </w:p>
    <w:p w14:paraId="68757E33" w14:textId="77777777" w:rsidR="0084591D" w:rsidRDefault="0084591D" w:rsidP="005F0301">
      <w:pPr>
        <w:ind w:left="426"/>
        <w:rPr>
          <w:lang w:val="en-US"/>
        </w:rPr>
      </w:pPr>
      <w:r w:rsidRPr="008235F0">
        <w:rPr>
          <w:lang w:val="en-US"/>
        </w:rPr>
        <w:t>According to the</w:t>
      </w:r>
      <w:r w:rsidRPr="008235F0">
        <w:rPr>
          <w:b/>
          <w:bCs/>
          <w:lang w:val="en-US"/>
        </w:rPr>
        <w:t xml:space="preserve"> </w:t>
      </w:r>
      <w:hyperlink r:id="rId11" w:anchor="page=15&amp;zoom=auto,88,289" w:history="1">
        <w:r w:rsidRPr="00313A22">
          <w:rPr>
            <w:rStyle w:val="Hyperlink"/>
            <w:rFonts w:cs="Arial"/>
            <w:bCs/>
            <w:i/>
            <w:lang w:val="en-US"/>
          </w:rPr>
          <w:t xml:space="preserve">Education Act 2015 </w:t>
        </w:r>
        <w:r w:rsidRPr="005F0301">
          <w:rPr>
            <w:rStyle w:val="Hyperlink"/>
            <w:rFonts w:cs="Arial"/>
            <w:bCs/>
            <w:lang w:val="en-US"/>
          </w:rPr>
          <w:t>(NT)</w:t>
        </w:r>
      </w:hyperlink>
      <w:r w:rsidRPr="00313A22">
        <w:rPr>
          <w:bCs/>
          <w:lang w:val="en-US"/>
        </w:rPr>
        <w:t xml:space="preserve"> s.7</w:t>
      </w:r>
      <w:r w:rsidR="00313A22" w:rsidRPr="00313A22">
        <w:rPr>
          <w:bCs/>
          <w:lang w:val="en-US"/>
        </w:rPr>
        <w:t>-</w:t>
      </w:r>
      <w:r w:rsidRPr="00313A22">
        <w:rPr>
          <w:bCs/>
          <w:lang w:val="en-US"/>
        </w:rPr>
        <w:t>8</w:t>
      </w:r>
      <w:r w:rsidRPr="008235F0">
        <w:rPr>
          <w:lang w:val="en-US"/>
        </w:rPr>
        <w:t xml:space="preserve"> </w:t>
      </w:r>
      <w:r w:rsidR="00313A22">
        <w:rPr>
          <w:lang w:val="en-US"/>
        </w:rPr>
        <w:t xml:space="preserve">a </w:t>
      </w:r>
      <w:r w:rsidRPr="008235F0">
        <w:rPr>
          <w:lang w:val="en-US"/>
        </w:rPr>
        <w:t>person has parental responsibility for a child if the person has daily care and control of the child (i.e. is entitled to exercise all the powers, rights and responsibilities in relation to the day-to-day care and control of the child) or is entitled to exercise all the powers, rights and responsibilities in relation to the long-term care and development of the child, or both.</w:t>
      </w:r>
    </w:p>
    <w:p w14:paraId="45DEDE43" w14:textId="1C2850D9" w:rsidR="0084591D" w:rsidRPr="00C87D96" w:rsidRDefault="0084591D" w:rsidP="005F0301">
      <w:pPr>
        <w:ind w:left="426"/>
      </w:pPr>
      <w:r w:rsidRPr="00F5326B">
        <w:rPr>
          <w:b/>
          <w:bCs/>
          <w:iCs/>
        </w:rPr>
        <w:t>School</w:t>
      </w:r>
      <w:r w:rsidRPr="00F5326B">
        <w:t xml:space="preserve"> </w:t>
      </w:r>
      <w:r w:rsidRPr="00C87D96">
        <w:t>refers to all education providers in the Northe</w:t>
      </w:r>
      <w:r>
        <w:t>rn Territory</w:t>
      </w:r>
      <w:r w:rsidR="00FE69A2">
        <w:t xml:space="preserve"> (NT), </w:t>
      </w:r>
      <w:r>
        <w:t xml:space="preserve">including </w:t>
      </w:r>
      <w:r w:rsidR="00FE69A2">
        <w:t>g</w:t>
      </w:r>
      <w:r w:rsidRPr="00C87D96">
        <w:t xml:space="preserve">overnment schools, </w:t>
      </w:r>
      <w:r w:rsidR="00FE69A2" w:rsidRPr="00C87D96">
        <w:t>independent public schools</w:t>
      </w:r>
      <w:r w:rsidRPr="00C87D96">
        <w:t xml:space="preserve">, long day care and preschool facilities. </w:t>
      </w:r>
    </w:p>
    <w:p w14:paraId="120184CA" w14:textId="77777777" w:rsidR="0084591D" w:rsidRDefault="0084591D" w:rsidP="005F0301">
      <w:pPr>
        <w:ind w:left="426"/>
      </w:pPr>
      <w:r w:rsidRPr="00F5326B">
        <w:rPr>
          <w:b/>
          <w:bCs/>
          <w:iCs/>
        </w:rPr>
        <w:t>Senior School Psychologist</w:t>
      </w:r>
      <w:r w:rsidRPr="00F5326B">
        <w:t xml:space="preserve"> </w:t>
      </w:r>
      <w:r w:rsidRPr="00C87D96">
        <w:t xml:space="preserve">is the team leader and supervisor for psychologists within the department’s </w:t>
      </w:r>
      <w:r>
        <w:t>Student Wellbeing and Inclusion</w:t>
      </w:r>
      <w:r w:rsidRPr="00C87D96">
        <w:t xml:space="preserve"> division. </w:t>
      </w:r>
    </w:p>
    <w:p w14:paraId="5F4FE1B1" w14:textId="34BC1CE6" w:rsidR="003C4941" w:rsidRDefault="00F90D33" w:rsidP="00F5326B">
      <w:pPr>
        <w:pStyle w:val="Heading1"/>
        <w:spacing w:before="360"/>
        <w:ind w:left="425" w:hanging="425"/>
      </w:pPr>
      <w:r>
        <w:t xml:space="preserve">Roles and </w:t>
      </w:r>
      <w:r w:rsidR="00DB6309">
        <w:t>r</w:t>
      </w:r>
      <w:r>
        <w:t xml:space="preserve">esponsbilities </w:t>
      </w:r>
    </w:p>
    <w:p w14:paraId="169238DE" w14:textId="77777777" w:rsidR="004D1D36" w:rsidRPr="004D1D36" w:rsidRDefault="004D1D36" w:rsidP="005F0301">
      <w:pPr>
        <w:ind w:left="426"/>
        <w:rPr>
          <w:b/>
          <w:lang w:val="en-US"/>
        </w:rPr>
      </w:pPr>
      <w:r w:rsidRPr="00F5326B">
        <w:rPr>
          <w:b/>
          <w:bCs/>
          <w:iCs/>
          <w:lang w:val="en-US"/>
        </w:rPr>
        <w:t>General Manager Student Wellbeing and Inclusion</w:t>
      </w:r>
      <w:r w:rsidRPr="004D1D36">
        <w:rPr>
          <w:lang w:val="en-US"/>
        </w:rPr>
        <w:t xml:space="preserve"> is </w:t>
      </w:r>
      <w:r w:rsidRPr="005F0301">
        <w:t>responsible</w:t>
      </w:r>
      <w:r w:rsidRPr="004D1D36">
        <w:rPr>
          <w:lang w:val="en-US"/>
        </w:rPr>
        <w:t xml:space="preserve"> for:</w:t>
      </w:r>
    </w:p>
    <w:p w14:paraId="029C4FE7"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ensuring schools engage external practitioners in line with these guidelines</w:t>
      </w:r>
    </w:p>
    <w:p w14:paraId="41B20DAF"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enabling the review, monitoring and evaluation of the implementation of these guidelines to ensure departmental practices are consistent and in the best interest of the student</w:t>
      </w:r>
    </w:p>
    <w:p w14:paraId="66C3D854" w14:textId="4A3B1BFC"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 xml:space="preserve">setting </w:t>
      </w:r>
      <w:r w:rsidR="00FE69A2">
        <w:rPr>
          <w:color w:val="000000"/>
        </w:rPr>
        <w:t>NT</w:t>
      </w:r>
      <w:r w:rsidRPr="005F0301">
        <w:rPr>
          <w:color w:val="000000"/>
        </w:rPr>
        <w:t>-wide standards for school engagement with external practitioners for students with disability</w:t>
      </w:r>
    </w:p>
    <w:p w14:paraId="024EF2A0" w14:textId="3E9F124D"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 xml:space="preserve">communicating and liaising with external practitioners employed by </w:t>
      </w:r>
      <w:r w:rsidR="00FE69A2">
        <w:rPr>
          <w:color w:val="000000"/>
        </w:rPr>
        <w:t>NT</w:t>
      </w:r>
      <w:r w:rsidRPr="005F0301">
        <w:rPr>
          <w:color w:val="000000"/>
        </w:rPr>
        <w:t xml:space="preserve"> Government schools</w:t>
      </w:r>
    </w:p>
    <w:p w14:paraId="29BE8B04" w14:textId="6F3BD6B2"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 xml:space="preserve">ensuring the Senior School Psychologist provides guidance to school principals throughout the procurement process </w:t>
      </w:r>
    </w:p>
    <w:p w14:paraId="0DE7D65A"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assisting schools with strategies and recommendations related to assessments and reports</w:t>
      </w:r>
    </w:p>
    <w:p w14:paraId="1216E02A"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the provision of professional learning for teachers and special education teachers, in relation to diagnosing / identifying disability in students and the provision of support for such students.</w:t>
      </w:r>
    </w:p>
    <w:p w14:paraId="12A257D8" w14:textId="21470D43" w:rsidR="004D1D36" w:rsidRPr="00C87D96" w:rsidRDefault="00F5326B" w:rsidP="005F0301">
      <w:pPr>
        <w:ind w:left="426"/>
      </w:pPr>
      <w:r>
        <w:rPr>
          <w:rStyle w:val="Heading4Char"/>
          <w:rFonts w:eastAsia="Calibri"/>
        </w:rPr>
        <w:br w:type="page"/>
      </w:r>
      <w:r w:rsidR="004D1D36" w:rsidRPr="00F5326B">
        <w:rPr>
          <w:b/>
          <w:bCs/>
          <w:iCs/>
        </w:rPr>
        <w:lastRenderedPageBreak/>
        <w:t>Principal</w:t>
      </w:r>
      <w:r w:rsidR="004D1D36" w:rsidRPr="00F5326B">
        <w:t xml:space="preserve"> </w:t>
      </w:r>
      <w:r w:rsidR="004D1D36" w:rsidRPr="00C87D96">
        <w:t>is responsible for:</w:t>
      </w:r>
    </w:p>
    <w:p w14:paraId="7910AFDD"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distributing guidelines to external practitioners during the procurement process to ensure they are aware of their roles and responsibilities.</w:t>
      </w:r>
    </w:p>
    <w:p w14:paraId="1037AC8C" w14:textId="77777777" w:rsidR="004D1D36" w:rsidRPr="005F0301" w:rsidRDefault="004D1D36" w:rsidP="005F0301">
      <w:pPr>
        <w:pStyle w:val="ListParagraph"/>
        <w:numPr>
          <w:ilvl w:val="0"/>
          <w:numId w:val="11"/>
        </w:numPr>
        <w:spacing w:after="0"/>
        <w:ind w:left="851" w:hanging="425"/>
        <w:contextualSpacing/>
        <w:rPr>
          <w:color w:val="000000"/>
        </w:rPr>
      </w:pPr>
      <w:r w:rsidRPr="005F0301">
        <w:rPr>
          <w:color w:val="000000"/>
        </w:rPr>
        <w:t>confirming the external practitioners have the necessary qualifications and experience, as specified in the guidelines.</w:t>
      </w:r>
    </w:p>
    <w:p w14:paraId="42E322B1" w14:textId="77777777" w:rsidR="004D1D36" w:rsidRPr="004D1D36" w:rsidRDefault="004D1D36" w:rsidP="005F0301">
      <w:pPr>
        <w:pStyle w:val="ListParagraph"/>
        <w:numPr>
          <w:ilvl w:val="0"/>
          <w:numId w:val="11"/>
        </w:numPr>
        <w:spacing w:after="200"/>
        <w:ind w:left="850" w:hanging="425"/>
        <w:contextualSpacing/>
        <w:rPr>
          <w:b/>
        </w:rPr>
      </w:pPr>
      <w:r w:rsidRPr="005F0301">
        <w:rPr>
          <w:color w:val="000000"/>
        </w:rPr>
        <w:t>liaising with the Senior School Psychologist throughout the procurement</w:t>
      </w:r>
      <w:r w:rsidRPr="00C87D96">
        <w:t xml:space="preserve"> process. </w:t>
      </w:r>
    </w:p>
    <w:p w14:paraId="1EB6C41C" w14:textId="23164E52" w:rsidR="004D1D36" w:rsidRPr="00C87D96" w:rsidRDefault="004D1D36" w:rsidP="005F0301">
      <w:pPr>
        <w:ind w:left="426"/>
      </w:pPr>
      <w:r w:rsidRPr="00F5326B">
        <w:rPr>
          <w:b/>
          <w:bCs/>
          <w:iCs/>
        </w:rPr>
        <w:t>External practitioner</w:t>
      </w:r>
      <w:r w:rsidRPr="00C87D96">
        <w:t xml:space="preserve"> </w:t>
      </w:r>
      <w:r w:rsidR="00F90D33">
        <w:t>is</w:t>
      </w:r>
      <w:r w:rsidRPr="00C87D96">
        <w:t xml:space="preserve"> responsible for: </w:t>
      </w:r>
    </w:p>
    <w:p w14:paraId="648E178C" w14:textId="77777777" w:rsidR="004D1D36" w:rsidRPr="005F0301" w:rsidRDefault="004D1D36" w:rsidP="005F0301">
      <w:pPr>
        <w:pStyle w:val="ListParagraph"/>
        <w:numPr>
          <w:ilvl w:val="0"/>
          <w:numId w:val="11"/>
        </w:numPr>
        <w:spacing w:after="200"/>
        <w:ind w:left="850" w:hanging="425"/>
        <w:contextualSpacing/>
        <w:rPr>
          <w:color w:val="000000"/>
        </w:rPr>
      </w:pPr>
      <w:r w:rsidRPr="005F0301">
        <w:rPr>
          <w:color w:val="000000"/>
        </w:rPr>
        <w:t>ensuring services are carried out in accordance with the Students with Disability policy and supporting guidelines.</w:t>
      </w:r>
    </w:p>
    <w:p w14:paraId="3A2A4A99" w14:textId="77777777" w:rsidR="004D1D36" w:rsidRPr="005F0301" w:rsidRDefault="004D1D36" w:rsidP="005F0301">
      <w:pPr>
        <w:pStyle w:val="ListParagraph"/>
        <w:numPr>
          <w:ilvl w:val="0"/>
          <w:numId w:val="11"/>
        </w:numPr>
        <w:spacing w:after="200"/>
        <w:ind w:left="850" w:hanging="425"/>
        <w:contextualSpacing/>
        <w:rPr>
          <w:color w:val="000000"/>
        </w:rPr>
      </w:pPr>
      <w:r w:rsidRPr="005F0301">
        <w:rPr>
          <w:color w:val="000000"/>
        </w:rPr>
        <w:t xml:space="preserve">providing schools with reports/recommendations that meet the appropriate standards set by the department, as specified in the guidelines. </w:t>
      </w:r>
    </w:p>
    <w:p w14:paraId="037CA946" w14:textId="77777777" w:rsidR="004D1D36" w:rsidRDefault="004D1D36" w:rsidP="005F0301">
      <w:pPr>
        <w:pStyle w:val="ListParagraph"/>
        <w:numPr>
          <w:ilvl w:val="0"/>
          <w:numId w:val="11"/>
        </w:numPr>
        <w:spacing w:after="200"/>
        <w:ind w:left="850" w:hanging="425"/>
        <w:contextualSpacing/>
      </w:pPr>
      <w:r w:rsidRPr="005F0301">
        <w:rPr>
          <w:color w:val="000000"/>
        </w:rPr>
        <w:t>adhering to the standards set by their relevant</w:t>
      </w:r>
      <w:r w:rsidRPr="00C87D96">
        <w:t xml:space="preserve"> professional body.</w:t>
      </w:r>
    </w:p>
    <w:p w14:paraId="42D17AE4" w14:textId="7B0F1EF1" w:rsidR="004D1D36" w:rsidRDefault="00F90D33" w:rsidP="00F90D33">
      <w:pPr>
        <w:pStyle w:val="Heading1"/>
        <w:spacing w:before="360"/>
        <w:ind w:left="425" w:hanging="425"/>
      </w:pPr>
      <w:r>
        <w:t>E</w:t>
      </w:r>
      <w:r w:rsidRPr="00C87D96">
        <w:t>xternal</w:t>
      </w:r>
      <w:r w:rsidRPr="00F90D33">
        <w:t xml:space="preserve"> </w:t>
      </w:r>
      <w:r w:rsidRPr="00C87D96">
        <w:t xml:space="preserve">practitioner </w:t>
      </w:r>
      <w:r>
        <w:t>q</w:t>
      </w:r>
      <w:r w:rsidR="004D1D36">
        <w:t xml:space="preserve">ualifications and </w:t>
      </w:r>
      <w:r>
        <w:t>e</w:t>
      </w:r>
      <w:r w:rsidR="004D1D36">
        <w:t>xperience</w:t>
      </w:r>
    </w:p>
    <w:p w14:paraId="79644A4D" w14:textId="4E41AE3E" w:rsidR="007222EE" w:rsidRPr="00C87D96" w:rsidRDefault="007222EE" w:rsidP="005F0301">
      <w:pPr>
        <w:ind w:left="426"/>
        <w:rPr>
          <w:b/>
          <w:lang w:val="en-US"/>
        </w:rPr>
      </w:pPr>
      <w:r w:rsidRPr="00C87D96">
        <w:rPr>
          <w:lang w:val="en-US"/>
        </w:rPr>
        <w:t xml:space="preserve">The department considers the following to be the minimum standards of qualifications and experience that an </w:t>
      </w:r>
      <w:r w:rsidRPr="00C87D96">
        <w:t>external</w:t>
      </w:r>
      <w:r w:rsidRPr="00C87D96">
        <w:rPr>
          <w:i/>
        </w:rPr>
        <w:t xml:space="preserve"> </w:t>
      </w:r>
      <w:r w:rsidRPr="00C87D96">
        <w:t xml:space="preserve">practitioner </w:t>
      </w:r>
      <w:r w:rsidRPr="00C87D96">
        <w:rPr>
          <w:lang w:val="en-US"/>
        </w:rPr>
        <w:t xml:space="preserve">should possess when working in </w:t>
      </w:r>
      <w:r w:rsidR="00FE69A2">
        <w:rPr>
          <w:lang w:val="en-US"/>
        </w:rPr>
        <w:t>NT Government</w:t>
      </w:r>
      <w:r w:rsidRPr="00C87D96">
        <w:rPr>
          <w:lang w:val="en-US"/>
        </w:rPr>
        <w:t xml:space="preserve"> schools:</w:t>
      </w:r>
    </w:p>
    <w:p w14:paraId="17836522" w14:textId="77777777"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registration with a national health professional body/board (e.g. Australian Health Practitioner Regulation Agency (AHPRA))</w:t>
      </w:r>
    </w:p>
    <w:p w14:paraId="26CB9841" w14:textId="77777777"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experience working in a school setting relevant to the local context</w:t>
      </w:r>
    </w:p>
    <w:p w14:paraId="6B9CB35A" w14:textId="77777777"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experience working in the area of disability</w:t>
      </w:r>
    </w:p>
    <w:p w14:paraId="7599774F" w14:textId="77777777"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 xml:space="preserve">experience conducting appropriate assessments </w:t>
      </w:r>
    </w:p>
    <w:p w14:paraId="1B82F608" w14:textId="77777777"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experience working with multicultural clients or those with English as an Additional Language or Dialect (EAL/D)</w:t>
      </w:r>
    </w:p>
    <w:p w14:paraId="0A254CC7" w14:textId="305695E5" w:rsidR="007222EE" w:rsidRPr="005F0301" w:rsidRDefault="007222EE" w:rsidP="005F0301">
      <w:pPr>
        <w:pStyle w:val="ListParagraph"/>
        <w:numPr>
          <w:ilvl w:val="0"/>
          <w:numId w:val="11"/>
        </w:numPr>
        <w:spacing w:after="200"/>
        <w:ind w:left="850" w:hanging="425"/>
        <w:contextualSpacing/>
        <w:rPr>
          <w:color w:val="000000"/>
        </w:rPr>
      </w:pPr>
      <w:r w:rsidRPr="005F0301">
        <w:rPr>
          <w:color w:val="000000"/>
        </w:rPr>
        <w:t xml:space="preserve">acknowledgement that </w:t>
      </w:r>
      <w:r w:rsidR="00F90D33" w:rsidRPr="005F0301">
        <w:rPr>
          <w:color w:val="000000"/>
        </w:rPr>
        <w:t>they have</w:t>
      </w:r>
      <w:r w:rsidRPr="005F0301">
        <w:rPr>
          <w:color w:val="000000"/>
        </w:rPr>
        <w:t xml:space="preserve"> read the prof</w:t>
      </w:r>
      <w:r w:rsidR="00F90D33" w:rsidRPr="005F0301">
        <w:rPr>
          <w:color w:val="000000"/>
        </w:rPr>
        <w:t xml:space="preserve">essional guidelines relevant to their </w:t>
      </w:r>
      <w:r w:rsidRPr="005F0301">
        <w:rPr>
          <w:color w:val="000000"/>
        </w:rPr>
        <w:t>profession</w:t>
      </w:r>
      <w:r w:rsidR="00F90D33" w:rsidRPr="005F0301">
        <w:rPr>
          <w:color w:val="000000"/>
        </w:rPr>
        <w:t>, e.g.</w:t>
      </w:r>
      <w:r w:rsidR="003E20C9">
        <w:rPr>
          <w:color w:val="000000"/>
        </w:rPr>
        <w:t> </w:t>
      </w:r>
      <w:r w:rsidRPr="005F0301">
        <w:rPr>
          <w:color w:val="000000"/>
        </w:rPr>
        <w:t>the following Australian Psychological Society (APS) guidelines:</w:t>
      </w:r>
    </w:p>
    <w:p w14:paraId="53FF26CA" w14:textId="77777777" w:rsidR="007222EE" w:rsidRDefault="00B3522D" w:rsidP="005F0301">
      <w:pPr>
        <w:pStyle w:val="ListParagraph"/>
        <w:numPr>
          <w:ilvl w:val="1"/>
          <w:numId w:val="18"/>
        </w:numPr>
        <w:ind w:left="1418" w:hanging="567"/>
        <w:contextualSpacing/>
        <w:rPr>
          <w:lang w:val="en-US"/>
        </w:rPr>
      </w:pPr>
      <w:hyperlink r:id="rId12" w:history="1">
        <w:r w:rsidR="007222EE" w:rsidRPr="00313A22">
          <w:rPr>
            <w:rStyle w:val="Hyperlink"/>
            <w:lang w:val="en-US"/>
          </w:rPr>
          <w:t>APS Framework for effective delivery of school psychology services: a practice guide for psychologist and school leaders (2016)</w:t>
        </w:r>
      </w:hyperlink>
    </w:p>
    <w:p w14:paraId="7E7FEB92" w14:textId="62DF24C6" w:rsidR="007222EE" w:rsidRPr="00B90AA3" w:rsidRDefault="00B3522D" w:rsidP="005F0301">
      <w:pPr>
        <w:pStyle w:val="ListParagraph"/>
        <w:numPr>
          <w:ilvl w:val="1"/>
          <w:numId w:val="18"/>
        </w:numPr>
        <w:ind w:left="1418" w:hanging="567"/>
        <w:contextualSpacing/>
        <w:rPr>
          <w:lang w:val="en-US"/>
        </w:rPr>
      </w:pPr>
      <w:hyperlink r:id="rId13" w:history="1">
        <w:r w:rsidR="007222EE" w:rsidRPr="00CF3614">
          <w:rPr>
            <w:rStyle w:val="Hyperlink"/>
            <w:rFonts w:cs="Arial"/>
            <w:bCs/>
            <w:sz w:val="24"/>
            <w:lang w:val="en-US"/>
          </w:rPr>
          <w:t>APS Practice guide for the assessment of school aged students in educational contexts (2014)</w:t>
        </w:r>
      </w:hyperlink>
      <w:r w:rsidR="00F90D33" w:rsidRPr="00C87D96">
        <w:t>.</w:t>
      </w:r>
    </w:p>
    <w:p w14:paraId="0C7D383A" w14:textId="77777777" w:rsidR="007222EE" w:rsidRDefault="007222EE" w:rsidP="005F0301">
      <w:pPr>
        <w:ind w:left="426"/>
        <w:rPr>
          <w:lang w:val="en-US"/>
        </w:rPr>
      </w:pPr>
      <w:r w:rsidRPr="00C87D96">
        <w:rPr>
          <w:lang w:val="en-US"/>
        </w:rPr>
        <w:t xml:space="preserve">Assessments must be conducted only when there is clear knowledge and understanding of how to administer, score, interpret and report outcomes resulting from the specific assessment tool being used. </w:t>
      </w:r>
      <w:r w:rsidRPr="00C87D96">
        <w:t>External</w:t>
      </w:r>
      <w:r w:rsidRPr="00C87D96">
        <w:rPr>
          <w:i/>
        </w:rPr>
        <w:t xml:space="preserve"> </w:t>
      </w:r>
      <w:r w:rsidRPr="00C87D96">
        <w:t>practitioners</w:t>
      </w:r>
      <w:r w:rsidRPr="00C87D96">
        <w:rPr>
          <w:lang w:val="en-US"/>
        </w:rPr>
        <w:t xml:space="preserve"> are required to use their own assessment resources including test kits, manuals, scoring sheets, response booklets and/or the most recent version of the assessment.</w:t>
      </w:r>
    </w:p>
    <w:p w14:paraId="3AE2CA09" w14:textId="0BA39B4B" w:rsidR="007222EE" w:rsidRDefault="007222EE" w:rsidP="00F90D33">
      <w:pPr>
        <w:pStyle w:val="Heading1"/>
        <w:spacing w:before="360"/>
        <w:ind w:left="425" w:hanging="425"/>
      </w:pPr>
      <w:bookmarkStart w:id="0" w:name="Procurement"/>
      <w:r>
        <w:t>Procurement</w:t>
      </w:r>
      <w:r w:rsidR="00F90D33">
        <w:t xml:space="preserve"> process</w:t>
      </w:r>
    </w:p>
    <w:bookmarkEnd w:id="0"/>
    <w:p w14:paraId="296D8141" w14:textId="066D50B0" w:rsidR="007222EE" w:rsidRDefault="007222EE" w:rsidP="007B3385">
      <w:pPr>
        <w:ind w:left="426"/>
      </w:pPr>
      <w:r w:rsidRPr="00C87D96">
        <w:rPr>
          <w:lang w:val="en-US"/>
        </w:rPr>
        <w:t xml:space="preserve">There is an inherent risk in employing </w:t>
      </w:r>
      <w:r w:rsidRPr="00C87D96">
        <w:t>external</w:t>
      </w:r>
      <w:r w:rsidRPr="00C87D96">
        <w:rPr>
          <w:i/>
        </w:rPr>
        <w:t xml:space="preserve"> </w:t>
      </w:r>
      <w:r w:rsidRPr="00C87D96">
        <w:t xml:space="preserve">practitioners </w:t>
      </w:r>
      <w:r w:rsidRPr="00C87D96">
        <w:rPr>
          <w:lang w:val="en-US"/>
        </w:rPr>
        <w:t xml:space="preserve">who do not provide evidence of the multicultural competencies in a local school context. </w:t>
      </w:r>
      <w:r w:rsidRPr="00C87D96">
        <w:t xml:space="preserve">The procurement process requires consideration of utilising </w:t>
      </w:r>
      <w:r w:rsidR="00FE69A2">
        <w:t>NT</w:t>
      </w:r>
      <w:r w:rsidRPr="00C87D96">
        <w:t xml:space="preserve"> businesses before seeking businesses from interstate. There is a mandatory allocation of a 20</w:t>
      </w:r>
      <w:r>
        <w:t xml:space="preserve"> per cent</w:t>
      </w:r>
      <w:r w:rsidRPr="00C87D96">
        <w:t xml:space="preserve"> weighting for the selection criteria around supporting </w:t>
      </w:r>
      <w:r w:rsidRPr="00C87D96">
        <w:rPr>
          <w:iCs/>
        </w:rPr>
        <w:t>local development and value-adding to the</w:t>
      </w:r>
      <w:r w:rsidRPr="00C87D96">
        <w:rPr>
          <w:i/>
          <w:iCs/>
        </w:rPr>
        <w:t xml:space="preserve"> </w:t>
      </w:r>
      <w:r w:rsidRPr="00C87D96">
        <w:t xml:space="preserve">capacity of the business that is selected. Assistance in sourcing local businesses can be obtained by contacting the </w:t>
      </w:r>
      <w:hyperlink r:id="rId14" w:history="1">
        <w:r w:rsidRPr="00F90D33">
          <w:rPr>
            <w:rStyle w:val="Hyperlink"/>
          </w:rPr>
          <w:t>Industry Capability Network Northern Territory</w:t>
        </w:r>
      </w:hyperlink>
      <w:r w:rsidRPr="00C87D96">
        <w:t xml:space="preserve"> (</w:t>
      </w:r>
      <w:r w:rsidRPr="00F90D33">
        <w:rPr>
          <w:rFonts w:cs="Arial"/>
          <w:sz w:val="24"/>
        </w:rPr>
        <w:t xml:space="preserve">ICN </w:t>
      </w:r>
      <w:r w:rsidRPr="00F90D33">
        <w:t xml:space="preserve">NT). </w:t>
      </w:r>
      <w:r w:rsidRPr="00C87D96">
        <w:t>ICN NT is also the approving authority for procurement of goods or services using interstate or international businesses</w:t>
      </w:r>
      <w:r>
        <w:t>.</w:t>
      </w:r>
    </w:p>
    <w:p w14:paraId="6904671D" w14:textId="77777777" w:rsidR="007222EE" w:rsidRDefault="007222EE" w:rsidP="005F0301">
      <w:pPr>
        <w:ind w:left="426"/>
        <w:rPr>
          <w:color w:val="1F497D"/>
        </w:rPr>
      </w:pPr>
      <w:r w:rsidRPr="005F0301">
        <w:lastRenderedPageBreak/>
        <w:t>Principals</w:t>
      </w:r>
      <w:r w:rsidRPr="00C87D96">
        <w:rPr>
          <w:lang w:val="en-US"/>
        </w:rPr>
        <w:t xml:space="preserve"> should liaise with the Senior School Psychologist</w:t>
      </w:r>
      <w:r>
        <w:rPr>
          <w:lang w:val="en-US"/>
        </w:rPr>
        <w:t>, Student Wellbeing and Inclusion</w:t>
      </w:r>
      <w:r w:rsidRPr="00C87D96">
        <w:rPr>
          <w:lang w:val="en-US"/>
        </w:rPr>
        <w:t xml:space="preserve"> throughout the procurement process. </w:t>
      </w:r>
    </w:p>
    <w:p w14:paraId="68F4AED5" w14:textId="77777777" w:rsidR="007222EE" w:rsidRDefault="007222EE" w:rsidP="00F239F1">
      <w:pPr>
        <w:ind w:left="426"/>
        <w:rPr>
          <w:lang w:val="en-US"/>
        </w:rPr>
      </w:pPr>
      <w:r w:rsidRPr="00C87D96">
        <w:rPr>
          <w:lang w:val="en-US"/>
        </w:rPr>
        <w:t xml:space="preserve">The </w:t>
      </w:r>
      <w:hyperlink r:id="rId15" w:history="1">
        <w:r w:rsidRPr="00CF3614">
          <w:rPr>
            <w:rStyle w:val="Hyperlink"/>
          </w:rPr>
          <w:t xml:space="preserve">External Practitioner Checklist </w:t>
        </w:r>
        <w:r w:rsidR="00CF3614" w:rsidRPr="00CF3614">
          <w:rPr>
            <w:rStyle w:val="Hyperlink"/>
          </w:rPr>
          <w:t>f</w:t>
        </w:r>
        <w:r w:rsidRPr="00CF3614">
          <w:rPr>
            <w:rStyle w:val="Hyperlink"/>
          </w:rPr>
          <w:t>or Principals</w:t>
        </w:r>
      </w:hyperlink>
      <w:r w:rsidRPr="00C87D96">
        <w:rPr>
          <w:lang w:val="en-US"/>
        </w:rPr>
        <w:t xml:space="preserve"> provides assistance in </w:t>
      </w:r>
      <w:r w:rsidRPr="00F239F1">
        <w:t>the</w:t>
      </w:r>
      <w:r w:rsidRPr="00C87D96">
        <w:rPr>
          <w:lang w:val="en-US"/>
        </w:rPr>
        <w:t xml:space="preserve"> procurement/ employment of </w:t>
      </w:r>
      <w:r w:rsidRPr="00C87D96">
        <w:t>external</w:t>
      </w:r>
      <w:r w:rsidRPr="00C87D96">
        <w:rPr>
          <w:i/>
        </w:rPr>
        <w:t xml:space="preserve"> </w:t>
      </w:r>
      <w:r w:rsidRPr="00C87D96">
        <w:t>practitioners</w:t>
      </w:r>
      <w:r w:rsidRPr="00C87D96">
        <w:rPr>
          <w:lang w:val="en-US"/>
        </w:rPr>
        <w:t>.</w:t>
      </w:r>
    </w:p>
    <w:p w14:paraId="0DE3FF6B" w14:textId="77777777" w:rsidR="007222EE" w:rsidRDefault="007222EE" w:rsidP="00F239F1">
      <w:pPr>
        <w:ind w:left="426"/>
        <w:rPr>
          <w:lang w:val="en-US"/>
        </w:rPr>
      </w:pPr>
      <w:r w:rsidRPr="00C87D96">
        <w:rPr>
          <w:lang w:val="en-US"/>
        </w:rPr>
        <w:t xml:space="preserve">The </w:t>
      </w:r>
      <w:hyperlink r:id="rId16" w:history="1">
        <w:r w:rsidRPr="00CF3614">
          <w:rPr>
            <w:rStyle w:val="Hyperlink"/>
          </w:rPr>
          <w:t xml:space="preserve">Allied Health Practitioner Agreement </w:t>
        </w:r>
        <w:r w:rsidR="00CF3614" w:rsidRPr="00CF3614">
          <w:rPr>
            <w:rStyle w:val="Hyperlink"/>
          </w:rPr>
          <w:t>o</w:t>
        </w:r>
        <w:r w:rsidRPr="00CF3614">
          <w:rPr>
            <w:rStyle w:val="Hyperlink"/>
          </w:rPr>
          <w:t>f Service</w:t>
        </w:r>
      </w:hyperlink>
      <w:r w:rsidRPr="00C87D96">
        <w:rPr>
          <w:lang w:val="en-US"/>
        </w:rPr>
        <w:t xml:space="preserve"> </w:t>
      </w:r>
      <w:r w:rsidRPr="00F239F1">
        <w:t>should</w:t>
      </w:r>
      <w:r w:rsidRPr="00C87D96">
        <w:rPr>
          <w:lang w:val="en-US"/>
        </w:rPr>
        <w:t xml:space="preserve"> be used in conjunction with the checklist to ensure common understanding for service provision. </w:t>
      </w:r>
    </w:p>
    <w:p w14:paraId="7ECA5DC5" w14:textId="1E9752AC" w:rsidR="007222EE" w:rsidRDefault="00F90D33" w:rsidP="00F90D33">
      <w:pPr>
        <w:pStyle w:val="Heading1"/>
        <w:spacing w:before="360"/>
        <w:ind w:left="425" w:hanging="425"/>
      </w:pPr>
      <w:r>
        <w:t>Standards for service p</w:t>
      </w:r>
      <w:r w:rsidR="007222EE">
        <w:t>rovision</w:t>
      </w:r>
    </w:p>
    <w:p w14:paraId="347C4DB9" w14:textId="77777777" w:rsidR="007222EE" w:rsidRPr="00F90D33" w:rsidRDefault="007222EE" w:rsidP="007B3385">
      <w:pPr>
        <w:pStyle w:val="Heading4"/>
        <w:ind w:left="426" w:firstLine="0"/>
        <w:rPr>
          <w:color w:val="auto"/>
        </w:rPr>
      </w:pPr>
      <w:r w:rsidRPr="00F90D33">
        <w:rPr>
          <w:color w:val="auto"/>
        </w:rPr>
        <w:t>Disability Standards for Education</w:t>
      </w:r>
    </w:p>
    <w:p w14:paraId="1FBE6F20" w14:textId="77777777" w:rsidR="007222EE" w:rsidRPr="006966F5" w:rsidRDefault="007222EE" w:rsidP="007B3385">
      <w:pPr>
        <w:ind w:left="426"/>
      </w:pPr>
      <w:r w:rsidRPr="00936169">
        <w:t>All external</w:t>
      </w:r>
      <w:r w:rsidRPr="00936169">
        <w:rPr>
          <w:i/>
        </w:rPr>
        <w:t xml:space="preserve"> </w:t>
      </w:r>
      <w:r w:rsidRPr="00936169">
        <w:t xml:space="preserve">practitioners employed in a school are to familiarise themselves with the </w:t>
      </w:r>
      <w:hyperlink r:id="rId17" w:history="1">
        <w:r w:rsidRPr="00CF3614">
          <w:rPr>
            <w:rStyle w:val="Hyperlink"/>
          </w:rPr>
          <w:t>Disability Standards for Education</w:t>
        </w:r>
      </w:hyperlink>
      <w:r w:rsidRPr="00CF3614">
        <w:t xml:space="preserve"> and complete the</w:t>
      </w:r>
      <w:r w:rsidR="00CF3614">
        <w:t xml:space="preserve"> relevant</w:t>
      </w:r>
      <w:r w:rsidRPr="00CF3614">
        <w:t xml:space="preserve"> </w:t>
      </w:r>
      <w:hyperlink r:id="rId18" w:history="1">
        <w:r w:rsidRPr="00CF3614">
          <w:rPr>
            <w:rStyle w:val="Hyperlink"/>
          </w:rPr>
          <w:t>online course</w:t>
        </w:r>
      </w:hyperlink>
      <w:r w:rsidRPr="00936169">
        <w:t>, which outlines the obligations of education providers to ensure equal opportunities are provided to students with disability.</w:t>
      </w:r>
    </w:p>
    <w:p w14:paraId="67B9EBF3" w14:textId="77777777" w:rsidR="007222EE" w:rsidRPr="00F90D33" w:rsidRDefault="007222EE" w:rsidP="007B3385">
      <w:pPr>
        <w:pStyle w:val="Heading4"/>
        <w:ind w:left="426" w:firstLine="0"/>
        <w:rPr>
          <w:color w:val="auto"/>
        </w:rPr>
      </w:pPr>
      <w:r w:rsidRPr="00F90D33">
        <w:rPr>
          <w:color w:val="auto"/>
        </w:rPr>
        <w:t xml:space="preserve">Working with Children Clearance Notice (Ochre Card) </w:t>
      </w:r>
    </w:p>
    <w:p w14:paraId="629DB47F" w14:textId="77777777" w:rsidR="007222EE" w:rsidRPr="001743A2" w:rsidRDefault="007222EE" w:rsidP="007B3385">
      <w:pPr>
        <w:ind w:left="426"/>
        <w:rPr>
          <w:bCs/>
          <w:lang w:val="en-US"/>
        </w:rPr>
      </w:pPr>
      <w:r w:rsidRPr="001743A2">
        <w:rPr>
          <w:bCs/>
          <w:lang w:val="en-US"/>
        </w:rPr>
        <w:t xml:space="preserve">Prior to commencement of employment in a school, all </w:t>
      </w:r>
      <w:r w:rsidRPr="001743A2">
        <w:t>external</w:t>
      </w:r>
      <w:r w:rsidRPr="001743A2">
        <w:rPr>
          <w:i/>
        </w:rPr>
        <w:t xml:space="preserve"> </w:t>
      </w:r>
      <w:r w:rsidRPr="001743A2">
        <w:t xml:space="preserve">practitioners </w:t>
      </w:r>
      <w:r w:rsidRPr="001743A2">
        <w:rPr>
          <w:bCs/>
          <w:lang w:val="en-US"/>
        </w:rPr>
        <w:t xml:space="preserve">are required to provide evidence of holding a current Working with Children Clearance Notice (Ochre card) to the Principal as per the </w:t>
      </w:r>
      <w:hyperlink r:id="rId19" w:history="1">
        <w:r w:rsidRPr="00ED4270">
          <w:rPr>
            <w:rStyle w:val="Hyperlink"/>
            <w:lang w:val="en-US"/>
          </w:rPr>
          <w:t>Working with Children Clearance Notices (Ochre Cards)</w:t>
        </w:r>
        <w:r w:rsidRPr="00ED4270">
          <w:rPr>
            <w:rStyle w:val="Hyperlink"/>
          </w:rPr>
          <w:t xml:space="preserve"> policy</w:t>
        </w:r>
      </w:hyperlink>
      <w:r w:rsidRPr="001743A2">
        <w:rPr>
          <w:bCs/>
          <w:lang w:val="en-US"/>
        </w:rPr>
        <w:t xml:space="preserve"> and </w:t>
      </w:r>
      <w:hyperlink r:id="rId20" w:history="1">
        <w:r w:rsidR="00CF3614" w:rsidRPr="00ED4270">
          <w:rPr>
            <w:rStyle w:val="Hyperlink"/>
            <w:bCs/>
            <w:lang w:val="en-US"/>
          </w:rPr>
          <w:t>Fact Sheet</w:t>
        </w:r>
      </w:hyperlink>
      <w:r w:rsidRPr="001743A2">
        <w:rPr>
          <w:bCs/>
          <w:lang w:val="en-US"/>
        </w:rPr>
        <w:t>.</w:t>
      </w:r>
    </w:p>
    <w:p w14:paraId="57226991" w14:textId="77777777" w:rsidR="007222EE" w:rsidRPr="00F90D33" w:rsidRDefault="007222EE" w:rsidP="007B3385">
      <w:pPr>
        <w:pStyle w:val="Heading4"/>
        <w:ind w:left="426" w:firstLine="0"/>
        <w:rPr>
          <w:color w:val="auto"/>
          <w:lang w:val="en-US"/>
        </w:rPr>
      </w:pPr>
      <w:r w:rsidRPr="00F90D33">
        <w:rPr>
          <w:color w:val="auto"/>
          <w:lang w:val="en-US"/>
        </w:rPr>
        <w:t>Professional indemnity insurance</w:t>
      </w:r>
    </w:p>
    <w:p w14:paraId="5E38BC10" w14:textId="77777777" w:rsidR="007222EE" w:rsidRPr="00A612D6" w:rsidRDefault="007222EE" w:rsidP="007B3385">
      <w:pPr>
        <w:ind w:left="426"/>
        <w:rPr>
          <w:bCs/>
          <w:i/>
          <w:lang w:val="en-US"/>
        </w:rPr>
      </w:pPr>
      <w:r w:rsidRPr="00C87D96">
        <w:rPr>
          <w:bCs/>
          <w:lang w:val="en-US"/>
        </w:rPr>
        <w:t xml:space="preserve">Prior to commencement, </w:t>
      </w:r>
      <w:r w:rsidRPr="00C87D96">
        <w:t>external</w:t>
      </w:r>
      <w:r w:rsidRPr="00C87D96">
        <w:rPr>
          <w:i/>
        </w:rPr>
        <w:t xml:space="preserve"> </w:t>
      </w:r>
      <w:r w:rsidRPr="00C87D96">
        <w:t xml:space="preserve">practitioners </w:t>
      </w:r>
      <w:r w:rsidRPr="00C87D96">
        <w:rPr>
          <w:bCs/>
          <w:lang w:val="en-US"/>
        </w:rPr>
        <w:t>employed in a school setting must provide evidence that they are covered by professional indemnity insurance</w:t>
      </w:r>
      <w:r>
        <w:rPr>
          <w:bCs/>
          <w:lang w:val="en-US"/>
        </w:rPr>
        <w:t>,</w:t>
      </w:r>
      <w:r w:rsidRPr="00C87D96">
        <w:rPr>
          <w:bCs/>
          <w:lang w:val="en-US"/>
        </w:rPr>
        <w:t xml:space="preserve"> to the school Principal; as stated in Section 129 of the </w:t>
      </w:r>
      <w:hyperlink r:id="rId21" w:history="1">
        <w:r w:rsidRPr="00ED4270">
          <w:rPr>
            <w:rStyle w:val="Hyperlink"/>
            <w:i/>
            <w:lang w:val="en-US"/>
          </w:rPr>
          <w:t>Health Practitioner Regulation National Law Act 2009</w:t>
        </w:r>
      </w:hyperlink>
      <w:r w:rsidRPr="00A612D6">
        <w:rPr>
          <w:bCs/>
          <w:i/>
          <w:lang w:val="en-US"/>
        </w:rPr>
        <w:t>:</w:t>
      </w:r>
    </w:p>
    <w:p w14:paraId="41938A3A" w14:textId="77777777" w:rsidR="007222EE" w:rsidRDefault="00ED4270" w:rsidP="007B3385">
      <w:pPr>
        <w:ind w:left="426"/>
        <w:rPr>
          <w:bCs/>
          <w:i/>
          <w:lang w:val="en-US"/>
        </w:rPr>
      </w:pPr>
      <w:r w:rsidRPr="00ED4270">
        <w:rPr>
          <w:bCs/>
          <w:lang w:val="en-US"/>
        </w:rPr>
        <w:t>‘</w:t>
      </w:r>
      <w:r w:rsidR="007222EE" w:rsidRPr="00ED4270">
        <w:rPr>
          <w:bCs/>
          <w:lang w:val="en-US"/>
        </w:rPr>
        <w:t>A registered health practitioner must not practice the health profession in which the practitioner is registered unless appropriate professional indemnity insurance arrangements are in force in relation to the practitioner’s practice of the profession</w:t>
      </w:r>
      <w:r>
        <w:rPr>
          <w:bCs/>
          <w:lang w:val="en-US"/>
        </w:rPr>
        <w:t>’</w:t>
      </w:r>
      <w:r w:rsidR="007222EE" w:rsidRPr="00C87D96">
        <w:rPr>
          <w:bCs/>
          <w:i/>
          <w:lang w:val="en-US"/>
        </w:rPr>
        <w:t>.</w:t>
      </w:r>
    </w:p>
    <w:p w14:paraId="542AB9CC" w14:textId="77777777" w:rsidR="007222EE" w:rsidRPr="00F90D33" w:rsidRDefault="007222EE" w:rsidP="007B3385">
      <w:pPr>
        <w:pStyle w:val="Heading4"/>
        <w:ind w:left="426" w:firstLine="0"/>
        <w:rPr>
          <w:color w:val="auto"/>
        </w:rPr>
      </w:pPr>
      <w:r w:rsidRPr="00F90D33">
        <w:rPr>
          <w:color w:val="auto"/>
        </w:rPr>
        <w:t xml:space="preserve">Supervision when working in NT schools </w:t>
      </w:r>
    </w:p>
    <w:p w14:paraId="0626A214" w14:textId="77777777" w:rsidR="007222EE" w:rsidRPr="001743A2" w:rsidRDefault="007222EE" w:rsidP="007B3385">
      <w:pPr>
        <w:ind w:left="426"/>
        <w:rPr>
          <w:bCs/>
          <w:lang w:val="en-US"/>
        </w:rPr>
      </w:pPr>
      <w:r w:rsidRPr="001743A2">
        <w:t>External</w:t>
      </w:r>
      <w:r w:rsidRPr="001743A2">
        <w:rPr>
          <w:i/>
        </w:rPr>
        <w:t xml:space="preserve"> </w:t>
      </w:r>
      <w:r w:rsidRPr="001743A2">
        <w:t xml:space="preserve">practitioners </w:t>
      </w:r>
      <w:r w:rsidRPr="001743A2">
        <w:rPr>
          <w:bCs/>
          <w:lang w:val="en-US"/>
        </w:rPr>
        <w:t xml:space="preserve">employed by schools will also be required to liaise with the Senior </w:t>
      </w:r>
      <w:r w:rsidRPr="00936169">
        <w:rPr>
          <w:bCs/>
          <w:lang w:val="en-US"/>
        </w:rPr>
        <w:t>School Psychologist, relevant Senior Advisor or Consultant (for example, Disability Advisor, Early Childhood Advisor, Autism Advisor, Speech Pathologist, Hearing and Vision Advisor etc.).</w:t>
      </w:r>
    </w:p>
    <w:p w14:paraId="13247A03" w14:textId="77777777" w:rsidR="007222EE" w:rsidRPr="00F90D33" w:rsidRDefault="007222EE" w:rsidP="007B3385">
      <w:pPr>
        <w:pStyle w:val="Heading4"/>
        <w:ind w:left="426" w:firstLine="0"/>
        <w:rPr>
          <w:color w:val="auto"/>
        </w:rPr>
      </w:pPr>
      <w:r w:rsidRPr="00F90D33">
        <w:rPr>
          <w:color w:val="auto"/>
        </w:rPr>
        <w:t xml:space="preserve">Conflict of interest </w:t>
      </w:r>
    </w:p>
    <w:p w14:paraId="79698706" w14:textId="77777777" w:rsidR="007222EE" w:rsidRPr="00C87D96" w:rsidRDefault="007222EE" w:rsidP="007B3385">
      <w:pPr>
        <w:ind w:left="426"/>
        <w:rPr>
          <w:bCs/>
          <w:lang w:val="en-US"/>
        </w:rPr>
      </w:pPr>
      <w:r w:rsidRPr="00C87D96">
        <w:rPr>
          <w:bCs/>
          <w:lang w:val="en-US"/>
        </w:rPr>
        <w:t xml:space="preserve">External </w:t>
      </w:r>
      <w:r w:rsidRPr="00C87D96">
        <w:t xml:space="preserve">practitioners </w:t>
      </w:r>
      <w:r w:rsidRPr="00C87D96">
        <w:rPr>
          <w:bCs/>
          <w:lang w:val="en-US"/>
        </w:rPr>
        <w:t xml:space="preserve">engaged in employment in both schools and independent private practice must inform the Principal of their dual roles. It is the responsibility of </w:t>
      </w:r>
      <w:r w:rsidRPr="00C87D96">
        <w:t>external</w:t>
      </w:r>
      <w:r w:rsidRPr="00C87D96">
        <w:rPr>
          <w:i/>
        </w:rPr>
        <w:t xml:space="preserve"> </w:t>
      </w:r>
      <w:r w:rsidRPr="00C87D96">
        <w:t xml:space="preserve">practitioners </w:t>
      </w:r>
      <w:r w:rsidRPr="00C87D96">
        <w:rPr>
          <w:bCs/>
          <w:lang w:val="en-US"/>
        </w:rPr>
        <w:t>to ensure they follow their health professional body/board’s code of ethics and apply professional judgment in response to possible conflicts of interest. The dual roles must remain clearly separated by ensuring the following:</w:t>
      </w:r>
    </w:p>
    <w:p w14:paraId="606DEB63" w14:textId="77777777" w:rsidR="007222EE" w:rsidRPr="00F239F1" w:rsidRDefault="007222EE" w:rsidP="00F239F1">
      <w:pPr>
        <w:pStyle w:val="ListParagraph"/>
        <w:numPr>
          <w:ilvl w:val="0"/>
          <w:numId w:val="11"/>
        </w:numPr>
        <w:spacing w:after="200"/>
        <w:ind w:left="850" w:hanging="425"/>
        <w:contextualSpacing/>
        <w:rPr>
          <w:color w:val="000000"/>
        </w:rPr>
      </w:pPr>
      <w:r w:rsidRPr="00F239F1">
        <w:rPr>
          <w:color w:val="000000"/>
        </w:rPr>
        <w:t>there is no advertisement or referral to the independent private practice in the school setting</w:t>
      </w:r>
    </w:p>
    <w:p w14:paraId="73EC18B1" w14:textId="77777777" w:rsidR="007222EE" w:rsidRPr="00F239F1" w:rsidRDefault="007222EE" w:rsidP="00F239F1">
      <w:pPr>
        <w:pStyle w:val="ListParagraph"/>
        <w:numPr>
          <w:ilvl w:val="0"/>
          <w:numId w:val="11"/>
        </w:numPr>
        <w:spacing w:after="200"/>
        <w:ind w:left="850" w:hanging="425"/>
        <w:contextualSpacing/>
        <w:rPr>
          <w:color w:val="000000"/>
        </w:rPr>
      </w:pPr>
      <w:r w:rsidRPr="00F239F1">
        <w:rPr>
          <w:color w:val="000000"/>
        </w:rPr>
        <w:t>materials and resources from the school must not be used in independent private practice</w:t>
      </w:r>
    </w:p>
    <w:p w14:paraId="437C3570" w14:textId="77777777" w:rsidR="007222EE" w:rsidRPr="00F82483" w:rsidRDefault="007222EE" w:rsidP="00F239F1">
      <w:pPr>
        <w:pStyle w:val="ListParagraph"/>
        <w:numPr>
          <w:ilvl w:val="0"/>
          <w:numId w:val="11"/>
        </w:numPr>
        <w:spacing w:after="200"/>
        <w:ind w:left="850" w:hanging="425"/>
        <w:contextualSpacing/>
        <w:rPr>
          <w:bCs/>
          <w:lang w:val="en-US"/>
        </w:rPr>
      </w:pPr>
      <w:r w:rsidRPr="00F239F1">
        <w:rPr>
          <w:color w:val="000000"/>
        </w:rPr>
        <w:t>independent private practice services must not be provided during the hours that the external practitioners are employed</w:t>
      </w:r>
      <w:r w:rsidRPr="00F82483">
        <w:rPr>
          <w:bCs/>
          <w:lang w:val="en-US"/>
        </w:rPr>
        <w:t xml:space="preserve"> to work at the school</w:t>
      </w:r>
    </w:p>
    <w:p w14:paraId="0F1ADC56" w14:textId="77777777" w:rsidR="007222EE" w:rsidRPr="00F82483" w:rsidRDefault="007222EE" w:rsidP="00F239F1">
      <w:pPr>
        <w:pStyle w:val="ListParagraph"/>
        <w:numPr>
          <w:ilvl w:val="0"/>
          <w:numId w:val="11"/>
        </w:numPr>
        <w:spacing w:after="200"/>
        <w:ind w:left="850" w:hanging="425"/>
        <w:contextualSpacing/>
        <w:rPr>
          <w:bCs/>
          <w:lang w:val="en-US"/>
        </w:rPr>
      </w:pPr>
      <w:r w:rsidRPr="00F82483">
        <w:rPr>
          <w:bCs/>
          <w:lang w:val="en-US"/>
        </w:rPr>
        <w:lastRenderedPageBreak/>
        <w:t xml:space="preserve">any possible conflicts of interest or issues surrounding dual roles should be discussed with the Senior School </w:t>
      </w:r>
      <w:r w:rsidRPr="00F239F1">
        <w:rPr>
          <w:color w:val="000000"/>
        </w:rPr>
        <w:t>Psychologist</w:t>
      </w:r>
      <w:r w:rsidRPr="00F82483">
        <w:rPr>
          <w:bCs/>
          <w:lang w:val="en-US"/>
        </w:rPr>
        <w:t xml:space="preserve">. </w:t>
      </w:r>
    </w:p>
    <w:p w14:paraId="14839022" w14:textId="77777777" w:rsidR="007222EE" w:rsidRPr="00F90D33" w:rsidRDefault="007222EE" w:rsidP="00F239F1">
      <w:pPr>
        <w:pStyle w:val="Heading4"/>
        <w:ind w:left="426" w:firstLine="0"/>
        <w:rPr>
          <w:color w:val="auto"/>
        </w:rPr>
      </w:pPr>
      <w:r w:rsidRPr="00F90D33">
        <w:rPr>
          <w:color w:val="auto"/>
        </w:rPr>
        <w:t xml:space="preserve">Informed consent </w:t>
      </w:r>
    </w:p>
    <w:p w14:paraId="163D275E" w14:textId="77777777" w:rsidR="007222EE" w:rsidRDefault="007222EE" w:rsidP="00F239F1">
      <w:pPr>
        <w:ind w:left="426"/>
        <w:rPr>
          <w:bCs/>
          <w:lang w:val="en-US"/>
        </w:rPr>
      </w:pPr>
      <w:r w:rsidRPr="001743A2">
        <w:rPr>
          <w:bCs/>
          <w:lang w:val="en-US"/>
        </w:rPr>
        <w:t xml:space="preserve">Prior to providing support and carrying out an assessment of a student, an </w:t>
      </w:r>
      <w:r w:rsidRPr="001743A2">
        <w:t>external</w:t>
      </w:r>
      <w:r w:rsidRPr="001743A2">
        <w:rPr>
          <w:i/>
        </w:rPr>
        <w:t xml:space="preserve"> </w:t>
      </w:r>
      <w:r w:rsidRPr="001743A2">
        <w:t>practitioner</w:t>
      </w:r>
      <w:r w:rsidRPr="001743A2">
        <w:rPr>
          <w:bCs/>
          <w:lang w:val="en-US"/>
        </w:rPr>
        <w:t xml:space="preserve"> must obtain a signed </w:t>
      </w:r>
      <w:hyperlink r:id="rId22" w:history="1">
        <w:r w:rsidRPr="00ED4270">
          <w:rPr>
            <w:rStyle w:val="Hyperlink"/>
            <w:lang w:val="en-US"/>
          </w:rPr>
          <w:t>Parent Consent Authority</w:t>
        </w:r>
      </w:hyperlink>
      <w:r w:rsidRPr="001743A2">
        <w:rPr>
          <w:bCs/>
          <w:lang w:val="en-US"/>
        </w:rPr>
        <w:t xml:space="preserve"> and also contact the student’s parent to gain verbal consent prior to carrying out each specific assessment.</w:t>
      </w:r>
    </w:p>
    <w:p w14:paraId="431C11C5" w14:textId="77777777" w:rsidR="007222EE" w:rsidRPr="001743A2" w:rsidRDefault="007222EE" w:rsidP="00F239F1">
      <w:pPr>
        <w:ind w:left="426"/>
        <w:rPr>
          <w:bCs/>
          <w:lang w:val="en-US"/>
        </w:rPr>
      </w:pPr>
      <w:r w:rsidRPr="001743A2">
        <w:rPr>
          <w:bCs/>
          <w:lang w:val="en-US"/>
        </w:rPr>
        <w:t xml:space="preserve">This is to ensure that the parent has an understanding of the assessment used, the process, potential risks and benefits, confidentiality limitations, and knowledge of who will receive or have access to the final report. Gaining the informed consent of the student also assists with building rapport and a trusting relationship. </w:t>
      </w:r>
    </w:p>
    <w:p w14:paraId="26E29D7E" w14:textId="77777777" w:rsidR="007222EE" w:rsidRPr="00F90D33" w:rsidRDefault="007222EE" w:rsidP="00F239F1">
      <w:pPr>
        <w:pStyle w:val="Heading4"/>
        <w:ind w:left="426" w:firstLine="0"/>
        <w:rPr>
          <w:color w:val="auto"/>
          <w:lang w:val="en-US"/>
        </w:rPr>
      </w:pPr>
      <w:r w:rsidRPr="00F239F1">
        <w:rPr>
          <w:color w:val="auto"/>
        </w:rPr>
        <w:t>Assessment</w:t>
      </w:r>
      <w:r w:rsidRPr="00F90D33">
        <w:rPr>
          <w:color w:val="auto"/>
          <w:lang w:val="en-US"/>
        </w:rPr>
        <w:t xml:space="preserve"> reports</w:t>
      </w:r>
    </w:p>
    <w:p w14:paraId="5EC0A5F7" w14:textId="77777777" w:rsidR="007222EE" w:rsidRDefault="007222EE" w:rsidP="00F239F1">
      <w:pPr>
        <w:ind w:left="426"/>
        <w:rPr>
          <w:bCs/>
          <w:lang w:val="en-US"/>
        </w:rPr>
      </w:pPr>
      <w:r w:rsidRPr="001743A2">
        <w:rPr>
          <w:bCs/>
          <w:lang w:val="en-US"/>
        </w:rPr>
        <w:t xml:space="preserve">Psychological assessment reports need to state a diagnosis that fulfills all the criteria within the Diagnostic and Statistical Manual of Mental Disorders Fifth Edition (DSM-5) or the International Code of Disorders Tenth Edition (ICD-10). </w:t>
      </w:r>
    </w:p>
    <w:p w14:paraId="1FABE19B" w14:textId="77777777" w:rsidR="007222EE" w:rsidRDefault="007222EE" w:rsidP="00F239F1">
      <w:pPr>
        <w:ind w:left="426"/>
        <w:rPr>
          <w:bCs/>
          <w:lang w:val="en-US"/>
        </w:rPr>
      </w:pPr>
      <w:r w:rsidRPr="001743A2">
        <w:rPr>
          <w:bCs/>
          <w:lang w:val="en-US"/>
        </w:rPr>
        <w:t xml:space="preserve">Assessment reports may vary in structure, style and format. The use of section sub-headings are recommended to provide structure. Reports should always be written in clear and simple language with minimal professional or technical jargon and should not contain ambiguous statements that are difficult to understand. </w:t>
      </w:r>
    </w:p>
    <w:p w14:paraId="1FFAA7DD" w14:textId="77777777" w:rsidR="007222EE" w:rsidRPr="006C0472" w:rsidRDefault="007222EE" w:rsidP="00F239F1">
      <w:pPr>
        <w:ind w:left="426"/>
        <w:rPr>
          <w:bCs/>
          <w:lang w:val="en-US"/>
        </w:rPr>
      </w:pPr>
      <w:r w:rsidRPr="001743A2">
        <w:rPr>
          <w:bCs/>
          <w:lang w:val="en-US"/>
        </w:rPr>
        <w:t xml:space="preserve">The minimum standard of information to be obtained and incorporated into an assessment report is available in the following document: </w:t>
      </w:r>
      <w:hyperlink r:id="rId23" w:history="1">
        <w:r w:rsidRPr="006C0472">
          <w:rPr>
            <w:rStyle w:val="Hyperlink"/>
            <w:lang w:val="en-US"/>
          </w:rPr>
          <w:t>Recommended Structure of a Report by an External Practitioner</w:t>
        </w:r>
      </w:hyperlink>
      <w:r w:rsidRPr="006C0472">
        <w:rPr>
          <w:bCs/>
          <w:lang w:val="en-US"/>
        </w:rPr>
        <w:t>.</w:t>
      </w:r>
    </w:p>
    <w:p w14:paraId="6E0697BC" w14:textId="77777777" w:rsidR="007222EE" w:rsidRDefault="007222EE" w:rsidP="00F239F1">
      <w:pPr>
        <w:ind w:left="426"/>
        <w:rPr>
          <w:bCs/>
          <w:lang w:val="en-US"/>
        </w:rPr>
      </w:pPr>
      <w:r w:rsidRPr="001743A2">
        <w:rPr>
          <w:bCs/>
          <w:lang w:val="en-US"/>
        </w:rPr>
        <w:t xml:space="preserve">External </w:t>
      </w:r>
      <w:r w:rsidRPr="001743A2">
        <w:t xml:space="preserve">practitioners </w:t>
      </w:r>
      <w:r w:rsidRPr="001743A2">
        <w:rPr>
          <w:bCs/>
          <w:lang w:val="en-US"/>
        </w:rPr>
        <w:t>must provide feedback on the report to the appropriate people such as the student’s parents/caregivers and the school. If possible, feedback should take place in person to ensure understanding and clarity regarding the report, to allow opportunities for questions in a supportive environment, and to provide an opportunity for discussion of the recommendations and strategies that may be useful for the student.</w:t>
      </w:r>
    </w:p>
    <w:p w14:paraId="0DF7E7F5" w14:textId="77777777" w:rsidR="007222EE" w:rsidRPr="001743A2" w:rsidRDefault="007222EE" w:rsidP="00F239F1">
      <w:pPr>
        <w:ind w:left="426"/>
        <w:rPr>
          <w:bCs/>
          <w:lang w:val="en-US"/>
        </w:rPr>
      </w:pPr>
      <w:r w:rsidRPr="001743A2">
        <w:rPr>
          <w:bCs/>
          <w:lang w:val="en-US"/>
        </w:rPr>
        <w:t xml:space="preserve">Assessment reports that do not meet the minimum standards specified in the guidelines will not be accepted by the department.   </w:t>
      </w:r>
    </w:p>
    <w:p w14:paraId="7A8A61C4" w14:textId="77777777" w:rsidR="007222EE" w:rsidRPr="00F90D33" w:rsidRDefault="007222EE" w:rsidP="00F239F1">
      <w:pPr>
        <w:pStyle w:val="Heading4"/>
        <w:ind w:left="426" w:firstLine="0"/>
        <w:rPr>
          <w:color w:val="auto"/>
        </w:rPr>
      </w:pPr>
      <w:r w:rsidRPr="00F90D33">
        <w:rPr>
          <w:color w:val="auto"/>
        </w:rPr>
        <w:t xml:space="preserve">Follow-up assessment </w:t>
      </w:r>
    </w:p>
    <w:p w14:paraId="29D58C26" w14:textId="7353620A" w:rsidR="007222EE" w:rsidRPr="001743A2" w:rsidRDefault="005221B7" w:rsidP="007728A2">
      <w:pPr>
        <w:ind w:left="426"/>
        <w:rPr>
          <w:bCs/>
          <w:lang w:val="en-US"/>
        </w:rPr>
      </w:pPr>
      <w:r>
        <w:rPr>
          <w:bCs/>
          <w:lang w:val="en-US"/>
        </w:rPr>
        <w:t>In the event that a follow-</w:t>
      </w:r>
      <w:r w:rsidR="007222EE" w:rsidRPr="001743A2">
        <w:rPr>
          <w:bCs/>
          <w:lang w:val="en-US"/>
        </w:rPr>
        <w:t xml:space="preserve">up assessment carried out by an </w:t>
      </w:r>
      <w:r w:rsidR="007222EE" w:rsidRPr="001743A2">
        <w:t>external</w:t>
      </w:r>
      <w:r w:rsidR="007222EE" w:rsidRPr="001743A2">
        <w:rPr>
          <w:i/>
        </w:rPr>
        <w:t xml:space="preserve"> </w:t>
      </w:r>
      <w:r w:rsidR="007222EE" w:rsidRPr="001743A2">
        <w:t xml:space="preserve">practitioner </w:t>
      </w:r>
      <w:r w:rsidR="007222EE" w:rsidRPr="001743A2">
        <w:rPr>
          <w:bCs/>
          <w:lang w:val="en-US"/>
        </w:rPr>
        <w:t xml:space="preserve">does not support the </w:t>
      </w:r>
      <w:r w:rsidR="002E6E4D">
        <w:rPr>
          <w:bCs/>
          <w:lang w:val="en-US"/>
        </w:rPr>
        <w:t>original</w:t>
      </w:r>
      <w:r w:rsidR="007222EE" w:rsidRPr="001743A2">
        <w:rPr>
          <w:bCs/>
          <w:lang w:val="en-US"/>
        </w:rPr>
        <w:t xml:space="preserve"> diagnosis, the review</w:t>
      </w:r>
      <w:r w:rsidR="002E6E4D">
        <w:rPr>
          <w:bCs/>
          <w:lang w:val="en-US"/>
        </w:rPr>
        <w:t xml:space="preserve"> updated assessment will be considered the most current.</w:t>
      </w:r>
      <w:r w:rsidR="007222EE" w:rsidRPr="001743A2">
        <w:rPr>
          <w:bCs/>
          <w:lang w:val="en-US"/>
        </w:rPr>
        <w:t xml:space="preserve"> </w:t>
      </w:r>
    </w:p>
    <w:p w14:paraId="006E4FAC" w14:textId="77777777" w:rsidR="007222EE" w:rsidRPr="00F239F1" w:rsidRDefault="007222EE" w:rsidP="00F239F1">
      <w:pPr>
        <w:pStyle w:val="Heading4"/>
        <w:ind w:left="851" w:hanging="425"/>
        <w:rPr>
          <w:color w:val="auto"/>
        </w:rPr>
      </w:pPr>
      <w:r w:rsidRPr="00F239F1">
        <w:rPr>
          <w:color w:val="auto"/>
        </w:rPr>
        <w:t>Record management</w:t>
      </w:r>
    </w:p>
    <w:p w14:paraId="22F32000" w14:textId="77777777" w:rsidR="007222EE" w:rsidRDefault="007222EE" w:rsidP="00F239F1">
      <w:pPr>
        <w:ind w:left="426"/>
        <w:rPr>
          <w:lang w:val="en-US"/>
        </w:rPr>
      </w:pPr>
      <w:r w:rsidRPr="001743A2">
        <w:rPr>
          <w:lang w:val="en-US"/>
        </w:rPr>
        <w:t xml:space="preserve">The school is </w:t>
      </w:r>
      <w:r w:rsidRPr="00F239F1">
        <w:rPr>
          <w:bCs/>
          <w:lang w:val="en-US"/>
        </w:rPr>
        <w:t>responsible</w:t>
      </w:r>
      <w:r w:rsidRPr="001743A2">
        <w:rPr>
          <w:lang w:val="en-US"/>
        </w:rPr>
        <w:t xml:space="preserve"> for maintaining appropriate records and documentation relating to the </w:t>
      </w:r>
      <w:r w:rsidRPr="00F239F1">
        <w:rPr>
          <w:bCs/>
          <w:lang w:val="en-US"/>
        </w:rPr>
        <w:t>procurement</w:t>
      </w:r>
      <w:r w:rsidRPr="001743A2">
        <w:rPr>
          <w:lang w:val="en-US"/>
        </w:rPr>
        <w:t xml:space="preserve"> of an </w:t>
      </w:r>
      <w:r w:rsidRPr="001743A2">
        <w:t>external</w:t>
      </w:r>
      <w:r w:rsidRPr="001743A2">
        <w:rPr>
          <w:i/>
        </w:rPr>
        <w:t xml:space="preserve"> </w:t>
      </w:r>
      <w:r w:rsidRPr="001743A2">
        <w:t>practitioner</w:t>
      </w:r>
      <w:r w:rsidRPr="001743A2">
        <w:rPr>
          <w:lang w:val="en-US"/>
        </w:rPr>
        <w:t xml:space="preserve">, as outlined in the </w:t>
      </w:r>
      <w:hyperlink r:id="rId24" w:history="1">
        <w:r w:rsidRPr="00ED4270">
          <w:rPr>
            <w:rStyle w:val="Hyperlink"/>
          </w:rPr>
          <w:t>External Practitioner Checklist for Principals</w:t>
        </w:r>
      </w:hyperlink>
      <w:r w:rsidRPr="00ED4270">
        <w:t>.</w:t>
      </w:r>
    </w:p>
    <w:p w14:paraId="641F6169" w14:textId="77777777" w:rsidR="007222EE" w:rsidRPr="001743A2" w:rsidRDefault="007222EE" w:rsidP="00F239F1">
      <w:pPr>
        <w:ind w:left="426"/>
        <w:rPr>
          <w:bCs/>
          <w:lang w:val="en-US"/>
        </w:rPr>
      </w:pPr>
      <w:r w:rsidRPr="001743A2">
        <w:rPr>
          <w:bCs/>
          <w:lang w:val="en-US"/>
        </w:rPr>
        <w:t xml:space="preserve">Student Assessment reports are to be submitted to the student’s </w:t>
      </w:r>
      <w:r>
        <w:rPr>
          <w:bCs/>
          <w:lang w:val="en-US"/>
        </w:rPr>
        <w:t xml:space="preserve">relevant Advisor or Consultant </w:t>
      </w:r>
      <w:r w:rsidRPr="001743A2">
        <w:rPr>
          <w:bCs/>
          <w:lang w:val="en-US"/>
        </w:rPr>
        <w:t>who will file them electronically on TRM. If there are copyright restrictions preventing copying or scanning the report, it will be placed on a hard copy file that is linked to the student’s electronic TRM file.</w:t>
      </w:r>
    </w:p>
    <w:p w14:paraId="22E8F471" w14:textId="08817FDF" w:rsidR="007222EE" w:rsidRPr="007222EE" w:rsidRDefault="006940FD" w:rsidP="006940FD">
      <w:pPr>
        <w:pStyle w:val="Heading1"/>
        <w:spacing w:before="360"/>
        <w:ind w:left="425" w:hanging="425"/>
      </w:pPr>
      <w:r>
        <w:lastRenderedPageBreak/>
        <w:t>Aboriginal context</w:t>
      </w:r>
    </w:p>
    <w:p w14:paraId="5DF65570" w14:textId="77777777" w:rsidR="00F82483" w:rsidRPr="00C87D96" w:rsidRDefault="00F82483" w:rsidP="00F239F1">
      <w:pPr>
        <w:ind w:left="426"/>
      </w:pPr>
      <w:r w:rsidRPr="00C87D96">
        <w:rPr>
          <w:lang w:val="en-US"/>
        </w:rPr>
        <w:t xml:space="preserve">When a school is engaging an </w:t>
      </w:r>
      <w:r w:rsidRPr="00C87D96">
        <w:t>external</w:t>
      </w:r>
      <w:r w:rsidRPr="00C87D96">
        <w:rPr>
          <w:i/>
        </w:rPr>
        <w:t xml:space="preserve"> </w:t>
      </w:r>
      <w:r w:rsidRPr="00C87D96">
        <w:t xml:space="preserve">practitioner </w:t>
      </w:r>
      <w:r w:rsidRPr="00C87D96">
        <w:rPr>
          <w:lang w:val="en-US"/>
        </w:rPr>
        <w:t xml:space="preserve">to work in a remote school and/or with </w:t>
      </w:r>
      <w:r>
        <w:rPr>
          <w:lang w:val="en-US"/>
        </w:rPr>
        <w:t>Aboriginal</w:t>
      </w:r>
      <w:r w:rsidRPr="00C87D96">
        <w:rPr>
          <w:lang w:val="en-US"/>
        </w:rPr>
        <w:t xml:space="preserve"> students, </w:t>
      </w:r>
      <w:r w:rsidRPr="00F239F1">
        <w:rPr>
          <w:bCs/>
          <w:lang w:val="en-US"/>
        </w:rPr>
        <w:t>the</w:t>
      </w:r>
      <w:r w:rsidRPr="00C87D96">
        <w:rPr>
          <w:lang w:val="en-US"/>
        </w:rPr>
        <w:t xml:space="preserve"> principal must review the practitioner’s curriculum vitae and conduct an interview addressing the provider’s experience, knowledge and understanding of </w:t>
      </w:r>
      <w:r>
        <w:rPr>
          <w:lang w:val="en-US"/>
        </w:rPr>
        <w:t>Aboriginal or Torres Strait Islander</w:t>
      </w:r>
      <w:r w:rsidRPr="00C87D96">
        <w:rPr>
          <w:lang w:val="en-US"/>
        </w:rPr>
        <w:t xml:space="preserve"> context. </w:t>
      </w:r>
    </w:p>
    <w:p w14:paraId="4E3880FA" w14:textId="77777777" w:rsidR="00F82483" w:rsidRPr="005A686C" w:rsidRDefault="00F82483" w:rsidP="00F239F1">
      <w:pPr>
        <w:ind w:left="426"/>
        <w:rPr>
          <w:lang w:val="en-US"/>
        </w:rPr>
      </w:pPr>
      <w:r w:rsidRPr="00C87D96">
        <w:rPr>
          <w:lang w:val="en-US"/>
        </w:rPr>
        <w:t xml:space="preserve">These </w:t>
      </w:r>
      <w:r w:rsidRPr="00F239F1">
        <w:rPr>
          <w:bCs/>
          <w:lang w:val="en-US"/>
        </w:rPr>
        <w:t>guidelines</w:t>
      </w:r>
      <w:r w:rsidRPr="00C87D96">
        <w:rPr>
          <w:lang w:val="en-US"/>
        </w:rPr>
        <w:t xml:space="preserve"> should be read in conjunction with the following DA-Appendix A: Key Principles for Working with Indigenous Students and the supporting documents around understanding and working within the Indigenous context:</w:t>
      </w:r>
      <w:r>
        <w:rPr>
          <w:lang w:val="en-US"/>
        </w:rPr>
        <w:t xml:space="preserve"> </w:t>
      </w:r>
      <w:hyperlink r:id="rId25" w:history="1">
        <w:r w:rsidRPr="00655DE3">
          <w:rPr>
            <w:rStyle w:val="Hyperlink"/>
          </w:rPr>
          <w:t>General Principles of Practice and Cultural Competence</w:t>
        </w:r>
      </w:hyperlink>
      <w:r w:rsidRPr="00C87D96">
        <w:rPr>
          <w:lang w:val="en-US"/>
        </w:rPr>
        <w:t>.</w:t>
      </w:r>
    </w:p>
    <w:p w14:paraId="68B8E81C" w14:textId="5469D036" w:rsidR="007222EE" w:rsidRDefault="006940FD" w:rsidP="006940FD">
      <w:pPr>
        <w:pStyle w:val="Heading1"/>
        <w:spacing w:before="360"/>
        <w:ind w:left="425" w:hanging="425"/>
      </w:pPr>
      <w:r>
        <w:t>External practitioner review</w:t>
      </w:r>
    </w:p>
    <w:p w14:paraId="18AD6C97" w14:textId="77777777" w:rsidR="00F82483" w:rsidRPr="00C87D96" w:rsidRDefault="00F82483" w:rsidP="00F239F1">
      <w:pPr>
        <w:ind w:left="426"/>
        <w:rPr>
          <w:lang w:val="en-US"/>
        </w:rPr>
      </w:pPr>
      <w:r w:rsidRPr="00C87D96">
        <w:rPr>
          <w:lang w:val="en-US"/>
        </w:rPr>
        <w:t xml:space="preserve">Compliance with these guidelines by </w:t>
      </w:r>
      <w:r w:rsidRPr="00C87D96">
        <w:t>external</w:t>
      </w:r>
      <w:r w:rsidRPr="00C87D96">
        <w:rPr>
          <w:i/>
        </w:rPr>
        <w:t xml:space="preserve"> </w:t>
      </w:r>
      <w:r w:rsidRPr="00C87D96">
        <w:t xml:space="preserve">practitioners </w:t>
      </w:r>
      <w:r w:rsidRPr="00C87D96">
        <w:rPr>
          <w:lang w:val="en-US"/>
        </w:rPr>
        <w:t xml:space="preserve">will ensure diagnoses, reports and </w:t>
      </w:r>
      <w:r w:rsidRPr="00F239F1">
        <w:rPr>
          <w:bCs/>
          <w:lang w:val="en-US"/>
        </w:rPr>
        <w:t>recommendations</w:t>
      </w:r>
      <w:r w:rsidRPr="00C87D96">
        <w:rPr>
          <w:lang w:val="en-US"/>
        </w:rPr>
        <w:t xml:space="preserve"> adequately inform ongoing support and program design for students with disability. Documentation/evidence will not be accepted as sufficient if providers are not compliant with the requirements stated in these guidelines.  </w:t>
      </w:r>
    </w:p>
    <w:p w14:paraId="502B9E58" w14:textId="77777777" w:rsidR="00F82483" w:rsidRPr="00CD0DB2" w:rsidRDefault="00F82483" w:rsidP="00F239F1">
      <w:pPr>
        <w:ind w:left="426"/>
        <w:rPr>
          <w:lang w:val="en-US"/>
        </w:rPr>
      </w:pPr>
      <w:r w:rsidRPr="00C87D96">
        <w:rPr>
          <w:lang w:val="en-US"/>
        </w:rPr>
        <w:t>Evidence presented prior to the implementation of these guidelines may be reviewed, and additional documentation required, for the ongoing provision of student support to best meet the needs of an individual.</w:t>
      </w:r>
    </w:p>
    <w:p w14:paraId="3466665E" w14:textId="330282A8" w:rsidR="00F82483" w:rsidRDefault="006940FD" w:rsidP="00F82483">
      <w:pPr>
        <w:pStyle w:val="Heading1"/>
        <w:ind w:left="426" w:hanging="426"/>
      </w:pPr>
      <w:r>
        <w:t xml:space="preserve">Related </w:t>
      </w:r>
      <w:r w:rsidR="00495993">
        <w:t>legislation, policies and resources</w:t>
      </w:r>
    </w:p>
    <w:tbl>
      <w:tblPr>
        <w:tblStyle w:val="TableGrid"/>
        <w:tblW w:w="10194" w:type="dxa"/>
        <w:jc w:val="center"/>
        <w:tblLook w:val="04A0" w:firstRow="1" w:lastRow="0" w:firstColumn="1" w:lastColumn="0" w:noHBand="0" w:noVBand="1"/>
      </w:tblPr>
      <w:tblGrid>
        <w:gridCol w:w="1367"/>
        <w:gridCol w:w="8827"/>
      </w:tblGrid>
      <w:tr w:rsidR="007728A2" w:rsidRPr="007728A2" w14:paraId="79D1B6EA" w14:textId="77777777" w:rsidTr="00495993">
        <w:trPr>
          <w:jc w:val="center"/>
        </w:trPr>
        <w:tc>
          <w:tcPr>
            <w:tcW w:w="1367" w:type="dxa"/>
            <w:vMerge w:val="restart"/>
            <w:shd w:val="clear" w:color="auto" w:fill="FFFFFF" w:themeFill="background1"/>
          </w:tcPr>
          <w:p w14:paraId="3CC23A65" w14:textId="5FD137B9" w:rsidR="007728A2" w:rsidRPr="00FC7ABE" w:rsidRDefault="00495993" w:rsidP="00D13E4A">
            <w:pPr>
              <w:spacing w:before="60" w:after="60"/>
              <w:rPr>
                <w:rFonts w:asciiTheme="minorHAnsi" w:hAnsiTheme="minorHAnsi" w:cs="Arial"/>
                <w:b/>
                <w:bCs/>
                <w:lang w:val="en-US"/>
              </w:rPr>
            </w:pPr>
            <w:bookmarkStart w:id="1" w:name="_GoBack" w:colFirst="0" w:colLast="0"/>
            <w:r w:rsidRPr="00FC7ABE">
              <w:rPr>
                <w:rFonts w:asciiTheme="minorHAnsi" w:hAnsiTheme="minorHAnsi" w:cs="Arial"/>
                <w:b/>
                <w:bCs/>
                <w:lang w:val="en-US"/>
              </w:rPr>
              <w:t>Legislation</w:t>
            </w:r>
          </w:p>
        </w:tc>
        <w:tc>
          <w:tcPr>
            <w:tcW w:w="8827" w:type="dxa"/>
          </w:tcPr>
          <w:p w14:paraId="02470684" w14:textId="26D7D856" w:rsidR="007728A2" w:rsidRPr="007728A2" w:rsidRDefault="00B3522D" w:rsidP="007728A2">
            <w:pPr>
              <w:spacing w:before="60" w:after="60"/>
              <w:rPr>
                <w:rFonts w:asciiTheme="minorHAnsi" w:hAnsiTheme="minorHAnsi" w:cs="Arial"/>
                <w:bCs/>
                <w:color w:val="FF0000"/>
                <w:lang w:val="en-US"/>
              </w:rPr>
            </w:pPr>
            <w:hyperlink r:id="rId26" w:history="1">
              <w:r w:rsidR="007728A2" w:rsidRPr="007728A2">
                <w:rPr>
                  <w:rStyle w:val="Hyperlink"/>
                  <w:rFonts w:asciiTheme="minorHAnsi" w:hAnsiTheme="minorHAnsi"/>
                  <w:i/>
                  <w:iCs/>
                </w:rPr>
                <w:t>Disability Discrimination Act 1992</w:t>
              </w:r>
            </w:hyperlink>
            <w:r w:rsidR="007728A2" w:rsidRPr="007728A2">
              <w:rPr>
                <w:rFonts w:asciiTheme="minorHAnsi" w:hAnsiTheme="minorHAnsi"/>
                <w:iCs/>
              </w:rPr>
              <w:t xml:space="preserve"> – </w:t>
            </w:r>
            <w:r w:rsidR="007728A2">
              <w:rPr>
                <w:rFonts w:asciiTheme="minorHAnsi" w:hAnsiTheme="minorHAnsi"/>
                <w:iCs/>
              </w:rPr>
              <w:t>promotes the elimination of</w:t>
            </w:r>
            <w:r w:rsidR="007728A2" w:rsidRPr="007728A2">
              <w:rPr>
                <w:rFonts w:asciiTheme="minorHAnsi" w:hAnsiTheme="minorHAnsi"/>
                <w:iCs/>
              </w:rPr>
              <w:t xml:space="preserve"> discrimination against persons on the grounds of disability, ensure people with disability have the same rights to equity before the law and promote recognition and acceptance that people with disability have the same fundamental rights as the rest of the community.  </w:t>
            </w:r>
          </w:p>
        </w:tc>
      </w:tr>
      <w:tr w:rsidR="007728A2" w:rsidRPr="007728A2" w14:paraId="266B377E" w14:textId="77777777" w:rsidTr="00495993">
        <w:trPr>
          <w:jc w:val="center"/>
        </w:trPr>
        <w:tc>
          <w:tcPr>
            <w:tcW w:w="1367" w:type="dxa"/>
            <w:vMerge/>
            <w:shd w:val="clear" w:color="auto" w:fill="FFFFFF" w:themeFill="background1"/>
          </w:tcPr>
          <w:p w14:paraId="7D631B5A" w14:textId="77777777" w:rsidR="007728A2" w:rsidRPr="00FC7ABE" w:rsidRDefault="007728A2" w:rsidP="00D13E4A">
            <w:pPr>
              <w:spacing w:before="60" w:after="60"/>
              <w:rPr>
                <w:rFonts w:asciiTheme="minorHAnsi" w:hAnsiTheme="minorHAnsi" w:cs="Arial"/>
                <w:bCs/>
                <w:lang w:val="en-US"/>
              </w:rPr>
            </w:pPr>
          </w:p>
        </w:tc>
        <w:tc>
          <w:tcPr>
            <w:tcW w:w="8827" w:type="dxa"/>
          </w:tcPr>
          <w:p w14:paraId="5E1D55A3" w14:textId="77777777" w:rsidR="007728A2" w:rsidRPr="007728A2" w:rsidRDefault="00B3522D" w:rsidP="00D13E4A">
            <w:pPr>
              <w:spacing w:before="60" w:after="60"/>
              <w:rPr>
                <w:rFonts w:asciiTheme="minorHAnsi" w:hAnsiTheme="minorHAnsi" w:cs="Arial"/>
                <w:bCs/>
                <w:lang w:val="en-US"/>
              </w:rPr>
            </w:pPr>
            <w:hyperlink r:id="rId27" w:history="1">
              <w:r w:rsidR="007728A2" w:rsidRPr="007728A2">
                <w:rPr>
                  <w:rStyle w:val="Hyperlink"/>
                  <w:rFonts w:asciiTheme="minorHAnsi" w:hAnsiTheme="minorHAnsi"/>
                  <w:bCs/>
                  <w:i/>
                  <w:lang w:val="en-US"/>
                </w:rPr>
                <w:t>Disability Standards for Education 2005</w:t>
              </w:r>
            </w:hyperlink>
            <w:r w:rsidR="007728A2" w:rsidRPr="007728A2">
              <w:rPr>
                <w:rFonts w:asciiTheme="minorHAnsi" w:hAnsiTheme="minorHAnsi"/>
                <w:bCs/>
                <w:i/>
                <w:lang w:val="en-US"/>
              </w:rPr>
              <w:t xml:space="preserve"> – </w:t>
            </w:r>
            <w:r w:rsidR="007728A2" w:rsidRPr="007728A2">
              <w:rPr>
                <w:rFonts w:asciiTheme="minorHAnsi" w:hAnsiTheme="minorHAnsi"/>
                <w:bCs/>
                <w:lang w:val="en-US"/>
              </w:rPr>
              <w:t xml:space="preserve">makes </w:t>
            </w:r>
            <w:r w:rsidR="007728A2" w:rsidRPr="007728A2">
              <w:rPr>
                <w:rFonts w:asciiTheme="minorHAnsi" w:hAnsiTheme="minorHAnsi"/>
                <w:color w:val="222222"/>
                <w:shd w:val="clear" w:color="auto" w:fill="FFFFFF"/>
              </w:rPr>
              <w:t>explicit the obligations of </w:t>
            </w:r>
            <w:r w:rsidR="007728A2" w:rsidRPr="007728A2">
              <w:rPr>
                <w:rFonts w:asciiTheme="minorHAnsi" w:hAnsiTheme="minorHAnsi"/>
                <w:bCs/>
                <w:color w:val="222222"/>
                <w:shd w:val="clear" w:color="auto" w:fill="FFFFFF"/>
              </w:rPr>
              <w:t>education</w:t>
            </w:r>
            <w:r w:rsidR="007728A2" w:rsidRPr="007728A2">
              <w:rPr>
                <w:rFonts w:asciiTheme="minorHAnsi" w:hAnsiTheme="minorHAnsi"/>
                <w:color w:val="222222"/>
                <w:shd w:val="clear" w:color="auto" w:fill="FFFFFF"/>
              </w:rPr>
              <w:t> and training service providers under the </w:t>
            </w:r>
            <w:r w:rsidR="007728A2" w:rsidRPr="007728A2">
              <w:rPr>
                <w:rFonts w:asciiTheme="minorHAnsi" w:hAnsiTheme="minorHAnsi"/>
                <w:bCs/>
                <w:color w:val="222222"/>
                <w:shd w:val="clear" w:color="auto" w:fill="FFFFFF"/>
              </w:rPr>
              <w:t>Disability</w:t>
            </w:r>
            <w:r w:rsidR="007728A2" w:rsidRPr="007728A2">
              <w:rPr>
                <w:rFonts w:asciiTheme="minorHAnsi" w:hAnsiTheme="minorHAnsi"/>
                <w:color w:val="222222"/>
                <w:shd w:val="clear" w:color="auto" w:fill="FFFFFF"/>
              </w:rPr>
              <w:t> Discrimination Act 1992 and the rights of people with </w:t>
            </w:r>
            <w:r w:rsidR="007728A2" w:rsidRPr="007728A2">
              <w:rPr>
                <w:rFonts w:asciiTheme="minorHAnsi" w:hAnsiTheme="minorHAnsi"/>
                <w:bCs/>
                <w:color w:val="222222"/>
                <w:shd w:val="clear" w:color="auto" w:fill="FFFFFF"/>
              </w:rPr>
              <w:t>disabilities</w:t>
            </w:r>
            <w:r w:rsidR="007728A2" w:rsidRPr="007728A2">
              <w:rPr>
                <w:rFonts w:asciiTheme="minorHAnsi" w:hAnsiTheme="minorHAnsi"/>
                <w:color w:val="222222"/>
                <w:shd w:val="clear" w:color="auto" w:fill="FFFFFF"/>
              </w:rPr>
              <w:t> in relation to </w:t>
            </w:r>
            <w:r w:rsidR="007728A2" w:rsidRPr="007728A2">
              <w:rPr>
                <w:rFonts w:asciiTheme="minorHAnsi" w:hAnsiTheme="minorHAnsi"/>
                <w:bCs/>
                <w:color w:val="222222"/>
                <w:shd w:val="clear" w:color="auto" w:fill="FFFFFF"/>
              </w:rPr>
              <w:t>education</w:t>
            </w:r>
            <w:r w:rsidR="007728A2" w:rsidRPr="007728A2">
              <w:rPr>
                <w:rFonts w:asciiTheme="minorHAnsi" w:hAnsiTheme="minorHAnsi"/>
                <w:color w:val="222222"/>
                <w:shd w:val="clear" w:color="auto" w:fill="FFFFFF"/>
              </w:rPr>
              <w:t> and training.</w:t>
            </w:r>
          </w:p>
        </w:tc>
      </w:tr>
      <w:tr w:rsidR="007728A2" w:rsidRPr="007728A2" w14:paraId="20827DB8" w14:textId="77777777" w:rsidTr="00495993">
        <w:trPr>
          <w:jc w:val="center"/>
        </w:trPr>
        <w:tc>
          <w:tcPr>
            <w:tcW w:w="1367" w:type="dxa"/>
            <w:vMerge/>
            <w:shd w:val="clear" w:color="auto" w:fill="FFFFFF" w:themeFill="background1"/>
          </w:tcPr>
          <w:p w14:paraId="7A3C981D" w14:textId="77777777" w:rsidR="007728A2" w:rsidRPr="00FC7ABE" w:rsidRDefault="007728A2" w:rsidP="00D13E4A">
            <w:pPr>
              <w:spacing w:before="60" w:after="60"/>
              <w:rPr>
                <w:rFonts w:asciiTheme="minorHAnsi" w:hAnsiTheme="minorHAnsi" w:cs="Arial"/>
                <w:bCs/>
                <w:lang w:val="en-US"/>
              </w:rPr>
            </w:pPr>
          </w:p>
        </w:tc>
        <w:tc>
          <w:tcPr>
            <w:tcW w:w="8827" w:type="dxa"/>
          </w:tcPr>
          <w:p w14:paraId="01A48B59" w14:textId="2AE4289B" w:rsidR="007728A2" w:rsidRPr="007728A2" w:rsidRDefault="00B3522D" w:rsidP="00495993">
            <w:pPr>
              <w:spacing w:before="60" w:after="60"/>
              <w:rPr>
                <w:rFonts w:asciiTheme="minorHAnsi" w:hAnsiTheme="minorHAnsi"/>
                <w:iCs/>
              </w:rPr>
            </w:pPr>
            <w:hyperlink r:id="rId28" w:history="1">
              <w:r w:rsidR="007728A2" w:rsidRPr="007728A2">
                <w:rPr>
                  <w:rStyle w:val="Hyperlink"/>
                  <w:rFonts w:asciiTheme="minorHAnsi" w:hAnsiTheme="minorHAnsi"/>
                  <w:i/>
                  <w:iCs/>
                </w:rPr>
                <w:t xml:space="preserve">Education Act 2015 </w:t>
              </w:r>
              <w:r w:rsidR="007728A2" w:rsidRPr="007728A2">
                <w:rPr>
                  <w:rStyle w:val="Hyperlink"/>
                  <w:rFonts w:asciiTheme="minorHAnsi" w:hAnsiTheme="minorHAnsi"/>
                  <w:iCs/>
                </w:rPr>
                <w:t>(NT)</w:t>
              </w:r>
            </w:hyperlink>
            <w:r w:rsidR="007728A2">
              <w:rPr>
                <w:rStyle w:val="Hyperlink"/>
                <w:rFonts w:asciiTheme="minorHAnsi" w:hAnsiTheme="minorHAnsi"/>
                <w:iCs/>
                <w:color w:val="auto"/>
                <w:u w:val="none"/>
              </w:rPr>
              <w:t xml:space="preserve"> </w:t>
            </w:r>
            <w:r w:rsidR="007728A2" w:rsidRPr="007728A2">
              <w:rPr>
                <w:color w:val="141414"/>
                <w:shd w:val="clear" w:color="auto" w:fill="FFFFFF"/>
              </w:rPr>
              <w:t xml:space="preserve">- </w:t>
            </w:r>
            <w:r w:rsidR="007728A2" w:rsidRPr="007728A2">
              <w:rPr>
                <w:rFonts w:asciiTheme="minorHAnsi" w:hAnsiTheme="minorHAnsi"/>
                <w:color w:val="141414"/>
                <w:shd w:val="clear" w:color="auto" w:fill="FFFFFF"/>
              </w:rPr>
              <w:t xml:space="preserve">promotes the high-quality contemporary education to develop students’ potential and maximise </w:t>
            </w:r>
            <w:r w:rsidR="007728A2" w:rsidRPr="00495993">
              <w:rPr>
                <w:rFonts w:asciiTheme="minorHAnsi" w:hAnsiTheme="minorHAnsi"/>
                <w:color w:val="222222"/>
                <w:shd w:val="clear" w:color="auto" w:fill="FFFFFF"/>
              </w:rPr>
              <w:t>their</w:t>
            </w:r>
            <w:r w:rsidR="007728A2" w:rsidRPr="007728A2">
              <w:rPr>
                <w:rFonts w:asciiTheme="minorHAnsi" w:hAnsiTheme="minorHAnsi"/>
                <w:color w:val="141414"/>
                <w:shd w:val="clear" w:color="auto" w:fill="FFFFFF"/>
              </w:rPr>
              <w:t xml:space="preserve"> educational achievement.</w:t>
            </w:r>
          </w:p>
        </w:tc>
      </w:tr>
      <w:tr w:rsidR="007728A2" w:rsidRPr="007728A2" w14:paraId="03D37DD3" w14:textId="77777777" w:rsidTr="00495993">
        <w:trPr>
          <w:jc w:val="center"/>
        </w:trPr>
        <w:tc>
          <w:tcPr>
            <w:tcW w:w="1367" w:type="dxa"/>
            <w:vMerge/>
            <w:shd w:val="clear" w:color="auto" w:fill="FFFFFF" w:themeFill="background1"/>
          </w:tcPr>
          <w:p w14:paraId="491DD203" w14:textId="77777777" w:rsidR="007728A2" w:rsidRPr="00FC7ABE" w:rsidRDefault="007728A2" w:rsidP="00D13E4A">
            <w:pPr>
              <w:spacing w:before="60" w:after="60"/>
              <w:rPr>
                <w:rFonts w:asciiTheme="minorHAnsi" w:hAnsiTheme="minorHAnsi" w:cs="Arial"/>
                <w:bCs/>
                <w:lang w:val="en-US"/>
              </w:rPr>
            </w:pPr>
          </w:p>
        </w:tc>
        <w:tc>
          <w:tcPr>
            <w:tcW w:w="8827" w:type="dxa"/>
          </w:tcPr>
          <w:p w14:paraId="180E9E16" w14:textId="75FC57AE" w:rsidR="007728A2" w:rsidRPr="007728A2" w:rsidRDefault="00B3522D" w:rsidP="00495993">
            <w:pPr>
              <w:spacing w:before="60" w:after="60"/>
              <w:rPr>
                <w:rFonts w:asciiTheme="minorHAnsi" w:hAnsiTheme="minorHAnsi"/>
              </w:rPr>
            </w:pPr>
            <w:hyperlink r:id="rId29" w:history="1">
              <w:r w:rsidR="007728A2" w:rsidRPr="007728A2">
                <w:rPr>
                  <w:rStyle w:val="Hyperlink"/>
                  <w:rFonts w:asciiTheme="minorHAnsi" w:hAnsiTheme="minorHAnsi"/>
                  <w:i/>
                  <w:iCs/>
                </w:rPr>
                <w:t>Education and Care Services (National Uniform Legislation) Act 2011</w:t>
              </w:r>
            </w:hyperlink>
            <w:r w:rsidR="007728A2" w:rsidRPr="007728A2">
              <w:rPr>
                <w:rStyle w:val="Hyperlink"/>
                <w:rFonts w:asciiTheme="minorHAnsi" w:hAnsiTheme="minorHAnsi"/>
                <w:i/>
                <w:iCs/>
              </w:rPr>
              <w:t xml:space="preserve"> </w:t>
            </w:r>
            <w:r w:rsidR="007728A2" w:rsidRPr="007728A2">
              <w:rPr>
                <w:rStyle w:val="Hyperlink"/>
                <w:rFonts w:asciiTheme="minorHAnsi" w:hAnsiTheme="minorHAnsi"/>
                <w:iCs/>
              </w:rPr>
              <w:t>(NT)</w:t>
            </w:r>
            <w:r w:rsidR="007728A2">
              <w:rPr>
                <w:rStyle w:val="Hyperlink"/>
                <w:rFonts w:asciiTheme="minorHAnsi" w:hAnsiTheme="minorHAnsi"/>
                <w:iCs/>
                <w:u w:val="none"/>
              </w:rPr>
              <w:t xml:space="preserve"> </w:t>
            </w:r>
            <w:r w:rsidR="007728A2" w:rsidRPr="007728A2">
              <w:rPr>
                <w:rStyle w:val="Hyperlink"/>
                <w:rFonts w:asciiTheme="minorHAnsi" w:hAnsiTheme="minorHAnsi"/>
                <w:iCs/>
                <w:u w:val="none"/>
              </w:rPr>
              <w:t xml:space="preserve">- </w:t>
            </w:r>
            <w:r w:rsidR="007728A2" w:rsidRPr="007728A2">
              <w:rPr>
                <w:rFonts w:asciiTheme="minorHAnsi" w:hAnsiTheme="minorHAnsi" w:cs="Open Sans"/>
                <w:shd w:val="clear" w:color="auto" w:fill="FFFFFF"/>
              </w:rPr>
              <w:t xml:space="preserve">sets a national standard for children’s education and care across </w:t>
            </w:r>
            <w:r w:rsidR="007728A2" w:rsidRPr="00495993">
              <w:rPr>
                <w:rFonts w:asciiTheme="minorHAnsi" w:hAnsiTheme="minorHAnsi"/>
                <w:color w:val="222222"/>
                <w:shd w:val="clear" w:color="auto" w:fill="FFFFFF"/>
              </w:rPr>
              <w:t>Australia</w:t>
            </w:r>
            <w:r w:rsidR="007728A2" w:rsidRPr="007728A2">
              <w:rPr>
                <w:rFonts w:asciiTheme="minorHAnsi" w:hAnsiTheme="minorHAnsi" w:cs="Open Sans"/>
                <w:shd w:val="clear" w:color="auto" w:fill="FFFFFF"/>
              </w:rPr>
              <w:t>.</w:t>
            </w:r>
          </w:p>
        </w:tc>
      </w:tr>
      <w:tr w:rsidR="007728A2" w:rsidRPr="00D60E0E" w14:paraId="624C74BC" w14:textId="77777777" w:rsidTr="00495993">
        <w:trPr>
          <w:jc w:val="center"/>
        </w:trPr>
        <w:tc>
          <w:tcPr>
            <w:tcW w:w="1367" w:type="dxa"/>
            <w:vMerge w:val="restart"/>
            <w:shd w:val="clear" w:color="auto" w:fill="FFFFFF" w:themeFill="background1"/>
          </w:tcPr>
          <w:p w14:paraId="75D1A933" w14:textId="62A4124E" w:rsidR="007728A2" w:rsidRPr="00FC7ABE" w:rsidRDefault="007728A2" w:rsidP="00495993">
            <w:pPr>
              <w:spacing w:before="60" w:after="60"/>
              <w:rPr>
                <w:rFonts w:cs="Arial"/>
                <w:b/>
                <w:bCs/>
                <w:lang w:val="en-US"/>
              </w:rPr>
            </w:pPr>
            <w:r w:rsidRPr="00FC7ABE">
              <w:rPr>
                <w:rFonts w:cs="Arial"/>
                <w:b/>
                <w:bCs/>
                <w:lang w:val="en-US"/>
              </w:rPr>
              <w:t>Policies</w:t>
            </w:r>
            <w:r w:rsidR="00495993" w:rsidRPr="00FC7ABE">
              <w:rPr>
                <w:rFonts w:cs="Arial"/>
                <w:b/>
                <w:bCs/>
                <w:lang w:val="en-US"/>
              </w:rPr>
              <w:t xml:space="preserve"> and g</w:t>
            </w:r>
            <w:r w:rsidRPr="00FC7ABE">
              <w:rPr>
                <w:rFonts w:cs="Arial"/>
                <w:b/>
                <w:bCs/>
                <w:lang w:val="en-US"/>
              </w:rPr>
              <w:t>uidelines</w:t>
            </w:r>
          </w:p>
        </w:tc>
        <w:tc>
          <w:tcPr>
            <w:tcW w:w="8827" w:type="dxa"/>
          </w:tcPr>
          <w:p w14:paraId="0754FBCC" w14:textId="7BE3A055" w:rsidR="007728A2" w:rsidRPr="00D60E0E" w:rsidRDefault="00B3522D" w:rsidP="00495993">
            <w:pPr>
              <w:spacing w:before="60" w:after="60"/>
              <w:rPr>
                <w:rFonts w:cs="Arial"/>
                <w:bCs/>
                <w:sz w:val="24"/>
                <w:lang w:val="en-US"/>
              </w:rPr>
            </w:pPr>
            <w:hyperlink r:id="rId30" w:history="1">
              <w:r w:rsidR="00495993" w:rsidRPr="00F5326B">
                <w:rPr>
                  <w:rStyle w:val="Hyperlink"/>
                  <w:noProof/>
                  <w:lang w:eastAsia="en-AU"/>
                </w:rPr>
                <w:t>Students with Disability Policy</w:t>
              </w:r>
            </w:hyperlink>
          </w:p>
        </w:tc>
      </w:tr>
      <w:tr w:rsidR="007728A2" w:rsidRPr="00D60E0E" w14:paraId="22FB52F0" w14:textId="77777777" w:rsidTr="00495993">
        <w:trPr>
          <w:jc w:val="center"/>
        </w:trPr>
        <w:tc>
          <w:tcPr>
            <w:tcW w:w="1367" w:type="dxa"/>
            <w:vMerge/>
            <w:shd w:val="clear" w:color="auto" w:fill="FFFFFF" w:themeFill="background1"/>
          </w:tcPr>
          <w:p w14:paraId="2A272FE8" w14:textId="77777777" w:rsidR="007728A2" w:rsidRPr="00FC7ABE" w:rsidRDefault="007728A2" w:rsidP="00D13E4A">
            <w:pPr>
              <w:spacing w:before="60" w:after="60"/>
              <w:rPr>
                <w:rFonts w:cs="Arial"/>
                <w:bCs/>
                <w:lang w:val="en-US"/>
              </w:rPr>
            </w:pPr>
          </w:p>
        </w:tc>
        <w:tc>
          <w:tcPr>
            <w:tcW w:w="8827" w:type="dxa"/>
          </w:tcPr>
          <w:p w14:paraId="3C65A86E" w14:textId="752CC43A" w:rsidR="007728A2" w:rsidRPr="00D60E0E" w:rsidRDefault="00B3522D" w:rsidP="00495993">
            <w:pPr>
              <w:spacing w:before="60" w:after="60"/>
              <w:rPr>
                <w:rFonts w:cs="Arial"/>
                <w:bCs/>
                <w:sz w:val="24"/>
                <w:lang w:val="en-US"/>
              </w:rPr>
            </w:pPr>
            <w:hyperlink r:id="rId31" w:history="1">
              <w:r w:rsidR="00495993" w:rsidRPr="00F5326B">
                <w:rPr>
                  <w:rStyle w:val="Hyperlink"/>
                  <w:noProof/>
                  <w:lang w:eastAsia="en-AU"/>
                </w:rPr>
                <w:t>Students with Disability Guidelines</w:t>
              </w:r>
            </w:hyperlink>
          </w:p>
        </w:tc>
      </w:tr>
      <w:tr w:rsidR="007728A2" w:rsidRPr="00D60E0E" w14:paraId="741BCB33" w14:textId="77777777" w:rsidTr="00495993">
        <w:trPr>
          <w:jc w:val="center"/>
        </w:trPr>
        <w:tc>
          <w:tcPr>
            <w:tcW w:w="1367" w:type="dxa"/>
            <w:vMerge/>
            <w:shd w:val="clear" w:color="auto" w:fill="FFFFFF" w:themeFill="background1"/>
          </w:tcPr>
          <w:p w14:paraId="1EA985E6" w14:textId="77777777" w:rsidR="007728A2" w:rsidRPr="00FC7ABE" w:rsidRDefault="007728A2" w:rsidP="00D13E4A">
            <w:pPr>
              <w:spacing w:before="60" w:after="60"/>
              <w:rPr>
                <w:rFonts w:cs="Arial"/>
                <w:bCs/>
                <w:lang w:val="en-US"/>
              </w:rPr>
            </w:pPr>
          </w:p>
        </w:tc>
        <w:tc>
          <w:tcPr>
            <w:tcW w:w="8827" w:type="dxa"/>
          </w:tcPr>
          <w:p w14:paraId="688291AF" w14:textId="6230EA64" w:rsidR="007728A2" w:rsidRPr="00D60E0E" w:rsidRDefault="00B3522D" w:rsidP="00495993">
            <w:pPr>
              <w:spacing w:before="60" w:after="60"/>
              <w:rPr>
                <w:rFonts w:cs="Arial"/>
                <w:bCs/>
                <w:sz w:val="24"/>
                <w:lang w:val="en-US"/>
              </w:rPr>
            </w:pPr>
            <w:hyperlink r:id="rId32" w:history="1">
              <w:r w:rsidR="00495993" w:rsidRPr="00F5326B">
                <w:rPr>
                  <w:rStyle w:val="Hyperlink"/>
                  <w:noProof/>
                  <w:lang w:eastAsia="en-AU"/>
                </w:rPr>
                <w:t>Enrolment in Special Schools and Special Centres Guidelines</w:t>
              </w:r>
            </w:hyperlink>
          </w:p>
        </w:tc>
      </w:tr>
      <w:tr w:rsidR="007728A2" w:rsidRPr="00D60E0E" w14:paraId="229571F9" w14:textId="77777777" w:rsidTr="00495993">
        <w:trPr>
          <w:jc w:val="center"/>
        </w:trPr>
        <w:tc>
          <w:tcPr>
            <w:tcW w:w="1367" w:type="dxa"/>
            <w:vMerge w:val="restart"/>
            <w:shd w:val="clear" w:color="auto" w:fill="FFFFFF" w:themeFill="background1"/>
          </w:tcPr>
          <w:p w14:paraId="04697709" w14:textId="2139A1FA" w:rsidR="007728A2" w:rsidRPr="00FC7ABE" w:rsidRDefault="007728A2" w:rsidP="00D13E4A">
            <w:pPr>
              <w:spacing w:before="60" w:after="60"/>
              <w:rPr>
                <w:rFonts w:cs="Arial"/>
                <w:b/>
                <w:bCs/>
                <w:lang w:val="en-US"/>
              </w:rPr>
            </w:pPr>
            <w:r w:rsidRPr="00FC7ABE">
              <w:rPr>
                <w:rFonts w:cs="Arial"/>
                <w:b/>
                <w:bCs/>
                <w:lang w:val="en-US"/>
              </w:rPr>
              <w:t>Resources</w:t>
            </w:r>
          </w:p>
        </w:tc>
        <w:tc>
          <w:tcPr>
            <w:tcW w:w="8827" w:type="dxa"/>
          </w:tcPr>
          <w:p w14:paraId="5D084D97" w14:textId="590EF23B" w:rsidR="007728A2" w:rsidRPr="007728A2" w:rsidRDefault="00B3522D" w:rsidP="007728A2">
            <w:pPr>
              <w:spacing w:before="60" w:after="60"/>
              <w:rPr>
                <w:lang w:val="en-US"/>
              </w:rPr>
            </w:pPr>
            <w:hyperlink r:id="rId33" w:history="1">
              <w:r w:rsidR="007728A2" w:rsidRPr="007728A2">
                <w:rPr>
                  <w:rStyle w:val="Hyperlink"/>
                  <w:lang w:val="en-US"/>
                </w:rPr>
                <w:t>Allied Health Practitioner Agreement of Service</w:t>
              </w:r>
            </w:hyperlink>
          </w:p>
        </w:tc>
      </w:tr>
      <w:tr w:rsidR="007728A2" w:rsidRPr="00D60E0E" w14:paraId="2D56596A" w14:textId="77777777" w:rsidTr="00495993">
        <w:trPr>
          <w:jc w:val="center"/>
        </w:trPr>
        <w:tc>
          <w:tcPr>
            <w:tcW w:w="1367" w:type="dxa"/>
            <w:vMerge/>
            <w:shd w:val="clear" w:color="auto" w:fill="FFFFFF" w:themeFill="background1"/>
          </w:tcPr>
          <w:p w14:paraId="5A42284F" w14:textId="77777777" w:rsidR="007728A2" w:rsidRPr="00FC7ABE" w:rsidRDefault="007728A2" w:rsidP="00D13E4A">
            <w:pPr>
              <w:spacing w:before="60" w:after="60"/>
              <w:rPr>
                <w:rFonts w:cs="Arial"/>
                <w:bCs/>
                <w:lang w:val="en-US"/>
              </w:rPr>
            </w:pPr>
          </w:p>
        </w:tc>
        <w:tc>
          <w:tcPr>
            <w:tcW w:w="8827" w:type="dxa"/>
          </w:tcPr>
          <w:p w14:paraId="37114A26" w14:textId="3371DEE2" w:rsidR="007728A2" w:rsidRPr="00D60E0E" w:rsidRDefault="00B3522D" w:rsidP="007728A2">
            <w:pPr>
              <w:spacing w:before="60" w:after="60"/>
              <w:rPr>
                <w:rFonts w:cs="Arial"/>
                <w:bCs/>
                <w:sz w:val="24"/>
                <w:lang w:val="en-US"/>
              </w:rPr>
            </w:pPr>
            <w:hyperlink r:id="rId34" w:history="1">
              <w:r w:rsidR="007728A2" w:rsidRPr="007728A2">
                <w:rPr>
                  <w:rStyle w:val="Hyperlink"/>
                  <w:lang w:val="en-US"/>
                </w:rPr>
                <w:t>External Practitioner Checklist for Principals</w:t>
              </w:r>
            </w:hyperlink>
          </w:p>
        </w:tc>
      </w:tr>
      <w:tr w:rsidR="007728A2" w:rsidRPr="00D60E0E" w14:paraId="5F08B113" w14:textId="77777777" w:rsidTr="00495993">
        <w:trPr>
          <w:jc w:val="center"/>
        </w:trPr>
        <w:tc>
          <w:tcPr>
            <w:tcW w:w="1367" w:type="dxa"/>
            <w:vMerge/>
            <w:shd w:val="clear" w:color="auto" w:fill="FFFFFF" w:themeFill="background1"/>
          </w:tcPr>
          <w:p w14:paraId="64B10788" w14:textId="77777777" w:rsidR="007728A2" w:rsidRPr="00FC7ABE" w:rsidRDefault="007728A2" w:rsidP="00D13E4A">
            <w:pPr>
              <w:spacing w:before="60" w:after="60"/>
              <w:rPr>
                <w:rFonts w:cs="Arial"/>
                <w:bCs/>
                <w:lang w:val="en-US"/>
              </w:rPr>
            </w:pPr>
          </w:p>
        </w:tc>
        <w:tc>
          <w:tcPr>
            <w:tcW w:w="8827" w:type="dxa"/>
          </w:tcPr>
          <w:p w14:paraId="767AC5F1" w14:textId="02F0BAE0" w:rsidR="007728A2" w:rsidRPr="00D60E0E" w:rsidRDefault="00B3522D" w:rsidP="007728A2">
            <w:pPr>
              <w:spacing w:before="60" w:after="60"/>
              <w:rPr>
                <w:rFonts w:cs="Arial"/>
                <w:bCs/>
                <w:sz w:val="24"/>
                <w:lang w:val="en-US"/>
              </w:rPr>
            </w:pPr>
            <w:hyperlink r:id="rId35" w:history="1">
              <w:r w:rsidR="007728A2" w:rsidRPr="00655DE3">
                <w:rPr>
                  <w:rStyle w:val="Hyperlink"/>
                </w:rPr>
                <w:t>General Principles of Practice and Cultural Competence</w:t>
              </w:r>
            </w:hyperlink>
          </w:p>
        </w:tc>
      </w:tr>
      <w:tr w:rsidR="007728A2" w:rsidRPr="00D60E0E" w14:paraId="51BCF796" w14:textId="77777777" w:rsidTr="00495993">
        <w:trPr>
          <w:jc w:val="center"/>
        </w:trPr>
        <w:tc>
          <w:tcPr>
            <w:tcW w:w="1367" w:type="dxa"/>
            <w:vMerge/>
            <w:shd w:val="clear" w:color="auto" w:fill="FFFFFF" w:themeFill="background1"/>
          </w:tcPr>
          <w:p w14:paraId="6B7E0FEC" w14:textId="77777777" w:rsidR="007728A2" w:rsidRPr="00FC7ABE" w:rsidRDefault="007728A2" w:rsidP="00D13E4A">
            <w:pPr>
              <w:spacing w:before="60" w:after="60"/>
              <w:rPr>
                <w:rFonts w:cs="Arial"/>
                <w:bCs/>
                <w:lang w:val="en-US"/>
              </w:rPr>
            </w:pPr>
          </w:p>
        </w:tc>
        <w:tc>
          <w:tcPr>
            <w:tcW w:w="8827" w:type="dxa"/>
          </w:tcPr>
          <w:p w14:paraId="5E35D1C2" w14:textId="6C59845B" w:rsidR="007728A2" w:rsidRPr="00D60E0E" w:rsidRDefault="00B3522D" w:rsidP="007728A2">
            <w:pPr>
              <w:spacing w:before="60" w:after="60"/>
              <w:rPr>
                <w:rFonts w:cs="Arial"/>
                <w:bCs/>
                <w:sz w:val="24"/>
                <w:lang w:val="en-US"/>
              </w:rPr>
            </w:pPr>
            <w:hyperlink r:id="rId36" w:history="1">
              <w:r w:rsidR="007728A2" w:rsidRPr="007728A2">
                <w:rPr>
                  <w:rStyle w:val="Hyperlink"/>
                  <w:szCs w:val="20"/>
                  <w:lang w:val="en-US"/>
                </w:rPr>
                <w:t>Recommended Structure of a Report by an External Practitioner</w:t>
              </w:r>
            </w:hyperlink>
          </w:p>
        </w:tc>
      </w:tr>
      <w:bookmarkEnd w:id="1"/>
    </w:tbl>
    <w:p w14:paraId="2BB88061" w14:textId="77777777" w:rsidR="007728A2" w:rsidRPr="007728A2" w:rsidRDefault="007728A2" w:rsidP="007728A2">
      <w:pPr>
        <w:rPr>
          <w:lang w:eastAsia="en-AU"/>
        </w:rPr>
      </w:pPr>
    </w:p>
    <w:sectPr w:rsidR="007728A2" w:rsidRPr="007728A2" w:rsidSect="005F0301">
      <w:headerReference w:type="default" r:id="rId37"/>
      <w:footerReference w:type="default" r:id="rId38"/>
      <w:headerReference w:type="first" r:id="rId39"/>
      <w:footerReference w:type="first" r:id="rId4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A5A6" w14:textId="77777777" w:rsidR="00B3522D" w:rsidRDefault="00B3522D" w:rsidP="007332FF">
      <w:r>
        <w:separator/>
      </w:r>
    </w:p>
  </w:endnote>
  <w:endnote w:type="continuationSeparator" w:id="0">
    <w:p w14:paraId="290DEA02" w14:textId="77777777" w:rsidR="00B3522D" w:rsidRDefault="00B3522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06CF"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3CEA07" w14:textId="77777777" w:rsidTr="00D47DC7">
      <w:trPr>
        <w:cantSplit/>
        <w:trHeight w:hRule="exact" w:val="850"/>
      </w:trPr>
      <w:tc>
        <w:tcPr>
          <w:tcW w:w="10318" w:type="dxa"/>
          <w:vAlign w:val="bottom"/>
        </w:tcPr>
        <w:p w14:paraId="0F1F23AB"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45AEC">
                <w:rPr>
                  <w:rStyle w:val="PageNumber"/>
                  <w:b/>
                </w:rPr>
                <w:t>EDUCATION</w:t>
              </w:r>
            </w:sdtContent>
          </w:sdt>
          <w:r w:rsidRPr="00CE6614">
            <w:rPr>
              <w:rStyle w:val="PageNumber"/>
            </w:rPr>
            <w:t xml:space="preserve"> </w:t>
          </w:r>
        </w:p>
        <w:p w14:paraId="38A82340" w14:textId="234DB7A5" w:rsidR="00D47DC7" w:rsidRPr="00CE6614" w:rsidRDefault="00B3522D"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19-10-11T00:00:00Z">
                <w:dateFormat w:val="d MMMM yyyy"/>
                <w:lid w:val="en-AU"/>
                <w:storeMappedDataAs w:val="dateTime"/>
                <w:calendar w:val="gregorian"/>
              </w:date>
            </w:sdtPr>
            <w:sdtEndPr>
              <w:rPr>
                <w:rStyle w:val="PageNumber"/>
              </w:rPr>
            </w:sdtEndPr>
            <w:sdtContent>
              <w:r w:rsidR="00C5581C">
                <w:rPr>
                  <w:rStyle w:val="PageNumber"/>
                </w:rPr>
                <w:t>11 October 2019</w:t>
              </w:r>
            </w:sdtContent>
          </w:sdt>
          <w:r w:rsidR="00D47DC7" w:rsidRPr="00CE6614">
            <w:rPr>
              <w:rStyle w:val="PageNumber"/>
            </w:rPr>
            <w:t xml:space="preserve"> | </w:t>
          </w:r>
          <w:r w:rsidR="005221B7">
            <w:rPr>
              <w:rStyle w:val="PageNumber"/>
            </w:rPr>
            <w:t>Version 1.1</w:t>
          </w:r>
          <w:r w:rsidR="00D47DC7">
            <w:rPr>
              <w:rStyle w:val="PageNumber"/>
            </w:rPr>
            <w:t xml:space="preserve"> </w:t>
          </w:r>
        </w:p>
        <w:p w14:paraId="255D16B5" w14:textId="7D7AC143"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15904">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15904">
            <w:rPr>
              <w:rStyle w:val="PageNumber"/>
              <w:noProof/>
            </w:rPr>
            <w:t>6</w:t>
          </w:r>
          <w:r w:rsidRPr="00AC4488">
            <w:rPr>
              <w:rStyle w:val="PageNumber"/>
            </w:rPr>
            <w:fldChar w:fldCharType="end"/>
          </w:r>
        </w:p>
      </w:tc>
    </w:tr>
  </w:tbl>
  <w:p w14:paraId="5EEB0B4C"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3F8F"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820D18E" w14:textId="77777777" w:rsidTr="008921B4">
      <w:trPr>
        <w:cantSplit/>
        <w:trHeight w:hRule="exact" w:val="1134"/>
      </w:trPr>
      <w:tc>
        <w:tcPr>
          <w:tcW w:w="7767" w:type="dxa"/>
          <w:vAlign w:val="bottom"/>
        </w:tcPr>
        <w:p w14:paraId="59734D41" w14:textId="77777777" w:rsidR="00D47DC7" w:rsidRPr="005221B7" w:rsidRDefault="00D47DC7" w:rsidP="00D47DC7">
          <w:pPr>
            <w:spacing w:after="0"/>
            <w:rPr>
              <w:rStyle w:val="PageNumber"/>
              <w:b/>
            </w:rPr>
          </w:pPr>
          <w:r w:rsidRPr="005221B7">
            <w:rPr>
              <w:rStyle w:val="PageNumber"/>
            </w:rPr>
            <w:t xml:space="preserve">Department of </w:t>
          </w:r>
          <w:sdt>
            <w:sdtPr>
              <w:rPr>
                <w:b/>
                <w:sz w:val="19"/>
              </w:rPr>
              <w:alias w:val="Company"/>
              <w:tag w:val=""/>
              <w:id w:val="-1550452142"/>
              <w:dataBinding w:prefixMappings="xmlns:ns0='http://schemas.openxmlformats.org/officeDocument/2006/extended-properties' " w:xpath="/ns0:Properties[1]/ns0:Company[1]" w:storeItemID="{6668398D-A668-4E3E-A5EB-62B293D839F1}"/>
              <w:text w:multiLine="1"/>
            </w:sdtPr>
            <w:sdtEndPr/>
            <w:sdtContent>
              <w:r w:rsidR="00145AEC" w:rsidRPr="005221B7">
                <w:rPr>
                  <w:b/>
                  <w:sz w:val="19"/>
                </w:rPr>
                <w:t>EDUCATION</w:t>
              </w:r>
            </w:sdtContent>
          </w:sdt>
        </w:p>
        <w:p w14:paraId="37679DA4" w14:textId="668B3256" w:rsidR="00D47DC7" w:rsidRPr="00CE6614" w:rsidRDefault="00B3522D"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19-10-11T00:00:00Z">
                <w:dateFormat w:val="d MMMM yyyy"/>
                <w:lid w:val="en-AU"/>
                <w:storeMappedDataAs w:val="dateTime"/>
                <w:calendar w:val="gregorian"/>
              </w:date>
            </w:sdtPr>
            <w:sdtEndPr>
              <w:rPr>
                <w:rStyle w:val="PageNumber"/>
              </w:rPr>
            </w:sdtEndPr>
            <w:sdtContent>
              <w:r w:rsidR="00C5581C">
                <w:rPr>
                  <w:rStyle w:val="PageNumber"/>
                </w:rPr>
                <w:t>11 October 2019</w:t>
              </w:r>
            </w:sdtContent>
          </w:sdt>
          <w:r w:rsidR="00D47DC7" w:rsidRPr="005221B7">
            <w:rPr>
              <w:rStyle w:val="PageNumber"/>
            </w:rPr>
            <w:t xml:space="preserve"> | Version </w:t>
          </w:r>
          <w:r w:rsidR="005221B7" w:rsidRPr="005221B7">
            <w:rPr>
              <w:rStyle w:val="PageNumber"/>
            </w:rPr>
            <w:t>1.1</w:t>
          </w:r>
        </w:p>
        <w:p w14:paraId="1D176D0E" w14:textId="4431802A"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15904">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15904">
            <w:rPr>
              <w:rStyle w:val="PageNumber"/>
              <w:noProof/>
            </w:rPr>
            <w:t>6</w:t>
          </w:r>
          <w:r w:rsidRPr="00AC4488">
            <w:rPr>
              <w:rStyle w:val="PageNumber"/>
            </w:rPr>
            <w:fldChar w:fldCharType="end"/>
          </w:r>
        </w:p>
      </w:tc>
      <w:tc>
        <w:tcPr>
          <w:tcW w:w="2551" w:type="dxa"/>
          <w:vAlign w:val="bottom"/>
        </w:tcPr>
        <w:p w14:paraId="26BF68B6" w14:textId="77777777" w:rsidR="0071700C" w:rsidRPr="001E14EB" w:rsidRDefault="0071700C" w:rsidP="0071700C">
          <w:pPr>
            <w:spacing w:after="0"/>
            <w:jc w:val="right"/>
          </w:pPr>
          <w:r>
            <w:rPr>
              <w:noProof/>
              <w:lang w:eastAsia="en-AU"/>
            </w:rPr>
            <w:drawing>
              <wp:inline distT="0" distB="0" distL="0" distR="0" wp14:anchorId="43C9B563" wp14:editId="2C4079CC">
                <wp:extent cx="1574700" cy="561600"/>
                <wp:effectExtent l="0" t="0" r="6985"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00" cy="561600"/>
                        </a:xfrm>
                        <a:prstGeom prst="rect">
                          <a:avLst/>
                        </a:prstGeom>
                        <a:noFill/>
                        <a:ln>
                          <a:noFill/>
                        </a:ln>
                      </pic:spPr>
                    </pic:pic>
                  </a:graphicData>
                </a:graphic>
              </wp:inline>
            </w:drawing>
          </w:r>
          <w:r w:rsidRPr="00785C24">
            <w:rPr>
              <w:rStyle w:val="PageNumber"/>
              <w:noProof/>
              <w:lang w:eastAsia="en-AU"/>
            </w:rPr>
            <w:t xml:space="preserve"> </w:t>
          </w:r>
        </w:p>
      </w:tc>
    </w:tr>
  </w:tbl>
  <w:p w14:paraId="3E13FA58"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9516" w14:textId="77777777" w:rsidR="00B3522D" w:rsidRDefault="00B3522D" w:rsidP="007332FF">
      <w:r>
        <w:separator/>
      </w:r>
    </w:p>
  </w:footnote>
  <w:footnote w:type="continuationSeparator" w:id="0">
    <w:p w14:paraId="6A6840D5" w14:textId="77777777" w:rsidR="00B3522D" w:rsidRDefault="00B3522D" w:rsidP="007332FF">
      <w:r>
        <w:continuationSeparator/>
      </w:r>
    </w:p>
  </w:footnote>
  <w:footnote w:id="1">
    <w:p w14:paraId="408D50FD" w14:textId="77777777" w:rsidR="0084591D" w:rsidRPr="00915494" w:rsidRDefault="0084591D" w:rsidP="0084591D">
      <w:pPr>
        <w:pStyle w:val="FootnoteText"/>
        <w:rPr>
          <w:lang w:val="en-US"/>
        </w:rPr>
      </w:pPr>
      <w:r>
        <w:rPr>
          <w:rStyle w:val="FootnoteReference"/>
        </w:rPr>
        <w:footnoteRef/>
      </w:r>
      <w:r>
        <w:t xml:space="preserve"> </w:t>
      </w:r>
      <w:r w:rsidRPr="00A33BD0">
        <w:rPr>
          <w:rFonts w:cs="Arial"/>
          <w:i/>
          <w:iCs/>
          <w:sz w:val="14"/>
          <w:szCs w:val="14"/>
        </w:rPr>
        <w:t>Disability Standards for Education 2005</w:t>
      </w:r>
      <w:r w:rsidRPr="005251C0">
        <w:rPr>
          <w:rFonts w:cs="Arial"/>
          <w:sz w:val="14"/>
          <w:szCs w:val="14"/>
        </w:rPr>
        <w:t xml:space="preserve"> </w:t>
      </w:r>
      <w:hyperlink r:id="rId1" w:history="1">
        <w:r w:rsidRPr="005251C0">
          <w:rPr>
            <w:rStyle w:val="Hyperlink"/>
            <w:rFonts w:cs="Arial"/>
            <w:sz w:val="14"/>
            <w:szCs w:val="14"/>
          </w:rPr>
          <w:t>https://education.gov.au/disability-standards-education</w:t>
        </w:r>
      </w:hyperlink>
    </w:p>
  </w:footnote>
  <w:footnote w:id="2">
    <w:p w14:paraId="0868D780" w14:textId="77777777" w:rsidR="0084591D" w:rsidRPr="00915494" w:rsidRDefault="0084591D" w:rsidP="0084591D">
      <w:pPr>
        <w:pStyle w:val="FootnoteText"/>
        <w:rPr>
          <w:lang w:val="en-US"/>
        </w:rPr>
      </w:pPr>
      <w:r>
        <w:rPr>
          <w:rStyle w:val="FootnoteReference"/>
        </w:rPr>
        <w:footnoteRef/>
      </w:r>
      <w:r>
        <w:t xml:space="preserve"> </w:t>
      </w:r>
      <w:r w:rsidRPr="00A33BD0">
        <w:rPr>
          <w:i/>
          <w:sz w:val="14"/>
          <w:szCs w:val="14"/>
        </w:rPr>
        <w:t>Disability Discrimination Act 1992</w:t>
      </w:r>
      <w:r>
        <w:rPr>
          <w:i/>
          <w:sz w:val="14"/>
          <w:szCs w:val="14"/>
        </w:rPr>
        <w:t xml:space="preserve"> (Cwlth)</w:t>
      </w:r>
      <w:r w:rsidRPr="005251C0">
        <w:rPr>
          <w:sz w:val="14"/>
          <w:szCs w:val="14"/>
        </w:rPr>
        <w:t xml:space="preserve"> </w:t>
      </w:r>
      <w:hyperlink r:id="rId2" w:history="1">
        <w:r w:rsidRPr="005251C0">
          <w:rPr>
            <w:rStyle w:val="Hyperlink"/>
            <w:sz w:val="14"/>
            <w:szCs w:val="14"/>
          </w:rPr>
          <w:t>https://www.legislation.gov.au/Series/C2004A04426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7E09" w14:textId="77777777" w:rsidR="00983000" w:rsidRPr="00162207" w:rsidRDefault="00B3522D"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84591D">
          <w:t>Diagnostic Assessment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5122FCBD" w14:textId="77777777" w:rsidR="00E54F9E" w:rsidRDefault="0084591D" w:rsidP="00C5581C">
        <w:pPr>
          <w:pStyle w:val="Title"/>
          <w:rPr>
            <w:rStyle w:val="TitleChar"/>
          </w:rPr>
        </w:pPr>
        <w:r>
          <w:rPr>
            <w:rStyle w:val="TitleChar"/>
          </w:rPr>
          <w:t>Diagnostic Assessment Guidelines</w:t>
        </w:r>
      </w:p>
    </w:sdtContent>
  </w:sdt>
  <w:p w14:paraId="4646BDE5" w14:textId="77777777" w:rsidR="0084591D" w:rsidRDefault="0084591D" w:rsidP="008459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5448"/>
      <w:gridCol w:w="990"/>
      <w:gridCol w:w="1770"/>
    </w:tblGrid>
    <w:tr w:rsidR="0084591D" w14:paraId="201594D8" w14:textId="77777777" w:rsidTr="00353430">
      <w:tc>
        <w:tcPr>
          <w:tcW w:w="2122" w:type="dxa"/>
          <w:vAlign w:val="center"/>
        </w:tcPr>
        <w:p w14:paraId="22EFCEDD" w14:textId="77777777" w:rsidR="0084591D" w:rsidRDefault="0084591D" w:rsidP="0084591D">
          <w:pPr>
            <w:spacing w:after="0"/>
            <w:ind w:left="-110"/>
          </w:pPr>
          <w:r w:rsidRPr="00E27600">
            <w:t>Responsibility of:</w:t>
          </w:r>
        </w:p>
      </w:tc>
      <w:tc>
        <w:tcPr>
          <w:tcW w:w="5528" w:type="dxa"/>
          <w:vAlign w:val="center"/>
        </w:tcPr>
        <w:p w14:paraId="64DFB180" w14:textId="77777777" w:rsidR="0084591D" w:rsidRDefault="0084591D" w:rsidP="0084591D">
          <w:pPr>
            <w:spacing w:after="0"/>
            <w:ind w:left="-110"/>
          </w:pPr>
          <w:r>
            <w:t>Student Wellbeing and Inclusion</w:t>
          </w:r>
        </w:p>
      </w:tc>
      <w:tc>
        <w:tcPr>
          <w:tcW w:w="992" w:type="dxa"/>
          <w:vAlign w:val="center"/>
        </w:tcPr>
        <w:p w14:paraId="74A964B2" w14:textId="77777777" w:rsidR="0084591D" w:rsidRDefault="0084591D" w:rsidP="007728A2">
          <w:pPr>
            <w:spacing w:after="0"/>
          </w:pPr>
          <w:r w:rsidRPr="00E27600">
            <w:t>File</w:t>
          </w:r>
          <w:r>
            <w:t>:</w:t>
          </w:r>
        </w:p>
      </w:tc>
      <w:tc>
        <w:tcPr>
          <w:tcW w:w="1666" w:type="dxa"/>
          <w:vAlign w:val="center"/>
        </w:tcPr>
        <w:p w14:paraId="218901C5" w14:textId="6C2912FA" w:rsidR="0084591D" w:rsidRDefault="007728A2" w:rsidP="007728A2">
          <w:pPr>
            <w:spacing w:after="0"/>
          </w:pPr>
          <w:r w:rsidRPr="005221B7">
            <w:t>FILE</w:t>
          </w:r>
          <w:r w:rsidR="0084591D" w:rsidRPr="005221B7">
            <w:t>2018/3889</w:t>
          </w:r>
        </w:p>
      </w:tc>
    </w:tr>
    <w:tr w:rsidR="0084591D" w14:paraId="19E42C94" w14:textId="77777777" w:rsidTr="00353430">
      <w:tc>
        <w:tcPr>
          <w:tcW w:w="2122" w:type="dxa"/>
          <w:vAlign w:val="center"/>
        </w:tcPr>
        <w:p w14:paraId="76FBF7BC" w14:textId="36F338EB" w:rsidR="0084591D" w:rsidRDefault="007728A2" w:rsidP="0084591D">
          <w:pPr>
            <w:spacing w:after="0"/>
            <w:ind w:left="-110"/>
          </w:pPr>
          <w:r>
            <w:t>Effective d</w:t>
          </w:r>
          <w:r w:rsidR="0084591D" w:rsidRPr="00E27600">
            <w:t>ate:</w:t>
          </w:r>
        </w:p>
      </w:tc>
      <w:tc>
        <w:tcPr>
          <w:tcW w:w="5528" w:type="dxa"/>
          <w:vAlign w:val="center"/>
        </w:tcPr>
        <w:p w14:paraId="3B5BDC43" w14:textId="77777777" w:rsidR="0084591D" w:rsidRDefault="0084591D" w:rsidP="0084591D">
          <w:pPr>
            <w:spacing w:after="0"/>
            <w:ind w:left="-110"/>
          </w:pPr>
          <w:r>
            <w:t>January</w:t>
          </w:r>
          <w:r w:rsidRPr="00E27600">
            <w:t xml:space="preserve"> 2016</w:t>
          </w:r>
        </w:p>
      </w:tc>
      <w:tc>
        <w:tcPr>
          <w:tcW w:w="992" w:type="dxa"/>
          <w:vAlign w:val="center"/>
        </w:tcPr>
        <w:p w14:paraId="4E1DBEA5" w14:textId="77777777" w:rsidR="0084591D" w:rsidRDefault="0084591D" w:rsidP="007728A2">
          <w:pPr>
            <w:spacing w:after="0"/>
          </w:pPr>
          <w:r w:rsidRPr="00E27600">
            <w:t>EDOC:</w:t>
          </w:r>
        </w:p>
      </w:tc>
      <w:tc>
        <w:tcPr>
          <w:tcW w:w="1666" w:type="dxa"/>
          <w:vAlign w:val="center"/>
        </w:tcPr>
        <w:p w14:paraId="6627A4A5" w14:textId="30F08CB0" w:rsidR="0084591D" w:rsidRDefault="009B7DBB" w:rsidP="007728A2">
          <w:pPr>
            <w:spacing w:after="0"/>
          </w:pPr>
          <w:r>
            <w:t>50:D19:102404</w:t>
          </w:r>
        </w:p>
      </w:tc>
    </w:tr>
    <w:tr w:rsidR="0084591D" w14:paraId="54D01898" w14:textId="77777777" w:rsidTr="00353430">
      <w:tc>
        <w:tcPr>
          <w:tcW w:w="2122" w:type="dxa"/>
          <w:vAlign w:val="center"/>
        </w:tcPr>
        <w:p w14:paraId="618EED0D" w14:textId="390FBF21" w:rsidR="0084591D" w:rsidRDefault="0084591D" w:rsidP="0084591D">
          <w:pPr>
            <w:spacing w:after="0"/>
            <w:ind w:left="-110"/>
          </w:pPr>
          <w:r w:rsidRPr="00E27600">
            <w:t xml:space="preserve">Next </w:t>
          </w:r>
          <w:r w:rsidR="007728A2" w:rsidRPr="00E27600">
            <w:t>review date</w:t>
          </w:r>
          <w:r w:rsidRPr="00E27600">
            <w:t>:</w:t>
          </w:r>
        </w:p>
      </w:tc>
      <w:tc>
        <w:tcPr>
          <w:tcW w:w="5528" w:type="dxa"/>
          <w:vAlign w:val="center"/>
        </w:tcPr>
        <w:p w14:paraId="4328E9E8" w14:textId="77777777" w:rsidR="0084591D" w:rsidRDefault="0084591D" w:rsidP="0084591D">
          <w:pPr>
            <w:spacing w:after="0"/>
            <w:ind w:left="-110"/>
          </w:pPr>
          <w:r>
            <w:t>January 2019</w:t>
          </w:r>
        </w:p>
      </w:tc>
      <w:tc>
        <w:tcPr>
          <w:tcW w:w="2658" w:type="dxa"/>
          <w:gridSpan w:val="2"/>
          <w:vAlign w:val="center"/>
        </w:tcPr>
        <w:p w14:paraId="13A24F7D" w14:textId="77777777" w:rsidR="0084591D" w:rsidRDefault="0084591D" w:rsidP="0084591D">
          <w:pPr>
            <w:spacing w:after="0"/>
          </w:pPr>
        </w:p>
      </w:tc>
    </w:tr>
    <w:tr w:rsidR="0084591D" w14:paraId="5BD9FC44" w14:textId="77777777" w:rsidTr="00353430">
      <w:tc>
        <w:tcPr>
          <w:tcW w:w="2122" w:type="dxa"/>
          <w:vAlign w:val="center"/>
        </w:tcPr>
        <w:p w14:paraId="4E4C632C" w14:textId="548CBCA6" w:rsidR="0084591D" w:rsidRDefault="007728A2" w:rsidP="0084591D">
          <w:pPr>
            <w:spacing w:after="0"/>
            <w:ind w:left="-110"/>
          </w:pPr>
          <w:r>
            <w:t>Target a</w:t>
          </w:r>
          <w:r w:rsidR="0084591D" w:rsidRPr="00E27600">
            <w:t>udience:</w:t>
          </w:r>
        </w:p>
      </w:tc>
      <w:tc>
        <w:tcPr>
          <w:tcW w:w="5528" w:type="dxa"/>
          <w:vAlign w:val="center"/>
        </w:tcPr>
        <w:p w14:paraId="638574A9" w14:textId="77777777" w:rsidR="0084591D" w:rsidRDefault="0084591D" w:rsidP="0084591D">
          <w:pPr>
            <w:spacing w:after="0"/>
            <w:ind w:left="-110"/>
          </w:pPr>
          <w:r>
            <w:t>Corporate and school staff, parents and community</w:t>
          </w:r>
        </w:p>
      </w:tc>
      <w:tc>
        <w:tcPr>
          <w:tcW w:w="2658" w:type="dxa"/>
          <w:gridSpan w:val="2"/>
          <w:vAlign w:val="center"/>
        </w:tcPr>
        <w:p w14:paraId="11D963E5" w14:textId="77777777" w:rsidR="0084591D" w:rsidRDefault="0084591D" w:rsidP="0084591D">
          <w:pPr>
            <w:spacing w:after="0"/>
          </w:pPr>
        </w:p>
      </w:tc>
    </w:tr>
  </w:tbl>
  <w:p w14:paraId="54AF9FC2" w14:textId="77777777" w:rsidR="0084591D" w:rsidRPr="0084591D" w:rsidRDefault="0084591D" w:rsidP="008459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E04"/>
    <w:multiLevelType w:val="hybridMultilevel"/>
    <w:tmpl w:val="658A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D6ADF"/>
    <w:multiLevelType w:val="hybridMultilevel"/>
    <w:tmpl w:val="5C6868A0"/>
    <w:lvl w:ilvl="0" w:tplc="AD1EC7EA">
      <w:start w:val="1"/>
      <w:numFmt w:val="decimal"/>
      <w:pStyle w:val="Heading1"/>
      <w:lvlText w:val="%1."/>
      <w:lvlJc w:val="left"/>
      <w:pPr>
        <w:ind w:left="644"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B7376D5"/>
    <w:multiLevelType w:val="hybridMultilevel"/>
    <w:tmpl w:val="A1A0F1D8"/>
    <w:lvl w:ilvl="0" w:tplc="1090AA24">
      <w:start w:val="8"/>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7C2E41"/>
    <w:multiLevelType w:val="hybridMultilevel"/>
    <w:tmpl w:val="41F2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A07E4"/>
    <w:multiLevelType w:val="hybridMultilevel"/>
    <w:tmpl w:val="C1F8EF5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1AC4219"/>
    <w:multiLevelType w:val="hybridMultilevel"/>
    <w:tmpl w:val="0512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E766E1"/>
    <w:multiLevelType w:val="multilevel"/>
    <w:tmpl w:val="1ECCF954"/>
    <w:styleLink w:val="Style3"/>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F27235"/>
    <w:multiLevelType w:val="hybridMultilevel"/>
    <w:tmpl w:val="41F8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3842BC6"/>
    <w:multiLevelType w:val="multilevel"/>
    <w:tmpl w:val="0C78A7AC"/>
    <w:numStyleLink w:val="Tablebulletlist"/>
  </w:abstractNum>
  <w:abstractNum w:abstractNumId="33" w15:restartNumberingAfterBreak="0">
    <w:nsid w:val="53D8503C"/>
    <w:multiLevelType w:val="hybridMultilevel"/>
    <w:tmpl w:val="AB80E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17C1CE8"/>
    <w:multiLevelType w:val="hybridMultilevel"/>
    <w:tmpl w:val="28664AD6"/>
    <w:lvl w:ilvl="0" w:tplc="D5D01DA6">
      <w:start w:val="1"/>
      <w:numFmt w:val="lowerLetter"/>
      <w:pStyle w:val="Heading4"/>
      <w:lvlText w:val="%1)"/>
      <w:lvlJc w:val="left"/>
      <w:pPr>
        <w:ind w:left="3620" w:hanging="360"/>
      </w:pPr>
    </w:lvl>
    <w:lvl w:ilvl="1" w:tplc="0C090019" w:tentative="1">
      <w:start w:val="1"/>
      <w:numFmt w:val="lowerLetter"/>
      <w:lvlText w:val="%2."/>
      <w:lvlJc w:val="left"/>
      <w:pPr>
        <w:ind w:left="4340" w:hanging="360"/>
      </w:pPr>
    </w:lvl>
    <w:lvl w:ilvl="2" w:tplc="0C09001B" w:tentative="1">
      <w:start w:val="1"/>
      <w:numFmt w:val="lowerRoman"/>
      <w:lvlText w:val="%3."/>
      <w:lvlJc w:val="right"/>
      <w:pPr>
        <w:ind w:left="5060" w:hanging="180"/>
      </w:pPr>
    </w:lvl>
    <w:lvl w:ilvl="3" w:tplc="0C09000F" w:tentative="1">
      <w:start w:val="1"/>
      <w:numFmt w:val="decimal"/>
      <w:lvlText w:val="%4."/>
      <w:lvlJc w:val="left"/>
      <w:pPr>
        <w:ind w:left="5780" w:hanging="360"/>
      </w:pPr>
    </w:lvl>
    <w:lvl w:ilvl="4" w:tplc="0C090019" w:tentative="1">
      <w:start w:val="1"/>
      <w:numFmt w:val="lowerLetter"/>
      <w:lvlText w:val="%5."/>
      <w:lvlJc w:val="left"/>
      <w:pPr>
        <w:ind w:left="6500" w:hanging="360"/>
      </w:pPr>
    </w:lvl>
    <w:lvl w:ilvl="5" w:tplc="0C09001B" w:tentative="1">
      <w:start w:val="1"/>
      <w:numFmt w:val="lowerRoman"/>
      <w:lvlText w:val="%6."/>
      <w:lvlJc w:val="right"/>
      <w:pPr>
        <w:ind w:left="7220" w:hanging="180"/>
      </w:pPr>
    </w:lvl>
    <w:lvl w:ilvl="6" w:tplc="0C09000F" w:tentative="1">
      <w:start w:val="1"/>
      <w:numFmt w:val="decimal"/>
      <w:lvlText w:val="%7."/>
      <w:lvlJc w:val="left"/>
      <w:pPr>
        <w:ind w:left="7940" w:hanging="360"/>
      </w:pPr>
    </w:lvl>
    <w:lvl w:ilvl="7" w:tplc="0C090019" w:tentative="1">
      <w:start w:val="1"/>
      <w:numFmt w:val="lowerLetter"/>
      <w:lvlText w:val="%8."/>
      <w:lvlJc w:val="left"/>
      <w:pPr>
        <w:ind w:left="8660" w:hanging="360"/>
      </w:pPr>
    </w:lvl>
    <w:lvl w:ilvl="8" w:tplc="0C09001B" w:tentative="1">
      <w:start w:val="1"/>
      <w:numFmt w:val="lowerRoman"/>
      <w:lvlText w:val="%9."/>
      <w:lvlJc w:val="right"/>
      <w:pPr>
        <w:ind w:left="9380" w:hanging="180"/>
      </w:pPr>
    </w:lvl>
  </w:abstractNum>
  <w:abstractNum w:abstractNumId="40" w15:restartNumberingAfterBreak="0">
    <w:nsid w:val="619A1079"/>
    <w:multiLevelType w:val="hybridMultilevel"/>
    <w:tmpl w:val="336C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313F66"/>
    <w:multiLevelType w:val="hybridMultilevel"/>
    <w:tmpl w:val="F314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E935B9F"/>
    <w:multiLevelType w:val="hybridMultilevel"/>
    <w:tmpl w:val="47840F5C"/>
    <w:lvl w:ilvl="0" w:tplc="0C090017">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6ED710A1"/>
    <w:multiLevelType w:val="hybridMultilevel"/>
    <w:tmpl w:val="8BE41880"/>
    <w:lvl w:ilvl="0" w:tplc="EBC6A3F6">
      <w:start w:val="1"/>
      <w:numFmt w:val="decimal"/>
      <w:pStyle w:val="Heading2"/>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6"/>
  </w:num>
  <w:num w:numId="3">
    <w:abstractNumId w:val="47"/>
  </w:num>
  <w:num w:numId="4">
    <w:abstractNumId w:val="30"/>
  </w:num>
  <w:num w:numId="5">
    <w:abstractNumId w:val="20"/>
  </w:num>
  <w:num w:numId="6">
    <w:abstractNumId w:val="12"/>
  </w:num>
  <w:num w:numId="7">
    <w:abstractNumId w:val="32"/>
  </w:num>
  <w:num w:numId="8">
    <w:abstractNumId w:val="19"/>
  </w:num>
  <w:num w:numId="9">
    <w:abstractNumId w:val="28"/>
  </w:num>
  <w:num w:numId="10">
    <w:abstractNumId w:val="1"/>
  </w:num>
  <w:num w:numId="11">
    <w:abstractNumId w:val="7"/>
  </w:num>
  <w:num w:numId="12">
    <w:abstractNumId w:val="8"/>
  </w:num>
  <w:num w:numId="13">
    <w:abstractNumId w:val="40"/>
  </w:num>
  <w:num w:numId="14">
    <w:abstractNumId w:val="23"/>
  </w:num>
  <w:num w:numId="15">
    <w:abstractNumId w:val="27"/>
  </w:num>
  <w:num w:numId="16">
    <w:abstractNumId w:val="41"/>
  </w:num>
  <w:num w:numId="17">
    <w:abstractNumId w:val="44"/>
  </w:num>
  <w:num w:numId="18">
    <w:abstractNumId w:val="33"/>
  </w:num>
  <w:num w:numId="19">
    <w:abstractNumId w:val="39"/>
  </w:num>
  <w:num w:numId="20">
    <w:abstractNumId w:val="0"/>
  </w:num>
  <w:num w:numId="21">
    <w:abstractNumId w:val="43"/>
  </w:num>
  <w:num w:numId="22">
    <w:abstractNumId w:val="3"/>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9"/>
  </w:num>
  <w:num w:numId="30">
    <w:abstractNumId w:val="39"/>
  </w:num>
  <w:num w:numId="31">
    <w:abstractNumId w:val="39"/>
  </w:num>
  <w:num w:numId="32">
    <w:abstractNumId w:val="39"/>
  </w:num>
  <w:num w:numId="3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7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45AEC"/>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E6E4D"/>
    <w:rsid w:val="002F0DB1"/>
    <w:rsid w:val="002F2885"/>
    <w:rsid w:val="002F45A1"/>
    <w:rsid w:val="0030203D"/>
    <w:rsid w:val="003037F9"/>
    <w:rsid w:val="0030583E"/>
    <w:rsid w:val="00307FE1"/>
    <w:rsid w:val="00313A22"/>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0C9"/>
    <w:rsid w:val="003E2445"/>
    <w:rsid w:val="003E3BB2"/>
    <w:rsid w:val="003F5B58"/>
    <w:rsid w:val="0040222A"/>
    <w:rsid w:val="004032F4"/>
    <w:rsid w:val="004047BC"/>
    <w:rsid w:val="004100F7"/>
    <w:rsid w:val="004142DF"/>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95993"/>
    <w:rsid w:val="004A0EBA"/>
    <w:rsid w:val="004A2538"/>
    <w:rsid w:val="004A331E"/>
    <w:rsid w:val="004B0C15"/>
    <w:rsid w:val="004B35EA"/>
    <w:rsid w:val="004B69E4"/>
    <w:rsid w:val="004C6C39"/>
    <w:rsid w:val="004D075F"/>
    <w:rsid w:val="004D1B76"/>
    <w:rsid w:val="004D1D3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21B7"/>
    <w:rsid w:val="005249F5"/>
    <w:rsid w:val="005260F7"/>
    <w:rsid w:val="00543BD1"/>
    <w:rsid w:val="00556113"/>
    <w:rsid w:val="00561EF1"/>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301"/>
    <w:rsid w:val="005F0B17"/>
    <w:rsid w:val="005F6602"/>
    <w:rsid w:val="005F77C7"/>
    <w:rsid w:val="00620675"/>
    <w:rsid w:val="00622910"/>
    <w:rsid w:val="006254B6"/>
    <w:rsid w:val="00627FC8"/>
    <w:rsid w:val="006433C3"/>
    <w:rsid w:val="00650F5B"/>
    <w:rsid w:val="00655DE3"/>
    <w:rsid w:val="006670D7"/>
    <w:rsid w:val="006719EA"/>
    <w:rsid w:val="00671F13"/>
    <w:rsid w:val="0067400A"/>
    <w:rsid w:val="006847AD"/>
    <w:rsid w:val="0069114B"/>
    <w:rsid w:val="006940FD"/>
    <w:rsid w:val="006944C1"/>
    <w:rsid w:val="006A756A"/>
    <w:rsid w:val="006C0472"/>
    <w:rsid w:val="006C0EC2"/>
    <w:rsid w:val="006D66F7"/>
    <w:rsid w:val="00705C9D"/>
    <w:rsid w:val="00705F13"/>
    <w:rsid w:val="0070624C"/>
    <w:rsid w:val="00714F1D"/>
    <w:rsid w:val="00715225"/>
    <w:rsid w:val="0071700C"/>
    <w:rsid w:val="00720662"/>
    <w:rsid w:val="00720CC6"/>
    <w:rsid w:val="007222EE"/>
    <w:rsid w:val="00722DDB"/>
    <w:rsid w:val="00724728"/>
    <w:rsid w:val="00724F98"/>
    <w:rsid w:val="00730B9B"/>
    <w:rsid w:val="0073182E"/>
    <w:rsid w:val="007332FF"/>
    <w:rsid w:val="007408F5"/>
    <w:rsid w:val="00741EAE"/>
    <w:rsid w:val="00755248"/>
    <w:rsid w:val="0076190B"/>
    <w:rsid w:val="0076355D"/>
    <w:rsid w:val="00763A2D"/>
    <w:rsid w:val="007676A4"/>
    <w:rsid w:val="007728A2"/>
    <w:rsid w:val="00777795"/>
    <w:rsid w:val="00783A57"/>
    <w:rsid w:val="00784C92"/>
    <w:rsid w:val="007859CD"/>
    <w:rsid w:val="00785C24"/>
    <w:rsid w:val="007907E4"/>
    <w:rsid w:val="00796461"/>
    <w:rsid w:val="007A6A4F"/>
    <w:rsid w:val="007B03F5"/>
    <w:rsid w:val="007B3385"/>
    <w:rsid w:val="007B5C09"/>
    <w:rsid w:val="007B5DA2"/>
    <w:rsid w:val="007C0966"/>
    <w:rsid w:val="007C19E7"/>
    <w:rsid w:val="007C5CFD"/>
    <w:rsid w:val="007C6D9F"/>
    <w:rsid w:val="007D4893"/>
    <w:rsid w:val="007E70CF"/>
    <w:rsid w:val="007E74A4"/>
    <w:rsid w:val="007F1B6F"/>
    <w:rsid w:val="007F263F"/>
    <w:rsid w:val="007F6CA1"/>
    <w:rsid w:val="008015A8"/>
    <w:rsid w:val="0080766E"/>
    <w:rsid w:val="00811169"/>
    <w:rsid w:val="00815297"/>
    <w:rsid w:val="008170DB"/>
    <w:rsid w:val="00817BA1"/>
    <w:rsid w:val="00823022"/>
    <w:rsid w:val="0082634E"/>
    <w:rsid w:val="008313C4"/>
    <w:rsid w:val="00835434"/>
    <w:rsid w:val="008358C0"/>
    <w:rsid w:val="00842838"/>
    <w:rsid w:val="0084591D"/>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17CFC"/>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B7DBB"/>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5904"/>
    <w:rsid w:val="00B16002"/>
    <w:rsid w:val="00B2046E"/>
    <w:rsid w:val="00B20E8B"/>
    <w:rsid w:val="00B257E1"/>
    <w:rsid w:val="00B2599A"/>
    <w:rsid w:val="00B27AC4"/>
    <w:rsid w:val="00B343CC"/>
    <w:rsid w:val="00B3522D"/>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3377"/>
    <w:rsid w:val="00C30171"/>
    <w:rsid w:val="00C309D8"/>
    <w:rsid w:val="00C43519"/>
    <w:rsid w:val="00C45263"/>
    <w:rsid w:val="00C51537"/>
    <w:rsid w:val="00C52BC3"/>
    <w:rsid w:val="00C5581C"/>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3614"/>
    <w:rsid w:val="00CF540E"/>
    <w:rsid w:val="00D0147C"/>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309"/>
    <w:rsid w:val="00DB6D0A"/>
    <w:rsid w:val="00DC06BE"/>
    <w:rsid w:val="00DC1F0F"/>
    <w:rsid w:val="00DC3117"/>
    <w:rsid w:val="00DC4E2A"/>
    <w:rsid w:val="00DC5DD9"/>
    <w:rsid w:val="00DC6D2D"/>
    <w:rsid w:val="00DD4E59"/>
    <w:rsid w:val="00DE33B5"/>
    <w:rsid w:val="00DE5E18"/>
    <w:rsid w:val="00DF0487"/>
    <w:rsid w:val="00DF3879"/>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6AD6"/>
    <w:rsid w:val="00E770C4"/>
    <w:rsid w:val="00E810DA"/>
    <w:rsid w:val="00E82CF1"/>
    <w:rsid w:val="00E84C5A"/>
    <w:rsid w:val="00E861DB"/>
    <w:rsid w:val="00E908F1"/>
    <w:rsid w:val="00E93406"/>
    <w:rsid w:val="00E956C5"/>
    <w:rsid w:val="00E95C39"/>
    <w:rsid w:val="00EA2C39"/>
    <w:rsid w:val="00EB0A3C"/>
    <w:rsid w:val="00EB0A96"/>
    <w:rsid w:val="00EB77F9"/>
    <w:rsid w:val="00EC5769"/>
    <w:rsid w:val="00EC7D00"/>
    <w:rsid w:val="00ED0304"/>
    <w:rsid w:val="00ED4270"/>
    <w:rsid w:val="00ED4FF7"/>
    <w:rsid w:val="00ED5B7B"/>
    <w:rsid w:val="00EE38FA"/>
    <w:rsid w:val="00EE3E2C"/>
    <w:rsid w:val="00EE5D23"/>
    <w:rsid w:val="00EE750D"/>
    <w:rsid w:val="00EF3CA4"/>
    <w:rsid w:val="00EF49A8"/>
    <w:rsid w:val="00EF7859"/>
    <w:rsid w:val="00F014DA"/>
    <w:rsid w:val="00F02591"/>
    <w:rsid w:val="00F239F1"/>
    <w:rsid w:val="00F30AE1"/>
    <w:rsid w:val="00F5326B"/>
    <w:rsid w:val="00F5696E"/>
    <w:rsid w:val="00F60EFF"/>
    <w:rsid w:val="00F67D2D"/>
    <w:rsid w:val="00F768BD"/>
    <w:rsid w:val="00F82483"/>
    <w:rsid w:val="00F858F2"/>
    <w:rsid w:val="00F860CC"/>
    <w:rsid w:val="00F90D33"/>
    <w:rsid w:val="00F94398"/>
    <w:rsid w:val="00FB2B56"/>
    <w:rsid w:val="00FB55D5"/>
    <w:rsid w:val="00FB73EE"/>
    <w:rsid w:val="00FC12BF"/>
    <w:rsid w:val="00FC2C60"/>
    <w:rsid w:val="00FC7ABE"/>
    <w:rsid w:val="00FD3E6F"/>
    <w:rsid w:val="00FD51B9"/>
    <w:rsid w:val="00FD5849"/>
    <w:rsid w:val="00FE03E4"/>
    <w:rsid w:val="00FE2A39"/>
    <w:rsid w:val="00FE69A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F087E"/>
  <w15:docId w15:val="{B58A8DC3-CE23-4C80-8BCA-64AB9CF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84591D"/>
    <w:pPr>
      <w:keepNext/>
      <w:keepLines/>
      <w:numPr>
        <w:numId w:val="10"/>
      </w:numPr>
      <w:spacing w:before="240"/>
      <w:outlineLvl w:val="0"/>
    </w:pPr>
    <w:rPr>
      <w:rFonts w:ascii="Lato Semibold" w:eastAsia="Times New Roman" w:hAnsi="Lato Semibold"/>
      <w:noProof/>
      <w:color w:val="1F1F5F"/>
      <w:kern w:val="32"/>
      <w:sz w:val="36"/>
      <w:szCs w:val="32"/>
      <w:lang w:eastAsia="en-AU"/>
    </w:rPr>
  </w:style>
  <w:style w:type="paragraph" w:styleId="Heading2">
    <w:name w:val="heading 2"/>
    <w:basedOn w:val="Normal"/>
    <w:next w:val="Normal"/>
    <w:link w:val="Heading2Char"/>
    <w:uiPriority w:val="2"/>
    <w:qFormat/>
    <w:rsid w:val="004D1D36"/>
    <w:pPr>
      <w:keepNext/>
      <w:keepLines/>
      <w:numPr>
        <w:numId w:val="17"/>
      </w:numPr>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numPr>
        <w:numId w:val="19"/>
      </w:numPr>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84591D"/>
    <w:rPr>
      <w:rFonts w:ascii="Lato Semibold" w:eastAsia="Times New Roman" w:hAnsi="Lato Semibold"/>
      <w:noProof/>
      <w:color w:val="1F1F5F"/>
      <w:kern w:val="32"/>
      <w:sz w:val="36"/>
      <w:szCs w:val="32"/>
      <w:lang w:eastAsia="en-AU"/>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figure">
    <w:name w:val="figure"/>
    <w:basedOn w:val="Normal"/>
    <w:rsid w:val="0084591D"/>
    <w:pPr>
      <w:keepLines/>
      <w:overflowPunct w:val="0"/>
      <w:autoSpaceDE w:val="0"/>
      <w:autoSpaceDN w:val="0"/>
      <w:adjustRightInd w:val="0"/>
      <w:spacing w:before="120" w:beforeAutospacing="1" w:after="100" w:afterAutospacing="1" w:line="300" w:lineRule="atLeast"/>
      <w:textAlignment w:val="baseline"/>
    </w:pPr>
    <w:rPr>
      <w:rFonts w:ascii="Arial" w:eastAsia="Times New Roman" w:hAnsi="Arial"/>
      <w:i/>
      <w:iCs/>
      <w:lang w:eastAsia="en-AU"/>
    </w:rPr>
  </w:style>
  <w:style w:type="paragraph" w:styleId="FootnoteText">
    <w:name w:val="footnote text"/>
    <w:basedOn w:val="Normal"/>
    <w:link w:val="FootnoteTextChar"/>
    <w:uiPriority w:val="99"/>
    <w:rsid w:val="0084591D"/>
    <w:pPr>
      <w:spacing w:after="0"/>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84591D"/>
    <w:rPr>
      <w:rFonts w:eastAsia="Times New Roman"/>
      <w:sz w:val="20"/>
      <w:szCs w:val="20"/>
    </w:rPr>
  </w:style>
  <w:style w:type="character" w:styleId="FootnoteReference">
    <w:name w:val="footnote reference"/>
    <w:basedOn w:val="DefaultParagraphFont"/>
    <w:uiPriority w:val="99"/>
    <w:rsid w:val="0084591D"/>
    <w:rPr>
      <w:vertAlign w:val="superscript"/>
    </w:rPr>
  </w:style>
  <w:style w:type="paragraph" w:customStyle="1" w:styleId="Default">
    <w:name w:val="Default"/>
    <w:rsid w:val="004D1D36"/>
    <w:pPr>
      <w:autoSpaceDE w:val="0"/>
      <w:autoSpaceDN w:val="0"/>
      <w:adjustRightInd w:val="0"/>
      <w:spacing w:after="0"/>
    </w:pPr>
    <w:rPr>
      <w:rFonts w:eastAsia="Times New Roman" w:cs="Arial"/>
      <w:color w:val="000000"/>
      <w:sz w:val="24"/>
      <w:szCs w:val="24"/>
      <w:lang w:eastAsia="en-AU"/>
    </w:rPr>
  </w:style>
  <w:style w:type="numbering" w:customStyle="1" w:styleId="Style3">
    <w:name w:val="Style3"/>
    <w:rsid w:val="004D1D36"/>
    <w:pPr>
      <w:numPr>
        <w:numId w:val="15"/>
      </w:numPr>
    </w:pPr>
  </w:style>
  <w:style w:type="character" w:styleId="FollowedHyperlink">
    <w:name w:val="FollowedHyperlink"/>
    <w:basedOn w:val="DefaultParagraphFont"/>
    <w:uiPriority w:val="99"/>
    <w:semiHidden/>
    <w:unhideWhenUsed/>
    <w:rsid w:val="00F82483"/>
    <w:rPr>
      <w:color w:val="8C4799" w:themeColor="followedHyperlink"/>
      <w:u w:val="single"/>
    </w:rPr>
  </w:style>
  <w:style w:type="character" w:styleId="CommentReference">
    <w:name w:val="annotation reference"/>
    <w:basedOn w:val="DefaultParagraphFont"/>
    <w:uiPriority w:val="99"/>
    <w:semiHidden/>
    <w:unhideWhenUsed/>
    <w:rsid w:val="002E6E4D"/>
    <w:rPr>
      <w:sz w:val="16"/>
      <w:szCs w:val="16"/>
    </w:rPr>
  </w:style>
  <w:style w:type="paragraph" w:styleId="CommentText">
    <w:name w:val="annotation text"/>
    <w:basedOn w:val="Normal"/>
    <w:link w:val="CommentTextChar"/>
    <w:uiPriority w:val="99"/>
    <w:semiHidden/>
    <w:unhideWhenUsed/>
    <w:rsid w:val="002E6E4D"/>
    <w:rPr>
      <w:sz w:val="20"/>
      <w:szCs w:val="20"/>
    </w:rPr>
  </w:style>
  <w:style w:type="character" w:customStyle="1" w:styleId="CommentTextChar">
    <w:name w:val="Comment Text Char"/>
    <w:basedOn w:val="DefaultParagraphFont"/>
    <w:link w:val="CommentText"/>
    <w:uiPriority w:val="99"/>
    <w:semiHidden/>
    <w:rsid w:val="002E6E4D"/>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2E6E4D"/>
    <w:rPr>
      <w:b/>
      <w:bCs/>
    </w:rPr>
  </w:style>
  <w:style w:type="character" w:customStyle="1" w:styleId="CommentSubjectChar">
    <w:name w:val="Comment Subject Char"/>
    <w:basedOn w:val="CommentTextChar"/>
    <w:link w:val="CommentSubject"/>
    <w:uiPriority w:val="99"/>
    <w:semiHidden/>
    <w:rsid w:val="002E6E4D"/>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ychology.org.au/APS/media/Resource-Finder/Testing/Practice-guide-school-age-students.pdf" TargetMode="External"/><Relationship Id="rId18" Type="http://schemas.openxmlformats.org/officeDocument/2006/relationships/hyperlink" Target="https://www.nccd.edu.au/resources-and-tools/professional-learning/format/e-learning-5https:/www.nccd.edu.au/resources-and-tools/professional-learning/format/e-learning-5" TargetMode="External"/><Relationship Id="rId26" Type="http://schemas.openxmlformats.org/officeDocument/2006/relationships/hyperlink" Target="https://www.legislation.gov.au/Details/C2018C00125/Html/Text"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legislation.qld.gov.au/view/html/inforce/current/act-2009-045" TargetMode="External"/><Relationship Id="rId34" Type="http://schemas.openxmlformats.org/officeDocument/2006/relationships/hyperlink" Target="https://education.nt.gov.au/__data/assets/pdf_file/0007/268819/External_Practitioner_Checklist_for_Principals.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sychology.org.au/for-the-public/about-psychology/What-does-a-psychologist-do/Psychologists-in-schools/Information-schools-resources/Framework-effective-delivery-school-psychology" TargetMode="External"/><Relationship Id="rId17" Type="http://schemas.openxmlformats.org/officeDocument/2006/relationships/hyperlink" Target="https://www.education.gov.au/disability-standards-education-2005" TargetMode="External"/><Relationship Id="rId25" Type="http://schemas.openxmlformats.org/officeDocument/2006/relationships/hyperlink" Target="http://ed.ntschools.net/studserv/studentsupport/Pages/SWDPolicy.aspx" TargetMode="External"/><Relationship Id="rId33" Type="http://schemas.openxmlformats.org/officeDocument/2006/relationships/hyperlink" Target="https://education.nt.gov.au/__data/assets/pdf_file/0005/268799/Allied_Health_Practitioner_Agreement_of_Service.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d.ntschools.net/studserv/studentsupport/Pages/SWDPolicy.aspx" TargetMode="External"/><Relationship Id="rId20" Type="http://schemas.openxmlformats.org/officeDocument/2006/relationships/hyperlink" Target="https://education.nt.gov.au/__data/assets/pdf_file/0011/618545/Working-with-Children-Clearance-Notices-Policy.pdf" TargetMode="External"/><Relationship Id="rId29" Type="http://schemas.openxmlformats.org/officeDocument/2006/relationships/hyperlink" Target="https://legislation.nt.gov.au/Legislation/EDUCATION-AND-CARE-SERVICES-NATIONAL-UNIFORM-LEGISLATION-ACT-2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EDUCATION-ACT-2015" TargetMode="External"/><Relationship Id="rId24" Type="http://schemas.openxmlformats.org/officeDocument/2006/relationships/hyperlink" Target="http://ed.ntschools.net/studserv/studentsupport/Pages/SWDPolicy.aspx" TargetMode="External"/><Relationship Id="rId32" Type="http://schemas.openxmlformats.org/officeDocument/2006/relationships/hyperlink" Target="https://education.nt.gov.au/policies/enrolmen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d.ntschools.net/studserv/studentsupport/Pages/SWDPolicy.aspx" TargetMode="External"/><Relationship Id="rId23" Type="http://schemas.openxmlformats.org/officeDocument/2006/relationships/hyperlink" Target="http://ed.ntschools.net/studserv/studentsupport/Pages/SWDPolicy.aspx" TargetMode="External"/><Relationship Id="rId28" Type="http://schemas.openxmlformats.org/officeDocument/2006/relationships/hyperlink" Target="https://legislation.nt.gov.au/Legislation/EDUCATION-ACT-2015" TargetMode="External"/><Relationship Id="rId36" Type="http://schemas.openxmlformats.org/officeDocument/2006/relationships/hyperlink" Target="https://education.nt.gov.au/__data/assets/pdf_file/0006/268827/Recommended_Structure_of_Report_by_External_Practitioner.pdf" TargetMode="External"/><Relationship Id="rId10" Type="http://schemas.openxmlformats.org/officeDocument/2006/relationships/hyperlink" Target="https://education.nt.gov.au/policies/enrolment" TargetMode="External"/><Relationship Id="rId19" Type="http://schemas.openxmlformats.org/officeDocument/2006/relationships/hyperlink" Target="https://education.nt.gov.au/__data/assets/pdf_file/0011/618545/Working-with-Children-Clearance-Notices-Policy.pdf" TargetMode="External"/><Relationship Id="rId31" Type="http://schemas.openxmlformats.org/officeDocument/2006/relationships/hyperlink" Target="https://education.nt.gov.au/policies/students-with-disability" TargetMode="External"/><Relationship Id="rId4" Type="http://schemas.openxmlformats.org/officeDocument/2006/relationships/styles" Target="styles.xml"/><Relationship Id="rId9" Type="http://schemas.openxmlformats.org/officeDocument/2006/relationships/hyperlink" Target="https://education.nt.gov.au/policies/students-with-disability" TargetMode="External"/><Relationship Id="rId14" Type="http://schemas.openxmlformats.org/officeDocument/2006/relationships/hyperlink" Target="http://www.icn.org.au/nt_home" TargetMode="External"/><Relationship Id="rId22" Type="http://schemas.openxmlformats.org/officeDocument/2006/relationships/hyperlink" Target="http://ed.ntschools.net/studserv/studentsupport/Pages/SWDPolicy.aspx" TargetMode="External"/><Relationship Id="rId27" Type="http://schemas.openxmlformats.org/officeDocument/2006/relationships/hyperlink" Target="https://docs.education.gov.au/system/files/doc/other/disability_standards_for_education_2005_plus_guidance_notes.pdf" TargetMode="External"/><Relationship Id="rId30" Type="http://schemas.openxmlformats.org/officeDocument/2006/relationships/hyperlink" Target="https://education.nt.gov.au/policies/students-with-disability" TargetMode="External"/><Relationship Id="rId35" Type="http://schemas.openxmlformats.org/officeDocument/2006/relationships/hyperlink" Target="https://education.nt.gov.au/__data/assets/pdf_file/0008/268820/General_Principles_of_Practice_and_Cultural_Competenc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Series/C2004A04426" TargetMode="External"/><Relationship Id="rId1" Type="http://schemas.openxmlformats.org/officeDocument/2006/relationships/hyperlink" Target="https://education.gov.au/disability-standards-education"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BDB30-304A-493D-87D9-69053C75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Diagnostic Assessment Guidelines</vt:lpstr>
    </vt:vector>
  </TitlesOfParts>
  <Company>EDUCATION</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Assessment Guidelines</dc:title>
  <dc:creator>Northern Territory Government - Department of Education</dc:creator>
  <cp:keywords>diagnostic assessment</cp:keywords>
  <cp:lastModifiedBy>Margarida Dearaujo</cp:lastModifiedBy>
  <cp:revision>2</cp:revision>
  <cp:lastPrinted>2019-07-29T01:45:00Z</cp:lastPrinted>
  <dcterms:created xsi:type="dcterms:W3CDTF">2019-10-11T01:28:00Z</dcterms:created>
  <dcterms:modified xsi:type="dcterms:W3CDTF">2019-10-11T01:28:00Z</dcterms:modified>
</cp:coreProperties>
</file>