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0113"/>
      </w:tblGrid>
      <w:tr w:rsidR="009B1BF1" w:rsidRPr="007A5EFD" w14:paraId="42191C93" w14:textId="77777777" w:rsidTr="00DD2A77">
        <w:trPr>
          <w:trHeight w:val="20"/>
        </w:trPr>
        <w:tc>
          <w:tcPr>
            <w:tcW w:w="235" w:type="dxa"/>
            <w:tcBorders>
              <w:top w:val="nil"/>
              <w:left w:val="nil"/>
              <w:bottom w:val="nil"/>
              <w:right w:val="nil"/>
            </w:tcBorders>
            <w:shd w:val="clear" w:color="auto" w:fill="FFFFFF" w:themeFill="background1"/>
            <w:noWrap/>
            <w:tcMar>
              <w:left w:w="0" w:type="dxa"/>
              <w:right w:w="0" w:type="dxa"/>
            </w:tcMar>
          </w:tcPr>
          <w:p w14:paraId="2BAAD947" w14:textId="77777777" w:rsidR="009B1BF1" w:rsidRPr="002C21A2" w:rsidRDefault="009B1BF1" w:rsidP="002C21A2">
            <w:pPr>
              <w:spacing w:after="0"/>
              <w:rPr>
                <w:rStyle w:val="Hidden"/>
              </w:rPr>
            </w:pPr>
          </w:p>
        </w:tc>
        <w:tc>
          <w:tcPr>
            <w:tcW w:w="10113" w:type="dxa"/>
            <w:tcBorders>
              <w:top w:val="nil"/>
              <w:left w:val="nil"/>
              <w:bottom w:val="nil"/>
              <w:right w:val="nil"/>
            </w:tcBorders>
            <w:shd w:val="clear" w:color="auto" w:fill="FFFFFF" w:themeFill="background1"/>
          </w:tcPr>
          <w:p w14:paraId="545E5614"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77CFD217" w14:textId="77777777" w:rsidTr="00DD2A77">
        <w:trPr>
          <w:trHeight w:val="344"/>
        </w:trPr>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586A0F0A" w14:textId="2A6E9E6A" w:rsidR="00A3761F" w:rsidRPr="00A3761F" w:rsidRDefault="000B3615" w:rsidP="00A3761F">
            <w:pPr>
              <w:pStyle w:val="Subtitle0"/>
            </w:pPr>
            <w:r>
              <w:t>Purpose</w:t>
            </w:r>
          </w:p>
        </w:tc>
      </w:tr>
      <w:tr w:rsidR="00872B4E" w:rsidRPr="007A5EFD" w14:paraId="3014211E" w14:textId="77777777" w:rsidTr="00DD2A77">
        <w:trPr>
          <w:trHeight w:val="1242"/>
        </w:trPr>
        <w:tc>
          <w:tcPr>
            <w:tcW w:w="10348" w:type="dxa"/>
            <w:gridSpan w:val="2"/>
            <w:tcBorders>
              <w:top w:val="nil"/>
              <w:left w:val="nil"/>
              <w:bottom w:val="single" w:sz="4" w:space="0" w:color="auto"/>
              <w:right w:val="nil"/>
            </w:tcBorders>
            <w:shd w:val="clear" w:color="auto" w:fill="FFFFFF" w:themeFill="background1"/>
            <w:noWrap/>
            <w:tcMar>
              <w:left w:w="0" w:type="dxa"/>
              <w:right w:w="0" w:type="dxa"/>
            </w:tcMar>
          </w:tcPr>
          <w:p w14:paraId="50ABEB29" w14:textId="6E69691F" w:rsidR="00D24D6E" w:rsidRDefault="002F2775" w:rsidP="00B31D3A">
            <w:r w:rsidRPr="002F2775">
              <w:t xml:space="preserve">The NT </w:t>
            </w:r>
            <w:r w:rsidRPr="002F2775">
              <w:rPr>
                <w:i/>
                <w:iCs/>
              </w:rPr>
              <w:t>Information Act</w:t>
            </w:r>
            <w:r>
              <w:rPr>
                <w:i/>
                <w:iCs/>
              </w:rPr>
              <w:t xml:space="preserve"> 2002</w:t>
            </w:r>
            <w:r w:rsidRPr="002F2775">
              <w:t>, Schedule 2 Information Privacy Principles, (IPPs) defines how government agencies should collect, hold, and use personal information. An individual’s consent is required for how an organisation can use or disclose their personal information.</w:t>
            </w:r>
          </w:p>
          <w:p w14:paraId="0BD972C2" w14:textId="0A83FDD5" w:rsidR="00B31D3A" w:rsidRPr="00872B4E" w:rsidRDefault="002F2775" w:rsidP="00B31D3A">
            <w:r w:rsidRPr="002F2775">
              <w:t>The following checklist has been designed to assist staff in the assessment of developing a consent form that covers the requirements under the IPPs.</w:t>
            </w:r>
          </w:p>
        </w:tc>
      </w:tr>
    </w:tbl>
    <w:tbl>
      <w:tblPr>
        <w:tblStyle w:val="TableGrid1"/>
        <w:tblW w:w="0" w:type="auto"/>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901"/>
        <w:gridCol w:w="7730"/>
        <w:gridCol w:w="596"/>
        <w:gridCol w:w="498"/>
        <w:gridCol w:w="583"/>
      </w:tblGrid>
      <w:tr w:rsidR="000B3615" w14:paraId="5A44E301" w14:textId="77777777" w:rsidTr="00DD2A77">
        <w:tc>
          <w:tcPr>
            <w:tcW w:w="0" w:type="auto"/>
            <w:shd w:val="clear" w:color="auto" w:fill="002060"/>
          </w:tcPr>
          <w:p w14:paraId="130E06E1" w14:textId="77777777" w:rsidR="00DD2A77" w:rsidRDefault="00DD2A77" w:rsidP="003F1DE0">
            <w:pPr>
              <w:rPr>
                <w:lang w:eastAsia="en-AU"/>
              </w:rPr>
            </w:pPr>
            <w:r>
              <w:rPr>
                <w:lang w:eastAsia="en-AU"/>
              </w:rPr>
              <w:t>IPP</w:t>
            </w:r>
          </w:p>
        </w:tc>
        <w:tc>
          <w:tcPr>
            <w:tcW w:w="0" w:type="auto"/>
            <w:shd w:val="clear" w:color="auto" w:fill="002060"/>
          </w:tcPr>
          <w:p w14:paraId="1C2AB038" w14:textId="77777777" w:rsidR="00DD2A77" w:rsidRDefault="00DD2A77" w:rsidP="003F1DE0">
            <w:pPr>
              <w:rPr>
                <w:lang w:eastAsia="en-AU"/>
              </w:rPr>
            </w:pPr>
            <w:r>
              <w:rPr>
                <w:lang w:eastAsia="en-AU"/>
              </w:rPr>
              <w:t>Assessment Questions</w:t>
            </w:r>
          </w:p>
        </w:tc>
        <w:tc>
          <w:tcPr>
            <w:tcW w:w="0" w:type="auto"/>
            <w:shd w:val="clear" w:color="auto" w:fill="002060"/>
          </w:tcPr>
          <w:p w14:paraId="2CB72874" w14:textId="77777777" w:rsidR="00DD2A77" w:rsidRDefault="00DD2A77" w:rsidP="003F1DE0">
            <w:pPr>
              <w:rPr>
                <w:lang w:eastAsia="en-AU"/>
              </w:rPr>
            </w:pPr>
            <w:r>
              <w:rPr>
                <w:lang w:eastAsia="en-AU"/>
              </w:rPr>
              <w:t>Yes</w:t>
            </w:r>
          </w:p>
        </w:tc>
        <w:tc>
          <w:tcPr>
            <w:tcW w:w="0" w:type="auto"/>
            <w:shd w:val="clear" w:color="auto" w:fill="002060"/>
          </w:tcPr>
          <w:p w14:paraId="0997ACA5" w14:textId="77777777" w:rsidR="00DD2A77" w:rsidRDefault="00DD2A77" w:rsidP="003F1DE0">
            <w:pPr>
              <w:rPr>
                <w:lang w:eastAsia="en-AU"/>
              </w:rPr>
            </w:pPr>
            <w:r>
              <w:rPr>
                <w:lang w:eastAsia="en-AU"/>
              </w:rPr>
              <w:t>No</w:t>
            </w:r>
          </w:p>
        </w:tc>
        <w:tc>
          <w:tcPr>
            <w:tcW w:w="0" w:type="auto"/>
            <w:shd w:val="clear" w:color="auto" w:fill="002060"/>
          </w:tcPr>
          <w:p w14:paraId="1AC6DE25" w14:textId="77777777" w:rsidR="00DD2A77" w:rsidRDefault="00DD2A77" w:rsidP="003F1DE0">
            <w:pPr>
              <w:rPr>
                <w:lang w:eastAsia="en-AU"/>
              </w:rPr>
            </w:pPr>
            <w:r>
              <w:rPr>
                <w:lang w:eastAsia="en-AU"/>
              </w:rPr>
              <w:t>N/A</w:t>
            </w:r>
          </w:p>
        </w:tc>
      </w:tr>
      <w:tr w:rsidR="000B3615" w14:paraId="57A904D5" w14:textId="77777777" w:rsidTr="00DD2A77">
        <w:tc>
          <w:tcPr>
            <w:tcW w:w="0" w:type="auto"/>
          </w:tcPr>
          <w:p w14:paraId="1FC59058" w14:textId="77777777" w:rsidR="00DD2A77" w:rsidRDefault="00DD2A77" w:rsidP="003F1DE0">
            <w:pPr>
              <w:rPr>
                <w:lang w:eastAsia="en-AU"/>
              </w:rPr>
            </w:pPr>
            <w:r>
              <w:rPr>
                <w:lang w:eastAsia="en-AU"/>
              </w:rPr>
              <w:t>1.3(a)</w:t>
            </w:r>
          </w:p>
        </w:tc>
        <w:tc>
          <w:tcPr>
            <w:tcW w:w="0" w:type="auto"/>
          </w:tcPr>
          <w:p w14:paraId="793F3C35" w14:textId="77777777" w:rsidR="00DD2A77" w:rsidRDefault="00DD2A77" w:rsidP="003F1DE0">
            <w:pPr>
              <w:rPr>
                <w:lang w:eastAsia="en-AU"/>
              </w:rPr>
            </w:pPr>
            <w:r>
              <w:rPr>
                <w:lang w:eastAsia="en-AU"/>
              </w:rPr>
              <w:t>Provides details of the school, department or vendor and their contacts</w:t>
            </w:r>
          </w:p>
        </w:tc>
        <w:tc>
          <w:tcPr>
            <w:tcW w:w="0" w:type="auto"/>
          </w:tcPr>
          <w:p w14:paraId="09F5BEF5" w14:textId="77777777" w:rsidR="00DD2A77" w:rsidRDefault="00DD2A77" w:rsidP="003F1DE0">
            <w:pPr>
              <w:rPr>
                <w:lang w:eastAsia="en-AU"/>
              </w:rPr>
            </w:pPr>
          </w:p>
        </w:tc>
        <w:tc>
          <w:tcPr>
            <w:tcW w:w="0" w:type="auto"/>
          </w:tcPr>
          <w:p w14:paraId="33AB80AA" w14:textId="77777777" w:rsidR="00DD2A77" w:rsidRDefault="00DD2A77" w:rsidP="003F1DE0">
            <w:pPr>
              <w:rPr>
                <w:lang w:eastAsia="en-AU"/>
              </w:rPr>
            </w:pPr>
          </w:p>
        </w:tc>
        <w:tc>
          <w:tcPr>
            <w:tcW w:w="0" w:type="auto"/>
          </w:tcPr>
          <w:p w14:paraId="5573D46C" w14:textId="77777777" w:rsidR="00DD2A77" w:rsidRDefault="00DD2A77" w:rsidP="003F1DE0">
            <w:pPr>
              <w:rPr>
                <w:lang w:eastAsia="en-AU"/>
              </w:rPr>
            </w:pPr>
          </w:p>
        </w:tc>
      </w:tr>
      <w:tr w:rsidR="000B3615" w14:paraId="21E92E1D" w14:textId="77777777" w:rsidTr="00DD2A77">
        <w:tc>
          <w:tcPr>
            <w:tcW w:w="0" w:type="auto"/>
          </w:tcPr>
          <w:p w14:paraId="0A2B31CE" w14:textId="77777777" w:rsidR="00DD2A77" w:rsidRDefault="00DD2A77" w:rsidP="003F1DE0">
            <w:pPr>
              <w:rPr>
                <w:lang w:eastAsia="en-AU"/>
              </w:rPr>
            </w:pPr>
            <w:r>
              <w:rPr>
                <w:lang w:eastAsia="en-AU"/>
              </w:rPr>
              <w:t>1.3(b) 6.1</w:t>
            </w:r>
          </w:p>
        </w:tc>
        <w:tc>
          <w:tcPr>
            <w:tcW w:w="0" w:type="auto"/>
          </w:tcPr>
          <w:p w14:paraId="362257D2" w14:textId="77777777" w:rsidR="00DD2A77" w:rsidRDefault="00DD2A77" w:rsidP="003F1DE0">
            <w:pPr>
              <w:spacing w:after="120"/>
              <w:rPr>
                <w:lang w:eastAsia="en-AU"/>
              </w:rPr>
            </w:pPr>
            <w:r>
              <w:rPr>
                <w:lang w:eastAsia="en-AU"/>
              </w:rPr>
              <w:t>Provides details of how an individual can access, review, or update their information</w:t>
            </w:r>
          </w:p>
        </w:tc>
        <w:tc>
          <w:tcPr>
            <w:tcW w:w="0" w:type="auto"/>
          </w:tcPr>
          <w:p w14:paraId="5E8FDEAA" w14:textId="77777777" w:rsidR="00DD2A77" w:rsidRDefault="00DD2A77" w:rsidP="003F1DE0">
            <w:pPr>
              <w:rPr>
                <w:lang w:eastAsia="en-AU"/>
              </w:rPr>
            </w:pPr>
          </w:p>
        </w:tc>
        <w:tc>
          <w:tcPr>
            <w:tcW w:w="0" w:type="auto"/>
          </w:tcPr>
          <w:p w14:paraId="505E159F" w14:textId="77777777" w:rsidR="00DD2A77" w:rsidRDefault="00DD2A77" w:rsidP="003F1DE0">
            <w:pPr>
              <w:rPr>
                <w:lang w:eastAsia="en-AU"/>
              </w:rPr>
            </w:pPr>
          </w:p>
        </w:tc>
        <w:tc>
          <w:tcPr>
            <w:tcW w:w="0" w:type="auto"/>
          </w:tcPr>
          <w:p w14:paraId="447043E3" w14:textId="77777777" w:rsidR="00DD2A77" w:rsidRDefault="00DD2A77" w:rsidP="003F1DE0">
            <w:pPr>
              <w:rPr>
                <w:lang w:eastAsia="en-AU"/>
              </w:rPr>
            </w:pPr>
          </w:p>
        </w:tc>
      </w:tr>
      <w:tr w:rsidR="000B3615" w14:paraId="28A68E09" w14:textId="77777777" w:rsidTr="00DD2A77">
        <w:tc>
          <w:tcPr>
            <w:tcW w:w="0" w:type="auto"/>
          </w:tcPr>
          <w:p w14:paraId="099ACF6D" w14:textId="77777777" w:rsidR="00DD2A77" w:rsidRDefault="00DD2A77" w:rsidP="003F1DE0">
            <w:pPr>
              <w:rPr>
                <w:lang w:eastAsia="en-AU"/>
              </w:rPr>
            </w:pPr>
            <w:r>
              <w:rPr>
                <w:lang w:eastAsia="en-AU"/>
              </w:rPr>
              <w:t xml:space="preserve">1.3(c) </w:t>
            </w:r>
          </w:p>
        </w:tc>
        <w:tc>
          <w:tcPr>
            <w:tcW w:w="0" w:type="auto"/>
          </w:tcPr>
          <w:p w14:paraId="1314479E" w14:textId="77777777" w:rsidR="00DD2A77" w:rsidRDefault="00DD2A77" w:rsidP="003F1DE0">
            <w:pPr>
              <w:rPr>
                <w:lang w:eastAsia="en-AU"/>
              </w:rPr>
            </w:pPr>
            <w:r>
              <w:rPr>
                <w:lang w:eastAsia="en-AU"/>
              </w:rPr>
              <w:t>Provides details for the purpose the personal information is being collected</w:t>
            </w:r>
          </w:p>
        </w:tc>
        <w:tc>
          <w:tcPr>
            <w:tcW w:w="0" w:type="auto"/>
          </w:tcPr>
          <w:p w14:paraId="0C0C22A9" w14:textId="77777777" w:rsidR="00DD2A77" w:rsidRDefault="00DD2A77" w:rsidP="003F1DE0">
            <w:pPr>
              <w:rPr>
                <w:lang w:eastAsia="en-AU"/>
              </w:rPr>
            </w:pPr>
          </w:p>
        </w:tc>
        <w:tc>
          <w:tcPr>
            <w:tcW w:w="0" w:type="auto"/>
          </w:tcPr>
          <w:p w14:paraId="489A71F4" w14:textId="77777777" w:rsidR="00DD2A77" w:rsidRDefault="00DD2A77" w:rsidP="003F1DE0">
            <w:pPr>
              <w:rPr>
                <w:lang w:eastAsia="en-AU"/>
              </w:rPr>
            </w:pPr>
          </w:p>
        </w:tc>
        <w:tc>
          <w:tcPr>
            <w:tcW w:w="0" w:type="auto"/>
          </w:tcPr>
          <w:p w14:paraId="68127F32" w14:textId="77777777" w:rsidR="00DD2A77" w:rsidRDefault="00DD2A77" w:rsidP="003F1DE0">
            <w:pPr>
              <w:rPr>
                <w:lang w:eastAsia="en-AU"/>
              </w:rPr>
            </w:pPr>
          </w:p>
        </w:tc>
      </w:tr>
      <w:tr w:rsidR="000B3615" w14:paraId="3A218293" w14:textId="77777777" w:rsidTr="00DD2A77">
        <w:tc>
          <w:tcPr>
            <w:tcW w:w="0" w:type="auto"/>
          </w:tcPr>
          <w:p w14:paraId="18A3C630" w14:textId="77777777" w:rsidR="00DD2A77" w:rsidRDefault="00DD2A77" w:rsidP="003F1DE0">
            <w:pPr>
              <w:rPr>
                <w:lang w:eastAsia="en-AU"/>
              </w:rPr>
            </w:pPr>
            <w:r>
              <w:rPr>
                <w:lang w:eastAsia="en-AU"/>
              </w:rPr>
              <w:t>1.3(d)</w:t>
            </w:r>
          </w:p>
        </w:tc>
        <w:tc>
          <w:tcPr>
            <w:tcW w:w="0" w:type="auto"/>
          </w:tcPr>
          <w:p w14:paraId="5DF6EDE3" w14:textId="77777777" w:rsidR="00DD2A77" w:rsidRDefault="00DD2A77" w:rsidP="003F1DE0">
            <w:pPr>
              <w:rPr>
                <w:lang w:eastAsia="en-AU"/>
              </w:rPr>
            </w:pPr>
            <w:r>
              <w:rPr>
                <w:lang w:eastAsia="en-AU"/>
              </w:rPr>
              <w:t>Provides details of whom the organisation usually discloses information of the same kind</w:t>
            </w:r>
          </w:p>
        </w:tc>
        <w:tc>
          <w:tcPr>
            <w:tcW w:w="0" w:type="auto"/>
          </w:tcPr>
          <w:p w14:paraId="6510FE1F" w14:textId="77777777" w:rsidR="00DD2A77" w:rsidRDefault="00DD2A77" w:rsidP="003F1DE0">
            <w:pPr>
              <w:rPr>
                <w:lang w:eastAsia="en-AU"/>
              </w:rPr>
            </w:pPr>
          </w:p>
        </w:tc>
        <w:tc>
          <w:tcPr>
            <w:tcW w:w="0" w:type="auto"/>
          </w:tcPr>
          <w:p w14:paraId="57F1D13D" w14:textId="77777777" w:rsidR="00DD2A77" w:rsidRDefault="00DD2A77" w:rsidP="003F1DE0">
            <w:pPr>
              <w:rPr>
                <w:lang w:eastAsia="en-AU"/>
              </w:rPr>
            </w:pPr>
          </w:p>
        </w:tc>
        <w:tc>
          <w:tcPr>
            <w:tcW w:w="0" w:type="auto"/>
          </w:tcPr>
          <w:p w14:paraId="72F4F32A" w14:textId="77777777" w:rsidR="00DD2A77" w:rsidRDefault="00DD2A77" w:rsidP="003F1DE0">
            <w:pPr>
              <w:rPr>
                <w:lang w:eastAsia="en-AU"/>
              </w:rPr>
            </w:pPr>
          </w:p>
        </w:tc>
      </w:tr>
      <w:tr w:rsidR="000B3615" w14:paraId="1A9F57EF" w14:textId="77777777" w:rsidTr="00DD2A77">
        <w:tc>
          <w:tcPr>
            <w:tcW w:w="0" w:type="auto"/>
          </w:tcPr>
          <w:p w14:paraId="329B2608" w14:textId="77777777" w:rsidR="00DD2A77" w:rsidRDefault="00DD2A77" w:rsidP="003F1DE0">
            <w:pPr>
              <w:rPr>
                <w:lang w:eastAsia="en-AU"/>
              </w:rPr>
            </w:pPr>
            <w:r>
              <w:rPr>
                <w:lang w:eastAsia="en-AU"/>
              </w:rPr>
              <w:t>1.3 (e)</w:t>
            </w:r>
          </w:p>
        </w:tc>
        <w:tc>
          <w:tcPr>
            <w:tcW w:w="0" w:type="auto"/>
          </w:tcPr>
          <w:p w14:paraId="050ED894" w14:textId="77777777" w:rsidR="00DD2A77" w:rsidRDefault="00DD2A77" w:rsidP="003F1DE0">
            <w:pPr>
              <w:rPr>
                <w:lang w:eastAsia="en-AU"/>
              </w:rPr>
            </w:pPr>
            <w:r>
              <w:rPr>
                <w:lang w:eastAsia="en-AU"/>
              </w:rPr>
              <w:t>Provides details of any legislation or law that particular information is required to be collected</w:t>
            </w:r>
          </w:p>
        </w:tc>
        <w:tc>
          <w:tcPr>
            <w:tcW w:w="0" w:type="auto"/>
          </w:tcPr>
          <w:p w14:paraId="259746D0" w14:textId="77777777" w:rsidR="00DD2A77" w:rsidRDefault="00DD2A77" w:rsidP="003F1DE0">
            <w:pPr>
              <w:rPr>
                <w:lang w:eastAsia="en-AU"/>
              </w:rPr>
            </w:pPr>
          </w:p>
        </w:tc>
        <w:tc>
          <w:tcPr>
            <w:tcW w:w="0" w:type="auto"/>
          </w:tcPr>
          <w:p w14:paraId="37845103" w14:textId="77777777" w:rsidR="00DD2A77" w:rsidRDefault="00DD2A77" w:rsidP="003F1DE0">
            <w:pPr>
              <w:rPr>
                <w:lang w:eastAsia="en-AU"/>
              </w:rPr>
            </w:pPr>
          </w:p>
        </w:tc>
        <w:tc>
          <w:tcPr>
            <w:tcW w:w="0" w:type="auto"/>
          </w:tcPr>
          <w:p w14:paraId="6A24A373" w14:textId="77777777" w:rsidR="00DD2A77" w:rsidRDefault="00DD2A77" w:rsidP="003F1DE0">
            <w:pPr>
              <w:rPr>
                <w:lang w:eastAsia="en-AU"/>
              </w:rPr>
            </w:pPr>
          </w:p>
        </w:tc>
      </w:tr>
      <w:tr w:rsidR="000B3615" w14:paraId="14E537C2" w14:textId="77777777" w:rsidTr="00DD2A77">
        <w:tc>
          <w:tcPr>
            <w:tcW w:w="0" w:type="auto"/>
          </w:tcPr>
          <w:p w14:paraId="6DFD278A" w14:textId="77777777" w:rsidR="00DD2A77" w:rsidRDefault="00DD2A77" w:rsidP="003F1DE0">
            <w:pPr>
              <w:rPr>
                <w:lang w:eastAsia="en-AU"/>
              </w:rPr>
            </w:pPr>
            <w:r>
              <w:rPr>
                <w:lang w:eastAsia="en-AU"/>
              </w:rPr>
              <w:t>1.3(f)</w:t>
            </w:r>
          </w:p>
        </w:tc>
        <w:tc>
          <w:tcPr>
            <w:tcW w:w="0" w:type="auto"/>
          </w:tcPr>
          <w:p w14:paraId="23E2D06C" w14:textId="77777777" w:rsidR="00DD2A77" w:rsidRDefault="00DD2A77" w:rsidP="003F1DE0">
            <w:pPr>
              <w:spacing w:after="0"/>
              <w:rPr>
                <w:lang w:eastAsia="en-AU"/>
              </w:rPr>
            </w:pPr>
            <w:r>
              <w:rPr>
                <w:lang w:eastAsia="en-AU"/>
              </w:rPr>
              <w:t>Provides details of any consequences for the individual if consent is not provided.</w:t>
            </w:r>
          </w:p>
          <w:p w14:paraId="4F62794E" w14:textId="77777777" w:rsidR="00DD2A77" w:rsidRPr="00DD2A77" w:rsidRDefault="00DD2A77" w:rsidP="003F1DE0">
            <w:pPr>
              <w:rPr>
                <w:lang w:eastAsia="en-AU"/>
              </w:rPr>
            </w:pPr>
            <w:r w:rsidRPr="00DD2A77">
              <w:rPr>
                <w:lang w:eastAsia="en-AU"/>
              </w:rPr>
              <w:t xml:space="preserve">For example, where no consent has been provided for a student to access a digital application, there will be no impact to their learning outcomes </w:t>
            </w:r>
          </w:p>
        </w:tc>
        <w:tc>
          <w:tcPr>
            <w:tcW w:w="0" w:type="auto"/>
          </w:tcPr>
          <w:p w14:paraId="0FD47669" w14:textId="77777777" w:rsidR="00DD2A77" w:rsidRDefault="00DD2A77" w:rsidP="003F1DE0">
            <w:pPr>
              <w:rPr>
                <w:lang w:eastAsia="en-AU"/>
              </w:rPr>
            </w:pPr>
          </w:p>
        </w:tc>
        <w:tc>
          <w:tcPr>
            <w:tcW w:w="0" w:type="auto"/>
          </w:tcPr>
          <w:p w14:paraId="64CF6226" w14:textId="77777777" w:rsidR="00DD2A77" w:rsidRDefault="00DD2A77" w:rsidP="003F1DE0">
            <w:pPr>
              <w:rPr>
                <w:lang w:eastAsia="en-AU"/>
              </w:rPr>
            </w:pPr>
          </w:p>
        </w:tc>
        <w:tc>
          <w:tcPr>
            <w:tcW w:w="0" w:type="auto"/>
          </w:tcPr>
          <w:p w14:paraId="02F53B01" w14:textId="77777777" w:rsidR="00DD2A77" w:rsidRDefault="00DD2A77" w:rsidP="003F1DE0">
            <w:pPr>
              <w:rPr>
                <w:lang w:eastAsia="en-AU"/>
              </w:rPr>
            </w:pPr>
          </w:p>
        </w:tc>
      </w:tr>
      <w:tr w:rsidR="000B3615" w14:paraId="3E262C5C" w14:textId="77777777" w:rsidTr="00DD2A77">
        <w:tc>
          <w:tcPr>
            <w:tcW w:w="0" w:type="auto"/>
          </w:tcPr>
          <w:p w14:paraId="3898CF44" w14:textId="77777777" w:rsidR="00DD2A77" w:rsidRDefault="00DD2A77" w:rsidP="003F1DE0">
            <w:pPr>
              <w:rPr>
                <w:lang w:eastAsia="en-AU"/>
              </w:rPr>
            </w:pPr>
            <w:r>
              <w:rPr>
                <w:lang w:eastAsia="en-AU"/>
              </w:rPr>
              <w:t>2.1</w:t>
            </w:r>
          </w:p>
          <w:p w14:paraId="5954409D" w14:textId="163868D9" w:rsidR="00DD2A77" w:rsidRDefault="00DD2A77" w:rsidP="003F1DE0">
            <w:pPr>
              <w:rPr>
                <w:lang w:eastAsia="en-AU"/>
              </w:rPr>
            </w:pPr>
            <w:r>
              <w:rPr>
                <w:lang w:eastAsia="en-AU"/>
              </w:rPr>
              <w:t>2.1(c)</w:t>
            </w:r>
          </w:p>
        </w:tc>
        <w:tc>
          <w:tcPr>
            <w:tcW w:w="0" w:type="auto"/>
          </w:tcPr>
          <w:p w14:paraId="103FA9DE" w14:textId="0B914D6E" w:rsidR="00DD2A77" w:rsidRDefault="00DD2A77" w:rsidP="003F1DE0">
            <w:pPr>
              <w:spacing w:after="120"/>
              <w:rPr>
                <w:lang w:eastAsia="en-AU"/>
              </w:rPr>
            </w:pPr>
            <w:r>
              <w:rPr>
                <w:lang w:eastAsia="en-AU"/>
              </w:rPr>
              <w:t>Provide a statement advising that the information collected may be used for a secondary purpose or disclosed to a third party</w:t>
            </w:r>
            <w:r w:rsidR="000B3615">
              <w:rPr>
                <w:lang w:eastAsia="en-AU"/>
              </w:rPr>
              <w:t xml:space="preserve">. Go to the </w:t>
            </w:r>
            <w:hyperlink r:id="rId9" w:anchor="resources11655" w:history="1">
              <w:r w:rsidR="000B3615" w:rsidRPr="000B3615">
                <w:rPr>
                  <w:rStyle w:val="Hyperlink"/>
                  <w:rFonts w:ascii="Arial" w:hAnsi="Arial"/>
                  <w:lang w:eastAsia="en-AU"/>
                </w:rPr>
                <w:t>Collection notice – information for staff creating forms</w:t>
              </w:r>
            </w:hyperlink>
            <w:r w:rsidR="000B3615">
              <w:rPr>
                <w:lang w:eastAsia="en-AU"/>
              </w:rPr>
              <w:t xml:space="preserve"> on the Policy and advisory library</w:t>
            </w:r>
            <w:r w:rsidR="000B3615">
              <w:rPr>
                <w:rStyle w:val="FootnoteReference"/>
                <w:lang w:eastAsia="en-AU"/>
              </w:rPr>
              <w:footnoteReference w:id="1"/>
            </w:r>
            <w:r>
              <w:rPr>
                <w:lang w:eastAsia="en-AU"/>
              </w:rPr>
              <w:t xml:space="preserve"> </w:t>
            </w:r>
          </w:p>
          <w:p w14:paraId="75647386" w14:textId="77777777" w:rsidR="00DD2A77" w:rsidRDefault="00DD2A77" w:rsidP="003F1DE0">
            <w:pPr>
              <w:spacing w:after="120"/>
              <w:rPr>
                <w:lang w:eastAsia="en-AU"/>
              </w:rPr>
            </w:pPr>
            <w:r>
              <w:rPr>
                <w:lang w:eastAsia="en-AU"/>
              </w:rPr>
              <w:t>or</w:t>
            </w:r>
          </w:p>
          <w:p w14:paraId="29B0DFA1" w14:textId="77777777" w:rsidR="00DD2A77" w:rsidRDefault="00DD2A77" w:rsidP="003F1DE0">
            <w:pPr>
              <w:rPr>
                <w:lang w:eastAsia="en-AU"/>
              </w:rPr>
            </w:pPr>
            <w:r>
              <w:rPr>
                <w:lang w:eastAsia="en-AU"/>
              </w:rPr>
              <w:t>Where information is sensitive the secondary purpose is related to the primary purpose</w:t>
            </w:r>
          </w:p>
        </w:tc>
        <w:tc>
          <w:tcPr>
            <w:tcW w:w="0" w:type="auto"/>
          </w:tcPr>
          <w:p w14:paraId="017FF863" w14:textId="77777777" w:rsidR="00DD2A77" w:rsidRDefault="00DD2A77" w:rsidP="003F1DE0">
            <w:pPr>
              <w:rPr>
                <w:lang w:eastAsia="en-AU"/>
              </w:rPr>
            </w:pPr>
          </w:p>
        </w:tc>
        <w:tc>
          <w:tcPr>
            <w:tcW w:w="0" w:type="auto"/>
          </w:tcPr>
          <w:p w14:paraId="256899BA" w14:textId="77777777" w:rsidR="00DD2A77" w:rsidRDefault="00DD2A77" w:rsidP="003F1DE0">
            <w:pPr>
              <w:rPr>
                <w:lang w:eastAsia="en-AU"/>
              </w:rPr>
            </w:pPr>
          </w:p>
        </w:tc>
        <w:tc>
          <w:tcPr>
            <w:tcW w:w="0" w:type="auto"/>
          </w:tcPr>
          <w:p w14:paraId="38DE2B0C" w14:textId="77777777" w:rsidR="00DD2A77" w:rsidRDefault="00DD2A77" w:rsidP="003F1DE0">
            <w:pPr>
              <w:rPr>
                <w:lang w:eastAsia="en-AU"/>
              </w:rPr>
            </w:pPr>
          </w:p>
        </w:tc>
      </w:tr>
      <w:tr w:rsidR="000B3615" w14:paraId="5697CB81" w14:textId="77777777" w:rsidTr="00DD2A77">
        <w:tc>
          <w:tcPr>
            <w:tcW w:w="0" w:type="auto"/>
          </w:tcPr>
          <w:p w14:paraId="5980A208" w14:textId="77777777" w:rsidR="00DD2A77" w:rsidRDefault="00DD2A77" w:rsidP="003F1DE0">
            <w:pPr>
              <w:rPr>
                <w:lang w:eastAsia="en-AU"/>
              </w:rPr>
            </w:pPr>
            <w:r>
              <w:rPr>
                <w:lang w:eastAsia="en-AU"/>
              </w:rPr>
              <w:t>5.1</w:t>
            </w:r>
          </w:p>
        </w:tc>
        <w:tc>
          <w:tcPr>
            <w:tcW w:w="0" w:type="auto"/>
          </w:tcPr>
          <w:p w14:paraId="36D4FA3A" w14:textId="521C2471" w:rsidR="00DD2A77" w:rsidRDefault="00DD2A77" w:rsidP="003F1DE0">
            <w:pPr>
              <w:rPr>
                <w:lang w:eastAsia="en-AU"/>
              </w:rPr>
            </w:pPr>
            <w:r>
              <w:rPr>
                <w:lang w:eastAsia="en-AU"/>
              </w:rPr>
              <w:t>A link or copy of the department’s Privacy statement.</w:t>
            </w:r>
          </w:p>
          <w:p w14:paraId="23905D70" w14:textId="77777777" w:rsidR="00DD2A77" w:rsidRDefault="00DD2A77" w:rsidP="003F1DE0">
            <w:pPr>
              <w:rPr>
                <w:lang w:eastAsia="en-AU"/>
              </w:rPr>
            </w:pPr>
            <w:r>
              <w:rPr>
                <w:lang w:eastAsia="en-AU"/>
              </w:rPr>
              <w:t>A link or copy of the vendor’s privacy policy.</w:t>
            </w:r>
          </w:p>
        </w:tc>
        <w:tc>
          <w:tcPr>
            <w:tcW w:w="0" w:type="auto"/>
          </w:tcPr>
          <w:p w14:paraId="745D4769" w14:textId="77777777" w:rsidR="00DD2A77" w:rsidRDefault="00DD2A77" w:rsidP="003F1DE0">
            <w:pPr>
              <w:rPr>
                <w:lang w:eastAsia="en-AU"/>
              </w:rPr>
            </w:pPr>
          </w:p>
        </w:tc>
        <w:tc>
          <w:tcPr>
            <w:tcW w:w="0" w:type="auto"/>
          </w:tcPr>
          <w:p w14:paraId="39896A0D" w14:textId="77777777" w:rsidR="00DD2A77" w:rsidRDefault="00DD2A77" w:rsidP="003F1DE0">
            <w:pPr>
              <w:rPr>
                <w:lang w:eastAsia="en-AU"/>
              </w:rPr>
            </w:pPr>
          </w:p>
        </w:tc>
        <w:tc>
          <w:tcPr>
            <w:tcW w:w="0" w:type="auto"/>
          </w:tcPr>
          <w:p w14:paraId="67B64591" w14:textId="77777777" w:rsidR="00DD2A77" w:rsidRDefault="00DD2A77" w:rsidP="003F1DE0">
            <w:pPr>
              <w:rPr>
                <w:lang w:eastAsia="en-AU"/>
              </w:rPr>
            </w:pPr>
          </w:p>
        </w:tc>
      </w:tr>
    </w:tbl>
    <w:tbl>
      <w:tblPr>
        <w:tblStyle w:val="NTGTable1"/>
        <w:tblW w:w="10348" w:type="dxa"/>
        <w:tblInd w:w="-8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872B4E" w:rsidRPr="007A5EFD" w14:paraId="484B9528" w14:textId="77777777" w:rsidTr="00DD2A77">
        <w:trPr>
          <w:trHeight w:val="727"/>
        </w:trPr>
        <w:tc>
          <w:tcPr>
            <w:tcW w:w="10348" w:type="dxa"/>
            <w:tcBorders>
              <w:top w:val="nil"/>
              <w:left w:val="nil"/>
              <w:bottom w:val="nil"/>
              <w:right w:val="nil"/>
            </w:tcBorders>
            <w:noWrap/>
            <w:tcMar>
              <w:left w:w="0" w:type="dxa"/>
              <w:right w:w="0" w:type="dxa"/>
            </w:tcMar>
          </w:tcPr>
          <w:p w14:paraId="786FDB7C" w14:textId="3E64EC89" w:rsidR="009B1BF1" w:rsidRPr="00814AF6" w:rsidRDefault="009B1BF1" w:rsidP="0026532D">
            <w:pPr>
              <w:pStyle w:val="Heading1"/>
              <w:keepNext w:val="0"/>
              <w:keepLines w:val="0"/>
              <w:widowControl w:val="0"/>
            </w:pPr>
            <w:r w:rsidRPr="00814AF6">
              <w:lastRenderedPageBreak/>
              <w:t xml:space="preserve">Further </w:t>
            </w:r>
            <w:r w:rsidR="00DD2A77">
              <w:t>advice</w:t>
            </w:r>
          </w:p>
          <w:p w14:paraId="37AFA008" w14:textId="77777777" w:rsidR="00DD2A77" w:rsidRDefault="00DD2A77" w:rsidP="00DD2A77">
            <w:r w:rsidRPr="007E2FEA">
              <w:rPr>
                <w:b/>
                <w:bCs/>
                <w:color w:val="002060"/>
              </w:rPr>
              <w:t>NOTE:</w:t>
            </w:r>
            <w:r w:rsidRPr="007E2FEA">
              <w:rPr>
                <w:color w:val="002060"/>
              </w:rPr>
              <w:t xml:space="preserve"> </w:t>
            </w:r>
            <w:r w:rsidRPr="00207848">
              <w:t xml:space="preserve">Any ‘no’ responses </w:t>
            </w:r>
            <w:r>
              <w:t xml:space="preserve">indicate gaps in the consent. </w:t>
            </w:r>
          </w:p>
          <w:p w14:paraId="1B0C1DFC" w14:textId="7A29FBD9" w:rsidR="00DD2A77" w:rsidRDefault="00DD2A77" w:rsidP="00DD2A77">
            <w:r>
              <w:t>Contact the Quality Assurance Services Senior Privacy Manager for further advice.</w:t>
            </w:r>
          </w:p>
          <w:p w14:paraId="3AE71B39" w14:textId="77777777" w:rsidR="00DD2A77" w:rsidRDefault="00DD2A77" w:rsidP="00DD2A77">
            <w:r>
              <w:t xml:space="preserve">Email: </w:t>
            </w:r>
            <w:hyperlink r:id="rId10" w:history="1">
              <w:r w:rsidRPr="0054318E">
                <w:rPr>
                  <w:rStyle w:val="Hyperlink"/>
                </w:rPr>
                <w:t>rfi.doe@education.nt.gov.au</w:t>
              </w:r>
            </w:hyperlink>
            <w:r>
              <w:t xml:space="preserve"> </w:t>
            </w:r>
          </w:p>
          <w:p w14:paraId="2CEAD71F" w14:textId="44C9EF7B" w:rsidR="0026532D" w:rsidRPr="00F15931" w:rsidRDefault="00DD2A77" w:rsidP="00DD2A77">
            <w:r>
              <w:t>Phone: 899 95960</w:t>
            </w:r>
          </w:p>
        </w:tc>
      </w:tr>
      <w:tr w:rsidR="00872B4E" w:rsidRPr="007A5EFD" w14:paraId="77347080" w14:textId="77777777" w:rsidTr="00DD2A77">
        <w:trPr>
          <w:trHeight w:val="28"/>
        </w:trPr>
        <w:tc>
          <w:tcPr>
            <w:tcW w:w="10348" w:type="dxa"/>
            <w:tcBorders>
              <w:top w:val="nil"/>
              <w:left w:val="nil"/>
              <w:bottom w:val="nil"/>
              <w:right w:val="nil"/>
            </w:tcBorders>
            <w:noWrap/>
            <w:tcMar>
              <w:left w:w="0" w:type="dxa"/>
              <w:right w:w="0" w:type="dxa"/>
            </w:tcMar>
          </w:tcPr>
          <w:p w14:paraId="16A5F1A8" w14:textId="77777777" w:rsidR="00872B4E" w:rsidRPr="002C21A2" w:rsidRDefault="009B1BF1" w:rsidP="002C21A2">
            <w:pPr>
              <w:pStyle w:val="Subtitle0"/>
              <w:spacing w:after="0"/>
              <w:rPr>
                <w:rStyle w:val="Hidden"/>
              </w:rPr>
            </w:pPr>
            <w:r w:rsidRPr="002C21A2">
              <w:rPr>
                <w:rStyle w:val="Hidden"/>
              </w:rPr>
              <w:t>End of form</w:t>
            </w:r>
          </w:p>
        </w:tc>
      </w:tr>
    </w:tbl>
    <w:p w14:paraId="31CCE0BA" w14:textId="77777777"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3B5D" w14:textId="77777777" w:rsidR="00ED06D8" w:rsidRDefault="00ED06D8" w:rsidP="007332FF">
      <w:r>
        <w:separator/>
      </w:r>
    </w:p>
  </w:endnote>
  <w:endnote w:type="continuationSeparator" w:id="0">
    <w:p w14:paraId="76B459A6" w14:textId="77777777" w:rsidR="00ED06D8" w:rsidRDefault="00ED06D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C830"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184AB45" w14:textId="77777777" w:rsidTr="001B3D22">
      <w:trPr>
        <w:cantSplit/>
        <w:trHeight w:hRule="exact" w:val="850"/>
      </w:trPr>
      <w:tc>
        <w:tcPr>
          <w:tcW w:w="10318" w:type="dxa"/>
          <w:vAlign w:val="bottom"/>
        </w:tcPr>
        <w:p w14:paraId="570BC1BD" w14:textId="073CFEFF"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B3615">
                <w:rPr>
                  <w:rStyle w:val="PageNumber"/>
                  <w:b/>
                </w:rPr>
                <w:t>Education</w:t>
              </w:r>
            </w:sdtContent>
          </w:sdt>
          <w:r w:rsidRPr="001B3D22">
            <w:rPr>
              <w:rStyle w:val="PageNumber"/>
            </w:rPr>
            <w:t xml:space="preserve"> - optional</w:t>
          </w:r>
        </w:p>
        <w:p w14:paraId="79144380" w14:textId="0C9ADC3C" w:rsidR="001B3D22" w:rsidRDefault="00B279A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07T00:00:00Z">
                <w:dateFormat w:val="d MMMM yyyy"/>
                <w:lid w:val="en-AU"/>
                <w:storeMappedDataAs w:val="dateTime"/>
                <w:calendar w:val="gregorian"/>
              </w:date>
            </w:sdtPr>
            <w:sdtEndPr>
              <w:rPr>
                <w:rStyle w:val="PageNumber"/>
              </w:rPr>
            </w:sdtEndPr>
            <w:sdtContent>
              <w:r w:rsidR="000B3615">
                <w:rPr>
                  <w:rStyle w:val="PageNumber"/>
                </w:rPr>
                <w:t>7 February 2024</w:t>
              </w:r>
            </w:sdtContent>
          </w:sdt>
          <w:r w:rsidR="001B3D22" w:rsidRPr="001B3D22">
            <w:rPr>
              <w:rStyle w:val="PageNumber"/>
            </w:rPr>
            <w:t xml:space="preserve"> | Version X - optional</w:t>
          </w:r>
        </w:p>
        <w:p w14:paraId="196E8F85"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19AB5A9F" w14:textId="77777777" w:rsidR="002645D5" w:rsidRPr="00B11C67" w:rsidRDefault="002645D5" w:rsidP="002645D5">
    <w:pPr>
      <w:pStyle w:val="Footer"/>
      <w:rPr>
        <w:sz w:val="4"/>
        <w:szCs w:val="4"/>
      </w:rPr>
    </w:pPr>
  </w:p>
  <w:p w14:paraId="5DC0567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AE6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3A1792B" w14:textId="77777777" w:rsidTr="0087320B">
      <w:trPr>
        <w:cantSplit/>
        <w:trHeight w:hRule="exact" w:val="1134"/>
      </w:trPr>
      <w:tc>
        <w:tcPr>
          <w:tcW w:w="7767" w:type="dxa"/>
          <w:tcBorders>
            <w:top w:val="single" w:sz="4" w:space="0" w:color="auto"/>
          </w:tcBorders>
          <w:vAlign w:val="bottom"/>
        </w:tcPr>
        <w:p w14:paraId="0299ABFE" w14:textId="4B5B8C0E"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B3615">
                <w:rPr>
                  <w:rStyle w:val="PageNumber"/>
                  <w:b/>
                </w:rPr>
                <w:t>Education</w:t>
              </w:r>
            </w:sdtContent>
          </w:sdt>
          <w:r w:rsidRPr="001B3D22">
            <w:rPr>
              <w:rStyle w:val="PageNumber"/>
            </w:rPr>
            <w:t xml:space="preserve"> </w:t>
          </w:r>
          <w:r w:rsidR="000B3615">
            <w:rPr>
              <w:rStyle w:val="PageNumber"/>
            </w:rPr>
            <w:t>–</w:t>
          </w:r>
          <w:r w:rsidRPr="001B3D22">
            <w:rPr>
              <w:rStyle w:val="PageNumber"/>
            </w:rPr>
            <w:t xml:space="preserve"> </w:t>
          </w:r>
          <w:r w:rsidR="000B3615">
            <w:rPr>
              <w:rStyle w:val="PageNumber"/>
            </w:rPr>
            <w:t>Quality Standards and Regulation – Quality Assurance Services</w:t>
          </w:r>
        </w:p>
        <w:p w14:paraId="281D1DCD" w14:textId="02EA0DF4" w:rsidR="000B3615" w:rsidRDefault="00B279A5" w:rsidP="002645D5">
          <w:pPr>
            <w:spacing w:after="0"/>
            <w:rPr>
              <w:bCs/>
              <w:sz w:val="20"/>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07T00:00:00Z">
                <w:dateFormat w:val="d MMMM yyyy"/>
                <w:lid w:val="en-AU"/>
                <w:storeMappedDataAs w:val="dateTime"/>
                <w:calendar w:val="gregorian"/>
              </w:date>
            </w:sdtPr>
            <w:sdtEndPr>
              <w:rPr>
                <w:rStyle w:val="PageNumber"/>
              </w:rPr>
            </w:sdtEndPr>
            <w:sdtContent>
              <w:r w:rsidR="000B3615">
                <w:rPr>
                  <w:rStyle w:val="PageNumber"/>
                </w:rPr>
                <w:t>7 February 2024</w:t>
              </w:r>
            </w:sdtContent>
          </w:sdt>
          <w:r w:rsidR="001B3D22" w:rsidRPr="001B3D22">
            <w:rPr>
              <w:rStyle w:val="PageNumber"/>
            </w:rPr>
            <w:t xml:space="preserve"> | </w:t>
          </w:r>
          <w:r w:rsidR="000B3615">
            <w:rPr>
              <w:rStyle w:val="PageNumber"/>
            </w:rPr>
            <w:t xml:space="preserve">Version 1.00 | TRM </w:t>
          </w:r>
          <w:r w:rsidR="000B3615">
            <w:rPr>
              <w:bCs/>
              <w:sz w:val="20"/>
            </w:rPr>
            <w:t>50:D23:34091</w:t>
          </w:r>
        </w:p>
        <w:p w14:paraId="19C0226D" w14:textId="73A8A70A"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AF567F1" w14:textId="77777777" w:rsidR="002645D5" w:rsidRPr="001E14EB" w:rsidRDefault="00661D1D" w:rsidP="002645D5">
          <w:pPr>
            <w:spacing w:after="0"/>
            <w:jc w:val="right"/>
          </w:pPr>
          <w:r>
            <w:rPr>
              <w:noProof/>
              <w:sz w:val="19"/>
              <w:lang w:eastAsia="en-AU"/>
            </w:rPr>
            <w:drawing>
              <wp:inline distT="0" distB="0" distL="0" distR="0" wp14:anchorId="7677EEB7" wp14:editId="720DC682">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4B240C2"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3114" w14:textId="77777777" w:rsidR="00ED06D8" w:rsidRDefault="00ED06D8" w:rsidP="007332FF">
      <w:r>
        <w:separator/>
      </w:r>
    </w:p>
  </w:footnote>
  <w:footnote w:type="continuationSeparator" w:id="0">
    <w:p w14:paraId="5A37F89D" w14:textId="77777777" w:rsidR="00ED06D8" w:rsidRDefault="00ED06D8" w:rsidP="007332FF">
      <w:r>
        <w:continuationSeparator/>
      </w:r>
    </w:p>
  </w:footnote>
  <w:footnote w:id="1">
    <w:p w14:paraId="605420CB" w14:textId="4F2B61CC" w:rsidR="000B3615" w:rsidRPr="000B3615" w:rsidRDefault="000B3615">
      <w:pPr>
        <w:pStyle w:val="FootnoteText"/>
        <w:rPr>
          <w:lang w:val="en-US"/>
        </w:rPr>
      </w:pPr>
      <w:r>
        <w:rPr>
          <w:rStyle w:val="FootnoteReference"/>
        </w:rPr>
        <w:footnoteRef/>
      </w:r>
      <w:r>
        <w:t xml:space="preserve"> </w:t>
      </w:r>
      <w:hyperlink r:id="rId1" w:anchor="resources11655" w:history="1">
        <w:r w:rsidRPr="007A4E45">
          <w:rPr>
            <w:rStyle w:val="Hyperlink"/>
            <w:sz w:val="20"/>
          </w:rPr>
          <w:t>https://elearn.ntschools.net/pal/writing-and-publishing-operational-policy#resources11655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58A" w14:textId="77777777" w:rsidR="00983000" w:rsidRPr="00162207" w:rsidRDefault="00B279A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B521D">
          <w:rPr>
            <w:rStyle w:val="HeaderChar"/>
          </w:rPr>
          <w:t>&lt;Form title&gt;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0CBD821" w14:textId="1B3F5280" w:rsidR="00A53CF0" w:rsidRPr="00E908F1" w:rsidRDefault="00B279A5" w:rsidP="00A53CF0">
        <w:pPr>
          <w:pStyle w:val="Title"/>
        </w:pPr>
        <w:r>
          <w:rPr>
            <w:rStyle w:val="TitleChar"/>
          </w:rPr>
          <w:t>Information disclosure – consent form checklist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068185550">
    <w:abstractNumId w:val="19"/>
  </w:num>
  <w:num w:numId="2" w16cid:durableId="505637726">
    <w:abstractNumId w:val="11"/>
  </w:num>
  <w:num w:numId="3" w16cid:durableId="2048211428">
    <w:abstractNumId w:val="36"/>
  </w:num>
  <w:num w:numId="4" w16cid:durableId="1183519705">
    <w:abstractNumId w:val="23"/>
  </w:num>
  <w:num w:numId="5" w16cid:durableId="2044866239">
    <w:abstractNumId w:val="15"/>
  </w:num>
  <w:num w:numId="6" w16cid:durableId="348531804">
    <w:abstractNumId w:val="7"/>
  </w:num>
  <w:num w:numId="7" w16cid:durableId="2120681741">
    <w:abstractNumId w:val="25"/>
  </w:num>
  <w:num w:numId="8" w16cid:durableId="308559524">
    <w:abstractNumId w:val="14"/>
  </w:num>
  <w:num w:numId="9" w16cid:durableId="868102554">
    <w:abstractNumId w:val="35"/>
  </w:num>
  <w:num w:numId="10" w16cid:durableId="1208295475">
    <w:abstractNumId w:val="21"/>
  </w:num>
  <w:num w:numId="11" w16cid:durableId="895704932">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75"/>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3615"/>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775"/>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1338"/>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27341"/>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9A5"/>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4D6E"/>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2A77"/>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06D8"/>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C37C4"/>
  <w15:docId w15:val="{D653101D-9E31-47E2-B631-3A6ED20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table" w:customStyle="1" w:styleId="TableGrid1">
    <w:name w:val="Table Grid1"/>
    <w:basedOn w:val="TableNormal"/>
    <w:next w:val="TableGrid"/>
    <w:uiPriority w:val="59"/>
    <w:rsid w:val="00DD2A7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A77"/>
    <w:rPr>
      <w:sz w:val="16"/>
      <w:szCs w:val="16"/>
    </w:rPr>
  </w:style>
  <w:style w:type="paragraph" w:styleId="CommentText">
    <w:name w:val="annotation text"/>
    <w:basedOn w:val="Normal"/>
    <w:link w:val="CommentTextChar"/>
    <w:uiPriority w:val="99"/>
    <w:unhideWhenUsed/>
    <w:rsid w:val="00DD2A77"/>
    <w:rPr>
      <w:sz w:val="20"/>
    </w:rPr>
  </w:style>
  <w:style w:type="character" w:customStyle="1" w:styleId="CommentTextChar">
    <w:name w:val="Comment Text Char"/>
    <w:basedOn w:val="DefaultParagraphFont"/>
    <w:link w:val="CommentText"/>
    <w:uiPriority w:val="99"/>
    <w:rsid w:val="00DD2A77"/>
    <w:rPr>
      <w:sz w:val="20"/>
    </w:rPr>
  </w:style>
  <w:style w:type="paragraph" w:styleId="CommentSubject">
    <w:name w:val="annotation subject"/>
    <w:basedOn w:val="CommentText"/>
    <w:next w:val="CommentText"/>
    <w:link w:val="CommentSubjectChar"/>
    <w:uiPriority w:val="99"/>
    <w:semiHidden/>
    <w:unhideWhenUsed/>
    <w:rsid w:val="00DD2A77"/>
    <w:rPr>
      <w:b/>
      <w:bCs/>
    </w:rPr>
  </w:style>
  <w:style w:type="character" w:customStyle="1" w:styleId="CommentSubjectChar">
    <w:name w:val="Comment Subject Char"/>
    <w:basedOn w:val="CommentTextChar"/>
    <w:link w:val="CommentSubject"/>
    <w:uiPriority w:val="99"/>
    <w:semiHidden/>
    <w:rsid w:val="00DD2A77"/>
    <w:rPr>
      <w:b/>
      <w:bCs/>
      <w:sz w:val="20"/>
    </w:rPr>
  </w:style>
  <w:style w:type="character" w:styleId="UnresolvedMention">
    <w:name w:val="Unresolved Mention"/>
    <w:basedOn w:val="DefaultParagraphFont"/>
    <w:uiPriority w:val="99"/>
    <w:semiHidden/>
    <w:unhideWhenUsed/>
    <w:rsid w:val="00DD2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fi.doe@education.nt.gov.au" TargetMode="External"/><Relationship Id="rId4" Type="http://schemas.openxmlformats.org/officeDocument/2006/relationships/styles" Target="styles.xml"/><Relationship Id="rId9" Type="http://schemas.openxmlformats.org/officeDocument/2006/relationships/hyperlink" Target="https://elearn.ntschools.net/pal/writing-and-publishing-operational-polic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elearn.ntschools.net/pal/writing-and-publishing-operational-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4</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&lt;Form title&gt;</vt:lpstr>
    </vt:vector>
  </TitlesOfParts>
  <Company>Education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disclosure - consent form checklist</dc:title>
  <dc:creator>Northern Territory Government</dc:creator>
  <cp:lastModifiedBy>Gail Barwick</cp:lastModifiedBy>
  <cp:revision>4</cp:revision>
  <cp:lastPrinted>2019-07-29T01:45:00Z</cp:lastPrinted>
  <dcterms:created xsi:type="dcterms:W3CDTF">2024-02-15T06:00:00Z</dcterms:created>
  <dcterms:modified xsi:type="dcterms:W3CDTF">2024-02-16T01:38:00Z</dcterms:modified>
</cp:coreProperties>
</file>