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20CD" w14:textId="3FD87056" w:rsidR="002406F8" w:rsidRDefault="00707266" w:rsidP="003C341D">
      <w:pPr>
        <w:pStyle w:val="Heading1"/>
      </w:pPr>
      <w:r w:rsidRPr="00195D9D">
        <w:t>Policy</w:t>
      </w:r>
      <w:r w:rsidR="002406F8" w:rsidRPr="00195D9D">
        <w:t xml:space="preserve"> </w:t>
      </w:r>
      <w:r w:rsidR="009A7977">
        <w:t>summary</w:t>
      </w:r>
    </w:p>
    <w:p w14:paraId="0E283636" w14:textId="4B2F7470" w:rsidR="002406F8" w:rsidRPr="00F52AEC" w:rsidRDefault="002406F8" w:rsidP="00F52AEC">
      <w:r w:rsidRPr="00F52AEC">
        <w:t>Alcohol must not be consumed on any Department of Education (</w:t>
      </w:r>
      <w:r w:rsidR="003C341D">
        <w:t xml:space="preserve">the </w:t>
      </w:r>
      <w:r w:rsidRPr="00F52AEC">
        <w:t xml:space="preserve">department) premises during normal working or school hours, except in exceptional circumstances, in which case prior approval must be sought as outlined in the procedures </w:t>
      </w:r>
      <w:r w:rsidR="00F52AEC">
        <w:t xml:space="preserve">in </w:t>
      </w:r>
      <w:r w:rsidRPr="00F52AEC">
        <w:t xml:space="preserve">section </w:t>
      </w:r>
      <w:r w:rsidR="00F52AEC">
        <w:t xml:space="preserve">6 </w:t>
      </w:r>
      <w:r w:rsidRPr="00F52AEC">
        <w:t>of this policy. The area in which alcohol is to be supplied on department premises must be a discrete area with controlled access.</w:t>
      </w:r>
    </w:p>
    <w:p w14:paraId="37B47203" w14:textId="48935F0B" w:rsidR="002406F8" w:rsidRPr="00F52AEC" w:rsidRDefault="002406F8" w:rsidP="00F52AEC">
      <w:r w:rsidRPr="00F52AEC">
        <w:t>Under no circumstances should alcohol be consumed on any department premises in communities that are in alcohol restricted areas.</w:t>
      </w:r>
    </w:p>
    <w:p w14:paraId="2086A001" w14:textId="03093DF0" w:rsidR="002406F8" w:rsidRPr="00F52AEC" w:rsidRDefault="002406F8" w:rsidP="00F52AEC">
      <w:r w:rsidRPr="00F52AEC">
        <w:t>Staff must not drink alcohol when they have a continuing responsibility for students. This includes any school activity that is held during or outside normal school hours, regardless of any approval under exceptional circumstances.</w:t>
      </w:r>
    </w:p>
    <w:p w14:paraId="67B501B4" w14:textId="734B72F3" w:rsidR="002406F8" w:rsidRPr="00F52AEC" w:rsidRDefault="002406F8" w:rsidP="00F52AEC">
      <w:r w:rsidRPr="00F52AEC">
        <w:t>Schools have a duty to ensure that the supervision of children is appropriate at all times and the reputation of the school is not damaged by inappropriate behaviour.</w:t>
      </w:r>
      <w:r w:rsidR="00216935">
        <w:t xml:space="preserve"> </w:t>
      </w:r>
      <w:r w:rsidRPr="00F52AEC">
        <w:t>Alcohol must not be sold or supplied to students, for their own consumption or the consumption of others, at school functions or at any school activity.</w:t>
      </w:r>
    </w:p>
    <w:p w14:paraId="260F5133" w14:textId="77777777" w:rsidR="002406F8" w:rsidRPr="00F52AEC" w:rsidRDefault="002406F8" w:rsidP="00F52AEC">
      <w:pPr>
        <w:pStyle w:val="Heading2"/>
      </w:pPr>
      <w:r w:rsidRPr="00F52AEC">
        <w:t>School functions</w:t>
      </w:r>
    </w:p>
    <w:p w14:paraId="1A67FA18" w14:textId="0E2142B9" w:rsidR="002406F8" w:rsidRPr="00F52AEC" w:rsidRDefault="002406F8" w:rsidP="00C12382">
      <w:r w:rsidRPr="00F52AEC">
        <w:t>The department will not support the availability of alcohol at school functions that are predominantly aimed at children. Such functions would include sports days, school concerts and presentations or graduation events where student activities are the focus.</w:t>
      </w:r>
    </w:p>
    <w:p w14:paraId="21F21DF9" w14:textId="45846450" w:rsidR="002406F8" w:rsidRPr="00E9378B" w:rsidRDefault="002406F8" w:rsidP="00F52AEC">
      <w:pPr>
        <w:pStyle w:val="BlockText"/>
      </w:pPr>
      <w:r w:rsidRPr="00B44508">
        <w:t>Schools may have occasions where alcoholic beverages are made available at a school function where children are not the focus.</w:t>
      </w:r>
      <w:r w:rsidR="00216935">
        <w:t xml:space="preserve"> </w:t>
      </w:r>
      <w:r w:rsidRPr="00B44508">
        <w:t>Such an occasion would include a quiz night fundraising activity.</w:t>
      </w:r>
      <w:r w:rsidR="00216935">
        <w:t xml:space="preserve"> </w:t>
      </w:r>
      <w:r w:rsidRPr="00B44508">
        <w:t xml:space="preserve">In which case, prior endorsement must be sought from the school representative body as outlined in this policy and a </w:t>
      </w:r>
      <w:r w:rsidR="009B2D2D">
        <w:t>s</w:t>
      </w:r>
      <w:r w:rsidRPr="00B44508">
        <w:t xml:space="preserve">pecial </w:t>
      </w:r>
      <w:r w:rsidR="00216935">
        <w:t>l</w:t>
      </w:r>
      <w:r w:rsidRPr="00B44508">
        <w:t xml:space="preserve">iquor </w:t>
      </w:r>
      <w:r w:rsidR="00216935">
        <w:t>l</w:t>
      </w:r>
      <w:r w:rsidRPr="00B44508">
        <w:t>icence must be obtained as appropriate.</w:t>
      </w:r>
    </w:p>
    <w:p w14:paraId="60749639" w14:textId="77048E30" w:rsidR="002406F8" w:rsidRPr="00E9378B" w:rsidRDefault="002406F8" w:rsidP="00F52AEC">
      <w:pPr>
        <w:pStyle w:val="BlockText"/>
      </w:pPr>
      <w:r w:rsidRPr="00025BE1">
        <w:t>In the case of hospitality training functions, only adults, including adult students, may serve alcohol.</w:t>
      </w:r>
      <w:r w:rsidR="00216935">
        <w:t xml:space="preserve"> </w:t>
      </w:r>
      <w:r w:rsidRPr="00B44508">
        <w:t>Where alcohol is to be served at hospitality training functions, the consent of parents of students aged less than 18 years must be obtained before these students attend. All students present at hospitality training functions are to be closely supervised by staff.</w:t>
      </w:r>
    </w:p>
    <w:p w14:paraId="73B3EE75" w14:textId="1093BD78" w:rsidR="002406F8" w:rsidRPr="00F52AEC" w:rsidRDefault="002406F8" w:rsidP="00F52AEC">
      <w:pPr>
        <w:pStyle w:val="Heading2"/>
      </w:pPr>
      <w:r w:rsidRPr="00F52AEC">
        <w:t>After</w:t>
      </w:r>
      <w:r w:rsidR="003C341D">
        <w:t xml:space="preserve"> </w:t>
      </w:r>
      <w:r w:rsidRPr="00F52AEC">
        <w:t>hours staff only gatherings</w:t>
      </w:r>
    </w:p>
    <w:p w14:paraId="3099ECE4" w14:textId="29E5B46B" w:rsidR="00F52AEC" w:rsidRDefault="002406F8" w:rsidP="00F52AEC">
      <w:pPr>
        <w:pStyle w:val="BlockText"/>
      </w:pPr>
      <w:r w:rsidRPr="00B44508">
        <w:t>In the case of staff only non-formal</w:t>
      </w:r>
      <w:r w:rsidRPr="00B44508">
        <w:rPr>
          <w:b/>
        </w:rPr>
        <w:t xml:space="preserve"> </w:t>
      </w:r>
      <w:r w:rsidRPr="00E9378B">
        <w:t xml:space="preserve">gatherings </w:t>
      </w:r>
      <w:r w:rsidRPr="00025BE1">
        <w:t xml:space="preserve">after hours, supply of alcohol without sale does not require a </w:t>
      </w:r>
      <w:r w:rsidR="009B2D2D">
        <w:t>s</w:t>
      </w:r>
      <w:r w:rsidRPr="00025BE1">
        <w:t xml:space="preserve">pecial </w:t>
      </w:r>
      <w:r w:rsidR="00216935">
        <w:t>l</w:t>
      </w:r>
      <w:r w:rsidRPr="00B44508">
        <w:t xml:space="preserve">iquor </w:t>
      </w:r>
      <w:r w:rsidR="00216935">
        <w:t>l</w:t>
      </w:r>
      <w:r w:rsidRPr="00B44508">
        <w:t xml:space="preserve">icence. Where alcohol is to be made available for sale, the appropriate liquor licensing requirements under the </w:t>
      </w:r>
      <w:r w:rsidRPr="00025BE1">
        <w:rPr>
          <w:i/>
        </w:rPr>
        <w:t>Liquor Act</w:t>
      </w:r>
      <w:r w:rsidR="00216935">
        <w:rPr>
          <w:i/>
        </w:rPr>
        <w:t xml:space="preserve"> 2019</w:t>
      </w:r>
      <w:r w:rsidRPr="00B44508">
        <w:t xml:space="preserve"> must be adhered to.</w:t>
      </w:r>
    </w:p>
    <w:p w14:paraId="3C828D7D" w14:textId="4A015801" w:rsidR="002406F8" w:rsidRPr="003C341D" w:rsidRDefault="002406F8" w:rsidP="003C341D">
      <w:pPr>
        <w:pStyle w:val="Heading2"/>
      </w:pPr>
      <w:r w:rsidRPr="003C341D">
        <w:t>Community use of departmental facilities</w:t>
      </w:r>
    </w:p>
    <w:p w14:paraId="777AB871" w14:textId="7EB02969" w:rsidR="002406F8" w:rsidRPr="00E9378B" w:rsidRDefault="002406F8" w:rsidP="00F52AEC">
      <w:pPr>
        <w:pStyle w:val="BlockText"/>
      </w:pPr>
      <w:r w:rsidRPr="00B44508">
        <w:t>Alcohol available for consumption must be properly controlled where department premises are being used for a function by an outside or community body. Agreements for use of the facility by outside bodies must include a provision to this effect.</w:t>
      </w:r>
    </w:p>
    <w:p w14:paraId="3A02C48E" w14:textId="77777777" w:rsidR="002406F8" w:rsidRPr="00F52AEC" w:rsidRDefault="002406F8" w:rsidP="00F52AEC">
      <w:pPr>
        <w:pStyle w:val="Heading2"/>
      </w:pPr>
      <w:r w:rsidRPr="00F52AEC">
        <w:lastRenderedPageBreak/>
        <w:t>School fundraising prizes</w:t>
      </w:r>
    </w:p>
    <w:p w14:paraId="173B5F05" w14:textId="77777777" w:rsidR="002406F8" w:rsidRPr="00F52AEC" w:rsidRDefault="002406F8" w:rsidP="00F52AEC">
      <w:pPr>
        <w:rPr>
          <w:lang w:val="en-US"/>
        </w:rPr>
      </w:pPr>
      <w:r w:rsidRPr="00F52AEC">
        <w:rPr>
          <w:rFonts w:cs="Arial"/>
        </w:rPr>
        <w:t>A prize offered for a school fundraising activity may include alcohol only in accordance with section 20 of the Gaming Control (Community Gaming) Regulations</w:t>
      </w:r>
      <w:r w:rsidR="006C7584">
        <w:rPr>
          <w:rFonts w:cs="Arial"/>
        </w:rPr>
        <w:t xml:space="preserve"> 2006.</w:t>
      </w:r>
    </w:p>
    <w:p w14:paraId="62040A76" w14:textId="4623E204" w:rsidR="002406F8" w:rsidRPr="00F52AEC" w:rsidRDefault="009A7977" w:rsidP="003C341D">
      <w:pPr>
        <w:pStyle w:val="Heading1"/>
        <w:rPr>
          <w:rFonts w:cs="Arial"/>
          <w:b/>
          <w:bCs/>
          <w:sz w:val="28"/>
          <w:szCs w:val="28"/>
          <w:lang w:val="en-US"/>
        </w:rPr>
      </w:pPr>
      <w:r>
        <w:t>Purpose</w:t>
      </w:r>
    </w:p>
    <w:p w14:paraId="501228AF" w14:textId="60137272" w:rsidR="002406F8" w:rsidRPr="00F52AEC" w:rsidRDefault="002406F8" w:rsidP="00F52AEC">
      <w:pPr>
        <w:rPr>
          <w:rFonts w:cs="Arial"/>
          <w:bCs/>
          <w:lang w:val="en-US"/>
        </w:rPr>
      </w:pPr>
      <w:r w:rsidRPr="00F52AEC">
        <w:rPr>
          <w:rFonts w:cs="Arial"/>
          <w:bCs/>
          <w:lang w:val="en-US"/>
        </w:rPr>
        <w:t xml:space="preserve">This policy will ensure a clear and consistent approach for the management and approval process for the consumption of alcohol on department </w:t>
      </w:r>
      <w:r w:rsidR="00F52AEC" w:rsidRPr="00F52AEC">
        <w:rPr>
          <w:rFonts w:cs="Arial"/>
          <w:bCs/>
          <w:lang w:val="en-US"/>
        </w:rPr>
        <w:t>premises and</w:t>
      </w:r>
      <w:r w:rsidRPr="00F52AEC">
        <w:rPr>
          <w:rFonts w:cs="Arial"/>
          <w:bCs/>
          <w:lang w:val="en-US"/>
        </w:rPr>
        <w:t xml:space="preserve"> ensure compliance with relevant legislation and delegations.</w:t>
      </w:r>
    </w:p>
    <w:p w14:paraId="623D8AF0" w14:textId="17DFFE1E" w:rsidR="002406F8" w:rsidRPr="00F52AEC" w:rsidRDefault="00707266" w:rsidP="003C341D">
      <w:pPr>
        <w:pStyle w:val="Heading1"/>
        <w:rPr>
          <w:rFonts w:cs="Arial"/>
          <w:b/>
          <w:bCs/>
          <w:sz w:val="28"/>
          <w:szCs w:val="28"/>
          <w:lang w:val="en-US"/>
        </w:rPr>
      </w:pPr>
      <w:r w:rsidRPr="00195D9D">
        <w:rPr>
          <w:lang w:val="en-US"/>
        </w:rPr>
        <w:t>Scope</w:t>
      </w:r>
    </w:p>
    <w:p w14:paraId="44814881" w14:textId="01EE1A37" w:rsidR="002406F8" w:rsidRDefault="002406F8" w:rsidP="00F52AEC">
      <w:pPr>
        <w:rPr>
          <w:rFonts w:cs="Arial"/>
          <w:bCs/>
          <w:lang w:val="en-US"/>
        </w:rPr>
      </w:pPr>
      <w:r w:rsidRPr="00F52AEC">
        <w:rPr>
          <w:rFonts w:cs="Arial"/>
          <w:bCs/>
          <w:lang w:val="en-US"/>
        </w:rPr>
        <w:t>This policy applies to the use of all Northern Territory Government schools and other department premises, as well as school functions and school activities not held on department premises.</w:t>
      </w:r>
    </w:p>
    <w:p w14:paraId="40091829" w14:textId="77777777" w:rsidR="003C341D" w:rsidRDefault="003C341D" w:rsidP="003C341D">
      <w:pPr>
        <w:pStyle w:val="Heading1"/>
      </w:pPr>
      <w:r w:rsidRPr="00F3258F">
        <w:t>P</w:t>
      </w:r>
      <w:r>
        <w:t>rocedures for gaining prior approval</w:t>
      </w:r>
    </w:p>
    <w:p w14:paraId="37F0C5A5" w14:textId="6F9E8963" w:rsidR="003C341D" w:rsidRPr="00F52AEC" w:rsidRDefault="003C341D" w:rsidP="003C341D">
      <w:pPr>
        <w:pStyle w:val="Heading2"/>
      </w:pPr>
      <w:r w:rsidRPr="00F52AEC">
        <w:t>Functions on non</w:t>
      </w:r>
      <w:r w:rsidR="001125AA">
        <w:t xml:space="preserve"> </w:t>
      </w:r>
      <w:r w:rsidRPr="00F52AEC">
        <w:t>school premises</w:t>
      </w:r>
    </w:p>
    <w:p w14:paraId="2ADB223C" w14:textId="77777777" w:rsidR="003C341D" w:rsidRPr="00F52AEC" w:rsidRDefault="003C341D" w:rsidP="003C341D">
      <w:pPr>
        <w:rPr>
          <w:rFonts w:cs="Arial"/>
        </w:rPr>
      </w:pPr>
      <w:r w:rsidRPr="00F52AEC">
        <w:rPr>
          <w:rFonts w:cs="Arial"/>
        </w:rPr>
        <w:t xml:space="preserve">Written approval from the Chief Executive is required where it is intended to serve alcohol on department premises during normal working or school hours. Applications should include details of the purpose, date and times of the function or occasion. Where a function or occasion might be defined as a hospitality event, including purchasing alcohol with department funds, approval should be obtained as outlined in the Hospitality, </w:t>
      </w:r>
      <w:r>
        <w:rPr>
          <w:rFonts w:cs="Arial"/>
        </w:rPr>
        <w:t>e</w:t>
      </w:r>
      <w:r w:rsidRPr="00F52AEC">
        <w:rPr>
          <w:rFonts w:cs="Arial"/>
        </w:rPr>
        <w:t xml:space="preserve">ntertainment and </w:t>
      </w:r>
      <w:r>
        <w:rPr>
          <w:rFonts w:cs="Arial"/>
        </w:rPr>
        <w:t>w</w:t>
      </w:r>
      <w:r w:rsidRPr="00F52AEC">
        <w:rPr>
          <w:rFonts w:cs="Arial"/>
        </w:rPr>
        <w:t xml:space="preserve">ork </w:t>
      </w:r>
      <w:r>
        <w:rPr>
          <w:rFonts w:cs="Arial"/>
        </w:rPr>
        <w:t>r</w:t>
      </w:r>
      <w:r w:rsidRPr="00F52AEC">
        <w:rPr>
          <w:rFonts w:cs="Arial"/>
        </w:rPr>
        <w:t>efreshments</w:t>
      </w:r>
      <w:r>
        <w:rPr>
          <w:rFonts w:cs="Arial"/>
        </w:rPr>
        <w:t xml:space="preserve"> guidelines and procedures</w:t>
      </w:r>
      <w:r w:rsidRPr="00F52AEC">
        <w:rPr>
          <w:rFonts w:cs="Arial"/>
        </w:rPr>
        <w:t>.</w:t>
      </w:r>
    </w:p>
    <w:p w14:paraId="33BD22BA" w14:textId="77777777" w:rsidR="003C341D" w:rsidRPr="00F52AEC" w:rsidRDefault="003C341D" w:rsidP="003C341D">
      <w:pPr>
        <w:spacing w:before="120"/>
        <w:rPr>
          <w:rFonts w:cs="Arial"/>
        </w:rPr>
      </w:pPr>
      <w:r w:rsidRPr="00F52AEC">
        <w:rPr>
          <w:rFonts w:cs="Arial"/>
        </w:rPr>
        <w:t xml:space="preserve">Written approval of the </w:t>
      </w:r>
      <w:r>
        <w:rPr>
          <w:rFonts w:cs="Arial"/>
        </w:rPr>
        <w:t>d</w:t>
      </w:r>
      <w:r w:rsidRPr="00F52AEC">
        <w:rPr>
          <w:rFonts w:cs="Arial"/>
        </w:rPr>
        <w:t>ivision</w:t>
      </w:r>
      <w:r>
        <w:rPr>
          <w:rFonts w:cs="Arial"/>
        </w:rPr>
        <w:t xml:space="preserve"> or b</w:t>
      </w:r>
      <w:r w:rsidRPr="00F52AEC">
        <w:rPr>
          <w:rFonts w:cs="Arial"/>
        </w:rPr>
        <w:t xml:space="preserve">ranch </w:t>
      </w:r>
      <w:r>
        <w:rPr>
          <w:rFonts w:cs="Arial"/>
        </w:rPr>
        <w:t>h</w:t>
      </w:r>
      <w:r w:rsidRPr="00F52AEC">
        <w:rPr>
          <w:rFonts w:cs="Arial"/>
        </w:rPr>
        <w:t xml:space="preserve">ead or </w:t>
      </w:r>
      <w:r>
        <w:rPr>
          <w:rFonts w:cs="Arial"/>
        </w:rPr>
        <w:t>principal</w:t>
      </w:r>
      <w:r w:rsidRPr="00F52AEC">
        <w:rPr>
          <w:rFonts w:cs="Arial"/>
        </w:rPr>
        <w:t xml:space="preserve"> is required where it is intended to serve alcohol on department premises outside of normal working hours.</w:t>
      </w:r>
      <w:r>
        <w:rPr>
          <w:rFonts w:cs="Arial"/>
        </w:rPr>
        <w:t xml:space="preserve"> </w:t>
      </w:r>
      <w:r w:rsidRPr="00F52AEC">
        <w:rPr>
          <w:rFonts w:cs="Arial"/>
        </w:rPr>
        <w:t>A written request for the approval of the function setting out the purpose, date and times of the function should be submitted.</w:t>
      </w:r>
    </w:p>
    <w:p w14:paraId="79EA059F" w14:textId="77777777" w:rsidR="003C341D" w:rsidRPr="00F52AEC" w:rsidRDefault="003C341D" w:rsidP="003C341D">
      <w:pPr>
        <w:pStyle w:val="Heading2"/>
      </w:pPr>
      <w:r w:rsidRPr="00F52AEC">
        <w:t>Functions on school premises</w:t>
      </w:r>
    </w:p>
    <w:p w14:paraId="21E68C9D" w14:textId="77777777" w:rsidR="003C341D" w:rsidRPr="00F52AEC" w:rsidRDefault="003C341D" w:rsidP="003C341D">
      <w:pPr>
        <w:spacing w:after="120"/>
        <w:rPr>
          <w:rFonts w:cs="Arial"/>
          <w:bCs/>
        </w:rPr>
      </w:pPr>
      <w:r w:rsidRPr="00F52AEC">
        <w:rPr>
          <w:rFonts w:cs="Arial"/>
          <w:bCs/>
        </w:rPr>
        <w:t>Consumption of alcohol after school hours is only permitted on social and school fundraising occasions involving staff or parents as outlined in this policy.</w:t>
      </w:r>
      <w:r>
        <w:rPr>
          <w:rFonts w:cs="Arial"/>
          <w:bCs/>
        </w:rPr>
        <w:t xml:space="preserve"> </w:t>
      </w:r>
      <w:r w:rsidRPr="00F52AEC">
        <w:rPr>
          <w:rFonts w:cs="Arial"/>
          <w:bCs/>
        </w:rPr>
        <w:t>The following procedures must be followed on each occasion where schools wish to provide or sell alcohol:</w:t>
      </w:r>
    </w:p>
    <w:p w14:paraId="24AD3396" w14:textId="77777777" w:rsidR="003C341D" w:rsidRPr="00F52AEC" w:rsidRDefault="003C341D" w:rsidP="001125AA">
      <w:pPr>
        <w:pStyle w:val="ListParagraph"/>
        <w:numPr>
          <w:ilvl w:val="0"/>
          <w:numId w:val="56"/>
        </w:numPr>
        <w:ind w:left="567" w:hanging="283"/>
        <w:rPr>
          <w:rFonts w:cs="Arial"/>
        </w:rPr>
      </w:pPr>
      <w:r>
        <w:rPr>
          <w:rFonts w:cs="Arial"/>
        </w:rPr>
        <w:t>p</w:t>
      </w:r>
      <w:r w:rsidRPr="00F52AEC">
        <w:rPr>
          <w:rFonts w:cs="Arial"/>
        </w:rPr>
        <w:t>roposal for the function is presented to the school representative body for endorsement</w:t>
      </w:r>
    </w:p>
    <w:p w14:paraId="23A0BF16" w14:textId="77777777" w:rsidR="003C341D" w:rsidRPr="00F52AEC" w:rsidRDefault="003C341D" w:rsidP="001125AA">
      <w:pPr>
        <w:pStyle w:val="ListParagraph"/>
        <w:numPr>
          <w:ilvl w:val="0"/>
          <w:numId w:val="56"/>
        </w:numPr>
        <w:ind w:left="567" w:hanging="283"/>
        <w:jc w:val="both"/>
        <w:rPr>
          <w:rFonts w:cs="Arial"/>
        </w:rPr>
      </w:pPr>
      <w:r>
        <w:rPr>
          <w:rFonts w:cs="Arial"/>
        </w:rPr>
        <w:t>a</w:t>
      </w:r>
      <w:r w:rsidRPr="00F52AEC">
        <w:rPr>
          <w:rFonts w:cs="Arial"/>
        </w:rPr>
        <w:t xml:space="preserve">pplication for consumption of alcohol on department premises is submitted to the </w:t>
      </w:r>
      <w:r>
        <w:rPr>
          <w:rFonts w:cs="Arial"/>
        </w:rPr>
        <w:t>principal</w:t>
      </w:r>
      <w:r w:rsidRPr="00F52AEC">
        <w:rPr>
          <w:rFonts w:cs="Arial"/>
        </w:rPr>
        <w:t xml:space="preserve"> for outside school hours functions</w:t>
      </w:r>
      <w:r>
        <w:rPr>
          <w:rFonts w:cs="Arial"/>
        </w:rPr>
        <w:t>,</w:t>
      </w:r>
      <w:r w:rsidRPr="00F52AEC">
        <w:rPr>
          <w:rFonts w:cs="Arial"/>
        </w:rPr>
        <w:t xml:space="preserve"> or </w:t>
      </w:r>
      <w:r>
        <w:rPr>
          <w:rFonts w:cs="Arial"/>
        </w:rPr>
        <w:t xml:space="preserve">the </w:t>
      </w:r>
      <w:r w:rsidRPr="00F52AEC">
        <w:rPr>
          <w:rFonts w:cs="Arial"/>
        </w:rPr>
        <w:t>Chief Executive for functions within school hours</w:t>
      </w:r>
      <w:r>
        <w:rPr>
          <w:rFonts w:cs="Arial"/>
        </w:rPr>
        <w:t>,</w:t>
      </w:r>
      <w:r w:rsidRPr="00F52AEC">
        <w:rPr>
          <w:rFonts w:cs="Arial"/>
        </w:rPr>
        <w:t xml:space="preserve"> for approval</w:t>
      </w:r>
    </w:p>
    <w:p w14:paraId="68CF6E4E" w14:textId="7C819DCA" w:rsidR="003C341D" w:rsidRDefault="003C341D" w:rsidP="001125AA">
      <w:pPr>
        <w:pStyle w:val="ListParagraph"/>
        <w:numPr>
          <w:ilvl w:val="0"/>
          <w:numId w:val="56"/>
        </w:numPr>
        <w:ind w:left="567" w:hanging="283"/>
        <w:rPr>
          <w:rFonts w:cs="Arial"/>
        </w:rPr>
      </w:pPr>
      <w:r>
        <w:rPr>
          <w:rFonts w:cs="Arial"/>
        </w:rPr>
        <w:t>i</w:t>
      </w:r>
      <w:r w:rsidRPr="00F52AEC">
        <w:rPr>
          <w:rFonts w:cs="Arial"/>
        </w:rPr>
        <w:t xml:space="preserve">f endorsed by school representative body and approved by </w:t>
      </w:r>
      <w:r>
        <w:rPr>
          <w:rFonts w:cs="Arial"/>
        </w:rPr>
        <w:t xml:space="preserve">the principal or </w:t>
      </w:r>
      <w:r w:rsidRPr="00F52AEC">
        <w:rPr>
          <w:rFonts w:cs="Arial"/>
        </w:rPr>
        <w:t xml:space="preserve">Chief Executive, the </w:t>
      </w:r>
      <w:r>
        <w:rPr>
          <w:rFonts w:cs="Arial"/>
        </w:rPr>
        <w:t>principal</w:t>
      </w:r>
      <w:r w:rsidRPr="00F52AEC">
        <w:rPr>
          <w:rFonts w:cs="Arial"/>
        </w:rPr>
        <w:t xml:space="preserve"> applies to Licensing </w:t>
      </w:r>
      <w:r>
        <w:rPr>
          <w:rFonts w:cs="Arial"/>
        </w:rPr>
        <w:t>NT</w:t>
      </w:r>
      <w:r w:rsidRPr="00F52AEC">
        <w:rPr>
          <w:rFonts w:cs="Arial"/>
        </w:rPr>
        <w:t xml:space="preserve"> for a </w:t>
      </w:r>
      <w:r>
        <w:rPr>
          <w:rFonts w:cs="Arial"/>
        </w:rPr>
        <w:t>s</w:t>
      </w:r>
      <w:r w:rsidRPr="00F52AEC">
        <w:rPr>
          <w:rFonts w:cs="Arial"/>
        </w:rPr>
        <w:t xml:space="preserve">pecial </w:t>
      </w:r>
      <w:r>
        <w:rPr>
          <w:rFonts w:cs="Arial"/>
        </w:rPr>
        <w:t>l</w:t>
      </w:r>
      <w:r w:rsidRPr="00F52AEC">
        <w:rPr>
          <w:rFonts w:cs="Arial"/>
        </w:rPr>
        <w:t xml:space="preserve">iquor </w:t>
      </w:r>
      <w:r>
        <w:rPr>
          <w:rFonts w:cs="Arial"/>
        </w:rPr>
        <w:t>l</w:t>
      </w:r>
      <w:r w:rsidRPr="00F52AEC">
        <w:rPr>
          <w:rFonts w:cs="Arial"/>
        </w:rPr>
        <w:t>icence to sell alcohol. Applications are available online</w:t>
      </w:r>
      <w:r>
        <w:rPr>
          <w:rStyle w:val="FootnoteReference"/>
          <w:rFonts w:cs="Arial"/>
        </w:rPr>
        <w:footnoteReference w:id="1"/>
      </w:r>
      <w:r w:rsidRPr="00F52AEC">
        <w:rPr>
          <w:rFonts w:cs="Arial"/>
        </w:rPr>
        <w:t xml:space="preserve"> </w:t>
      </w:r>
      <w:r>
        <w:rPr>
          <w:rFonts w:cs="Arial"/>
        </w:rPr>
        <w:t>and</w:t>
      </w:r>
      <w:r w:rsidRPr="00F52AEC">
        <w:rPr>
          <w:rFonts w:cs="Arial"/>
        </w:rPr>
        <w:t xml:space="preserve"> must be received at least 7 days prior to the event</w:t>
      </w:r>
    </w:p>
    <w:p w14:paraId="78C792D4" w14:textId="4F37AE88" w:rsidR="003C341D" w:rsidRDefault="003C341D" w:rsidP="001125AA">
      <w:pPr>
        <w:pStyle w:val="ListParagraph"/>
        <w:numPr>
          <w:ilvl w:val="0"/>
          <w:numId w:val="56"/>
        </w:numPr>
        <w:spacing w:after="200"/>
        <w:ind w:left="567" w:hanging="283"/>
        <w:rPr>
          <w:rFonts w:cs="Arial"/>
        </w:rPr>
      </w:pPr>
      <w:r>
        <w:rPr>
          <w:rFonts w:cs="Arial"/>
        </w:rPr>
        <w:t xml:space="preserve">if </w:t>
      </w:r>
      <w:r w:rsidRPr="002615F3">
        <w:rPr>
          <w:rFonts w:cs="Arial"/>
        </w:rPr>
        <w:t>a</w:t>
      </w:r>
      <w:r>
        <w:rPr>
          <w:rFonts w:cs="Arial"/>
        </w:rPr>
        <w:t xml:space="preserve"> principal</w:t>
      </w:r>
      <w:r w:rsidRPr="002615F3">
        <w:rPr>
          <w:rFonts w:cs="Arial"/>
        </w:rPr>
        <w:t xml:space="preserve"> is uncertain </w:t>
      </w:r>
      <w:r>
        <w:rPr>
          <w:rFonts w:cs="Arial"/>
        </w:rPr>
        <w:t>if</w:t>
      </w:r>
      <w:r w:rsidRPr="002615F3">
        <w:rPr>
          <w:rFonts w:cs="Arial"/>
        </w:rPr>
        <w:t xml:space="preserve"> a license is required, then advice should be sought from Licensing </w:t>
      </w:r>
      <w:r>
        <w:rPr>
          <w:rFonts w:cs="Arial"/>
        </w:rPr>
        <w:t>NT</w:t>
      </w:r>
      <w:r w:rsidRPr="002615F3">
        <w:rPr>
          <w:rFonts w:cs="Arial"/>
        </w:rPr>
        <w:t xml:space="preserve"> </w:t>
      </w:r>
      <w:r>
        <w:rPr>
          <w:rFonts w:cs="Arial"/>
        </w:rPr>
        <w:t>via</w:t>
      </w:r>
      <w:r w:rsidRPr="002615F3">
        <w:rPr>
          <w:rFonts w:cs="Arial"/>
        </w:rPr>
        <w:t xml:space="preserve"> telephone </w:t>
      </w:r>
      <w:r>
        <w:rPr>
          <w:rFonts w:cs="Arial"/>
        </w:rPr>
        <w:t>on</w:t>
      </w:r>
      <w:r w:rsidRPr="002615F3">
        <w:rPr>
          <w:rFonts w:cs="Arial"/>
        </w:rPr>
        <w:t xml:space="preserve"> 8999 1800</w:t>
      </w:r>
      <w:r>
        <w:rPr>
          <w:rFonts w:cs="Arial"/>
        </w:rPr>
        <w:t xml:space="preserve"> or email at </w:t>
      </w:r>
      <w:hyperlink r:id="rId9" w:history="1">
        <w:r w:rsidRPr="00654F29">
          <w:rPr>
            <w:rStyle w:val="Hyperlink"/>
            <w:rFonts w:cs="Arial"/>
          </w:rPr>
          <w:t>DITT.Licensingnt@nt.gov.au</w:t>
        </w:r>
      </w:hyperlink>
    </w:p>
    <w:p w14:paraId="43B7E486" w14:textId="343CC062" w:rsidR="002406F8" w:rsidRPr="003C341D" w:rsidRDefault="008B5EB5" w:rsidP="003C341D">
      <w:pPr>
        <w:pStyle w:val="Heading1"/>
      </w:pPr>
      <w:r w:rsidRPr="003C341D">
        <w:lastRenderedPageBreak/>
        <w:t>R</w:t>
      </w:r>
      <w:r w:rsidR="00707266" w:rsidRPr="003C341D">
        <w:t>oles and responsibilities</w:t>
      </w:r>
    </w:p>
    <w:p w14:paraId="144B66FD" w14:textId="19AD3AD5" w:rsidR="00C12382" w:rsidRDefault="00C12382" w:rsidP="00C12382">
      <w:pPr>
        <w:pStyle w:val="Heading2"/>
        <w:rPr>
          <w:lang w:val="en-US"/>
        </w:rPr>
      </w:pPr>
      <w:r>
        <w:rPr>
          <w:lang w:val="en-US"/>
        </w:rPr>
        <w:t>All staff</w:t>
      </w:r>
    </w:p>
    <w:p w14:paraId="00C6D46F" w14:textId="6255E552" w:rsidR="002406F8" w:rsidRPr="00F52AEC" w:rsidRDefault="002406F8" w:rsidP="001125AA">
      <w:pPr>
        <w:spacing w:after="120"/>
        <w:rPr>
          <w:rFonts w:cs="Arial"/>
          <w:bCs/>
          <w:lang w:val="en-US"/>
        </w:rPr>
      </w:pPr>
      <w:r w:rsidRPr="00F52AEC">
        <w:rPr>
          <w:rFonts w:cs="Arial"/>
          <w:bCs/>
          <w:lang w:val="en-US"/>
        </w:rPr>
        <w:t>All staff are responsible for:</w:t>
      </w:r>
    </w:p>
    <w:p w14:paraId="66D05215" w14:textId="79D3E46F" w:rsidR="002406F8" w:rsidRPr="00F52AEC" w:rsidRDefault="002406F8" w:rsidP="001125AA">
      <w:pPr>
        <w:pStyle w:val="ListParagraph"/>
        <w:numPr>
          <w:ilvl w:val="0"/>
          <w:numId w:val="59"/>
        </w:numPr>
        <w:ind w:left="567" w:hanging="283"/>
        <w:rPr>
          <w:rFonts w:cs="Arial"/>
          <w:bCs/>
          <w:lang w:val="en-US"/>
        </w:rPr>
      </w:pPr>
      <w:r w:rsidRPr="00F52AEC">
        <w:rPr>
          <w:rFonts w:cs="Arial"/>
          <w:bCs/>
          <w:lang w:val="en-US"/>
        </w:rPr>
        <w:t>complying with this policy</w:t>
      </w:r>
    </w:p>
    <w:p w14:paraId="0455D890" w14:textId="19488D1C" w:rsidR="00AA2CB2" w:rsidRPr="00F52AEC" w:rsidRDefault="002406F8" w:rsidP="001125AA">
      <w:pPr>
        <w:pStyle w:val="ListParagraph"/>
        <w:numPr>
          <w:ilvl w:val="0"/>
          <w:numId w:val="59"/>
        </w:numPr>
        <w:ind w:left="567" w:hanging="283"/>
        <w:rPr>
          <w:rFonts w:cs="Arial"/>
          <w:bCs/>
          <w:lang w:val="en-US"/>
        </w:rPr>
      </w:pPr>
      <w:r w:rsidRPr="00F52AEC">
        <w:rPr>
          <w:rFonts w:cs="Arial"/>
          <w:bCs/>
          <w:lang w:val="en-US"/>
        </w:rPr>
        <w:t>ensuring that legal requirements relating to the sale or supply of alcohol on department premises are adhered to</w:t>
      </w:r>
    </w:p>
    <w:p w14:paraId="72120C7E" w14:textId="7B1B430C" w:rsidR="00361A12" w:rsidRPr="0085297D" w:rsidRDefault="002406F8" w:rsidP="001125AA">
      <w:pPr>
        <w:pStyle w:val="ListParagraph"/>
        <w:numPr>
          <w:ilvl w:val="0"/>
          <w:numId w:val="59"/>
        </w:numPr>
        <w:spacing w:after="200"/>
        <w:ind w:left="567" w:hanging="283"/>
        <w:rPr>
          <w:rFonts w:cs="Arial"/>
          <w:bCs/>
          <w:lang w:val="en-US"/>
        </w:rPr>
      </w:pPr>
      <w:r w:rsidRPr="0085297D">
        <w:rPr>
          <w:rFonts w:cs="Arial"/>
          <w:bCs/>
          <w:lang w:val="en-US"/>
        </w:rPr>
        <w:t>observing appropriate behaviour and working together to ensure alcohol is served and consumed responsibly on department premises.</w:t>
      </w:r>
    </w:p>
    <w:p w14:paraId="5621C8E0" w14:textId="77777777" w:rsidR="00C12382" w:rsidRDefault="00C12382" w:rsidP="00C12382">
      <w:pPr>
        <w:pStyle w:val="Heading2"/>
        <w:rPr>
          <w:lang w:val="en-US"/>
        </w:rPr>
      </w:pPr>
      <w:r>
        <w:rPr>
          <w:lang w:val="en-US"/>
        </w:rPr>
        <w:t>School principals</w:t>
      </w:r>
    </w:p>
    <w:p w14:paraId="456E7A0A" w14:textId="36CC4938" w:rsidR="00C12382" w:rsidRPr="00F52AEC" w:rsidRDefault="00C12382" w:rsidP="001125AA">
      <w:pPr>
        <w:spacing w:after="120"/>
        <w:rPr>
          <w:lang w:val="en-US"/>
        </w:rPr>
      </w:pPr>
      <w:r w:rsidRPr="00F52AEC">
        <w:rPr>
          <w:lang w:val="en-US"/>
        </w:rPr>
        <w:t xml:space="preserve">School </w:t>
      </w:r>
      <w:r>
        <w:rPr>
          <w:lang w:val="en-US"/>
        </w:rPr>
        <w:t>principal</w:t>
      </w:r>
      <w:r w:rsidRPr="00F52AEC">
        <w:rPr>
          <w:lang w:val="en-US"/>
        </w:rPr>
        <w:t>s are responsible for:</w:t>
      </w:r>
    </w:p>
    <w:p w14:paraId="3A4CA135" w14:textId="77777777" w:rsidR="00C12382" w:rsidRPr="00F52AEC" w:rsidRDefault="00C12382" w:rsidP="001125AA">
      <w:pPr>
        <w:pStyle w:val="ListParagraph"/>
        <w:numPr>
          <w:ilvl w:val="0"/>
          <w:numId w:val="55"/>
        </w:numPr>
        <w:ind w:left="567" w:hanging="283"/>
        <w:rPr>
          <w:lang w:val="en-US"/>
        </w:rPr>
      </w:pPr>
      <w:r w:rsidRPr="00F52AEC">
        <w:rPr>
          <w:lang w:val="en-US"/>
        </w:rPr>
        <w:t>ensuring this policy is complied with at their school</w:t>
      </w:r>
    </w:p>
    <w:p w14:paraId="28D14459" w14:textId="77777777" w:rsidR="00C12382" w:rsidRPr="00F52AEC" w:rsidRDefault="00C12382" w:rsidP="001125AA">
      <w:pPr>
        <w:pStyle w:val="ListParagraph"/>
        <w:numPr>
          <w:ilvl w:val="0"/>
          <w:numId w:val="55"/>
        </w:numPr>
        <w:ind w:left="567" w:hanging="283"/>
        <w:rPr>
          <w:lang w:val="en-US"/>
        </w:rPr>
      </w:pPr>
      <w:r w:rsidRPr="00F52AEC">
        <w:rPr>
          <w:lang w:val="en-US"/>
        </w:rPr>
        <w:t>ensuring that all legal requirements relating to the sale or supply of alcohol at school functions are met</w:t>
      </w:r>
    </w:p>
    <w:p w14:paraId="5F581B2A" w14:textId="53C4BC35" w:rsidR="00C12382" w:rsidRDefault="00C12382" w:rsidP="001125AA">
      <w:pPr>
        <w:pStyle w:val="ListParagraph"/>
        <w:numPr>
          <w:ilvl w:val="0"/>
          <w:numId w:val="55"/>
        </w:numPr>
        <w:ind w:left="567" w:hanging="283"/>
        <w:rPr>
          <w:lang w:val="en-US"/>
        </w:rPr>
      </w:pPr>
      <w:r w:rsidRPr="00F52AEC">
        <w:rPr>
          <w:lang w:val="en-US"/>
        </w:rPr>
        <w:t xml:space="preserve">ensuring that the school representative body gives prior endorsement for alcoholic beverages to be available at a school function </w:t>
      </w:r>
    </w:p>
    <w:p w14:paraId="7F37D8DA" w14:textId="2D0CCE6E" w:rsidR="00C12382" w:rsidRPr="00F52AEC" w:rsidRDefault="00C12382" w:rsidP="001125AA">
      <w:pPr>
        <w:pStyle w:val="ListParagraph"/>
        <w:numPr>
          <w:ilvl w:val="0"/>
          <w:numId w:val="55"/>
        </w:numPr>
        <w:ind w:left="567" w:hanging="283"/>
        <w:rPr>
          <w:lang w:val="en-US"/>
        </w:rPr>
      </w:pPr>
      <w:r w:rsidRPr="00F52AEC">
        <w:rPr>
          <w:lang w:val="en-US"/>
        </w:rPr>
        <w:t>notifying parents that alcohol will be served at a school function</w:t>
      </w:r>
    </w:p>
    <w:p w14:paraId="1C873130" w14:textId="77777777" w:rsidR="00C12382" w:rsidRPr="00F52AEC" w:rsidRDefault="00C12382" w:rsidP="001125AA">
      <w:pPr>
        <w:pStyle w:val="ListParagraph"/>
        <w:numPr>
          <w:ilvl w:val="0"/>
          <w:numId w:val="55"/>
        </w:numPr>
        <w:ind w:left="567" w:hanging="283"/>
        <w:rPr>
          <w:lang w:val="en-US"/>
        </w:rPr>
      </w:pPr>
      <w:r w:rsidRPr="00F52AEC">
        <w:rPr>
          <w:lang w:val="en-US"/>
        </w:rPr>
        <w:t>informing spectators, participants and staff attending events primarily directed at children on department premises that the consumption of alcohol, including BYO alcohol is not permitted at such events</w:t>
      </w:r>
    </w:p>
    <w:p w14:paraId="0976BA02" w14:textId="6347B7C4" w:rsidR="00C12382" w:rsidRPr="00F52AEC" w:rsidRDefault="00C12382" w:rsidP="001125AA">
      <w:pPr>
        <w:pStyle w:val="ListParagraph"/>
        <w:numPr>
          <w:ilvl w:val="0"/>
          <w:numId w:val="55"/>
        </w:numPr>
        <w:spacing w:after="200"/>
        <w:ind w:left="567" w:hanging="283"/>
        <w:rPr>
          <w:lang w:val="en-US"/>
        </w:rPr>
      </w:pPr>
      <w:r w:rsidRPr="00F52AEC">
        <w:rPr>
          <w:lang w:val="en-US"/>
        </w:rPr>
        <w:t>seeking the consent of parents of students aged less than eighteen before these students attend hospitality training functions where alcohol is to be served</w:t>
      </w:r>
      <w:r w:rsidR="004D4BC3">
        <w:rPr>
          <w:lang w:val="en-US"/>
        </w:rPr>
        <w:t>.</w:t>
      </w:r>
    </w:p>
    <w:p w14:paraId="44DCBA28" w14:textId="77777777" w:rsidR="00C12382" w:rsidRDefault="00C12382" w:rsidP="00C12382">
      <w:pPr>
        <w:pStyle w:val="Heading2"/>
        <w:rPr>
          <w:lang w:val="en-US"/>
        </w:rPr>
      </w:pPr>
      <w:r>
        <w:rPr>
          <w:lang w:val="en-US"/>
        </w:rPr>
        <w:t>Division heads</w:t>
      </w:r>
    </w:p>
    <w:p w14:paraId="7BFEA785" w14:textId="7A771139" w:rsidR="002406F8" w:rsidRPr="00F52AEC" w:rsidRDefault="002406F8" w:rsidP="001125AA">
      <w:pPr>
        <w:spacing w:after="120"/>
        <w:rPr>
          <w:rFonts w:cs="Arial"/>
          <w:bCs/>
          <w:lang w:val="en-US"/>
        </w:rPr>
      </w:pPr>
      <w:r w:rsidRPr="00F52AEC">
        <w:rPr>
          <w:rFonts w:cs="Arial"/>
          <w:bCs/>
          <w:lang w:val="en-US"/>
        </w:rPr>
        <w:t xml:space="preserve">Division </w:t>
      </w:r>
      <w:r w:rsidR="006C7584">
        <w:rPr>
          <w:rFonts w:cs="Arial"/>
          <w:bCs/>
          <w:lang w:val="en-US"/>
        </w:rPr>
        <w:t>h</w:t>
      </w:r>
      <w:r w:rsidRPr="00F52AEC">
        <w:rPr>
          <w:rFonts w:cs="Arial"/>
          <w:bCs/>
          <w:lang w:val="en-US"/>
        </w:rPr>
        <w:t>eads are responsible for:</w:t>
      </w:r>
    </w:p>
    <w:p w14:paraId="736DA4C1" w14:textId="12D2E9DA" w:rsidR="002406F8" w:rsidRPr="00F52AEC" w:rsidRDefault="002406F8" w:rsidP="001125AA">
      <w:pPr>
        <w:pStyle w:val="ListParagraph"/>
        <w:numPr>
          <w:ilvl w:val="0"/>
          <w:numId w:val="57"/>
        </w:numPr>
        <w:ind w:left="567" w:hanging="283"/>
        <w:rPr>
          <w:rFonts w:cs="Arial"/>
          <w:bCs/>
          <w:lang w:val="en-US"/>
        </w:rPr>
      </w:pPr>
      <w:r w:rsidRPr="00F52AEC">
        <w:rPr>
          <w:rFonts w:cs="Arial"/>
          <w:bCs/>
          <w:lang w:val="en-US"/>
        </w:rPr>
        <w:t>obtaining prior approval from the Chief Executive for functions or events involving consumption of alcohol in any department premises during normal working or school hours</w:t>
      </w:r>
    </w:p>
    <w:p w14:paraId="505681AA" w14:textId="4C6F29B9" w:rsidR="002406F8" w:rsidRDefault="002406F8" w:rsidP="001125AA">
      <w:pPr>
        <w:pStyle w:val="ListParagraph"/>
        <w:numPr>
          <w:ilvl w:val="0"/>
          <w:numId w:val="57"/>
        </w:numPr>
        <w:spacing w:after="200"/>
        <w:ind w:left="567" w:hanging="283"/>
        <w:rPr>
          <w:rFonts w:cs="Arial"/>
          <w:bCs/>
          <w:lang w:val="en-US"/>
        </w:rPr>
      </w:pPr>
      <w:r w:rsidRPr="00F52AEC">
        <w:rPr>
          <w:rFonts w:cs="Arial"/>
          <w:bCs/>
          <w:lang w:val="en-US"/>
        </w:rPr>
        <w:t>approving consumption of alcohol on department premises outside of normal working hours.</w:t>
      </w:r>
    </w:p>
    <w:p w14:paraId="5FA08EF9" w14:textId="5AC0DD11" w:rsidR="00C12382" w:rsidRDefault="00C12382" w:rsidP="00C12382">
      <w:pPr>
        <w:pStyle w:val="Heading2"/>
        <w:rPr>
          <w:lang w:val="en-US"/>
        </w:rPr>
      </w:pPr>
      <w:r>
        <w:rPr>
          <w:lang w:val="en-US"/>
        </w:rPr>
        <w:t>School representative bodies</w:t>
      </w:r>
    </w:p>
    <w:p w14:paraId="6E014390" w14:textId="2149382E" w:rsidR="00771AD6" w:rsidRPr="00771AD6" w:rsidRDefault="00771AD6" w:rsidP="001125AA">
      <w:pPr>
        <w:spacing w:after="120"/>
        <w:rPr>
          <w:lang w:val="en-US"/>
        </w:rPr>
      </w:pPr>
      <w:r>
        <w:rPr>
          <w:lang w:val="en-US"/>
        </w:rPr>
        <w:t>School representative bodies are responsible for:</w:t>
      </w:r>
    </w:p>
    <w:p w14:paraId="38989108" w14:textId="1DAF27AC" w:rsidR="00C12382" w:rsidRPr="00771AD6" w:rsidRDefault="00C12382" w:rsidP="001125AA">
      <w:pPr>
        <w:pStyle w:val="ListParagraph"/>
        <w:numPr>
          <w:ilvl w:val="0"/>
          <w:numId w:val="55"/>
        </w:numPr>
        <w:spacing w:after="200"/>
        <w:ind w:left="567" w:hanging="283"/>
        <w:rPr>
          <w:lang w:val="en-US"/>
        </w:rPr>
      </w:pPr>
      <w:r w:rsidRPr="00F52AEC">
        <w:rPr>
          <w:lang w:val="en-US"/>
        </w:rPr>
        <w:t>endors</w:t>
      </w:r>
      <w:r>
        <w:rPr>
          <w:lang w:val="en-US"/>
        </w:rPr>
        <w:t>ing all requests</w:t>
      </w:r>
      <w:r w:rsidRPr="00F52AEC">
        <w:rPr>
          <w:lang w:val="en-US"/>
        </w:rPr>
        <w:t xml:space="preserve"> for alcoholic beverages to be available at a school function</w:t>
      </w:r>
      <w:r w:rsidR="00771AD6">
        <w:rPr>
          <w:lang w:val="en-US"/>
        </w:rPr>
        <w:t>.</w:t>
      </w:r>
    </w:p>
    <w:p w14:paraId="309CF9DF" w14:textId="77777777" w:rsidR="001125AA" w:rsidRPr="001125AA" w:rsidRDefault="001125AA" w:rsidP="001125AA">
      <w:r w:rsidRPr="001125AA">
        <w:br w:type="page"/>
      </w:r>
    </w:p>
    <w:p w14:paraId="623EBFD0" w14:textId="01AEF942" w:rsidR="003C341D" w:rsidRPr="00F52AEC" w:rsidRDefault="003C341D" w:rsidP="003C341D">
      <w:pPr>
        <w:pStyle w:val="Heading1"/>
        <w:rPr>
          <w:rFonts w:cs="Arial"/>
          <w:b/>
          <w:bCs/>
          <w:sz w:val="28"/>
          <w:szCs w:val="28"/>
          <w:lang w:val="en-US"/>
        </w:rPr>
      </w:pPr>
      <w:r w:rsidRPr="00195D9D">
        <w:rPr>
          <w:lang w:val="en-US"/>
        </w:rPr>
        <w:t>Definitions</w:t>
      </w:r>
    </w:p>
    <w:tbl>
      <w:tblPr>
        <w:tblStyle w:val="NTGtable"/>
        <w:tblW w:w="0" w:type="auto"/>
        <w:tblInd w:w="-5" w:type="dxa"/>
        <w:tblLook w:val="04A0" w:firstRow="1" w:lastRow="0" w:firstColumn="1" w:lastColumn="0" w:noHBand="0" w:noVBand="1"/>
      </w:tblPr>
      <w:tblGrid>
        <w:gridCol w:w="2410"/>
        <w:gridCol w:w="7903"/>
      </w:tblGrid>
      <w:tr w:rsidR="003C341D" w:rsidRPr="001125AA" w14:paraId="5667C9BC" w14:textId="77777777" w:rsidTr="001125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1F1F5F" w:themeColor="text1"/>
              <w:bottom w:val="single" w:sz="4" w:space="0" w:color="auto"/>
            </w:tcBorders>
            <w:tcMar>
              <w:top w:w="57" w:type="dxa"/>
              <w:bottom w:w="57" w:type="dxa"/>
            </w:tcMar>
          </w:tcPr>
          <w:p w14:paraId="1C517152" w14:textId="77777777" w:rsidR="003C341D" w:rsidRPr="001125AA" w:rsidRDefault="003C341D" w:rsidP="001125AA">
            <w:pPr>
              <w:spacing w:before="0" w:after="0"/>
              <w:rPr>
                <w:rFonts w:cs="Arial"/>
                <w:color w:val="FFFFFF" w:themeColor="background1"/>
              </w:rPr>
            </w:pPr>
            <w:r w:rsidRPr="001125AA">
              <w:rPr>
                <w:rFonts w:cs="Arial"/>
                <w:color w:val="FFFFFF" w:themeColor="background1"/>
              </w:rPr>
              <w:t>Term</w:t>
            </w:r>
          </w:p>
        </w:tc>
        <w:tc>
          <w:tcPr>
            <w:tcW w:w="7903" w:type="dxa"/>
            <w:tcBorders>
              <w:top w:val="single" w:sz="4" w:space="0" w:color="1F1F5F" w:themeColor="text1"/>
              <w:bottom w:val="single" w:sz="4" w:space="0" w:color="auto"/>
            </w:tcBorders>
            <w:tcMar>
              <w:top w:w="57" w:type="dxa"/>
              <w:bottom w:w="57" w:type="dxa"/>
            </w:tcMar>
          </w:tcPr>
          <w:p w14:paraId="7B7519B2" w14:textId="77777777" w:rsidR="003C341D" w:rsidRPr="001125AA" w:rsidRDefault="003C341D" w:rsidP="001125AA">
            <w:pPr>
              <w:spacing w:before="0" w:after="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1125AA">
              <w:rPr>
                <w:rFonts w:cs="Arial"/>
                <w:color w:val="FFFFFF" w:themeColor="background1"/>
              </w:rPr>
              <w:t>Definition</w:t>
            </w:r>
          </w:p>
        </w:tc>
      </w:tr>
      <w:tr w:rsidR="003C341D" w14:paraId="21F05A3B"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tcMar>
              <w:top w:w="57" w:type="dxa"/>
              <w:bottom w:w="57" w:type="dxa"/>
            </w:tcMar>
          </w:tcPr>
          <w:p w14:paraId="66B305BD" w14:textId="77777777" w:rsidR="003C341D" w:rsidRPr="00F52AEC" w:rsidRDefault="003C341D" w:rsidP="001125AA">
            <w:pPr>
              <w:spacing w:before="0" w:after="0"/>
              <w:rPr>
                <w:rFonts w:cs="Arial"/>
              </w:rPr>
            </w:pPr>
            <w:r w:rsidRPr="00F52AEC">
              <w:rPr>
                <w:rFonts w:cs="Arial"/>
              </w:rPr>
              <w:t>Department premises</w:t>
            </w:r>
          </w:p>
        </w:tc>
        <w:tc>
          <w:tcPr>
            <w:tcW w:w="7903" w:type="dxa"/>
            <w:tcBorders>
              <w:top w:val="single" w:sz="4" w:space="0" w:color="auto"/>
            </w:tcBorders>
            <w:tcMar>
              <w:top w:w="57" w:type="dxa"/>
              <w:bottom w:w="57" w:type="dxa"/>
            </w:tcMar>
          </w:tcPr>
          <w:p w14:paraId="7CF018B2" w14:textId="77777777" w:rsidR="003C341D" w:rsidRPr="00F52AEC" w:rsidRDefault="003C341D" w:rsidP="001125AA">
            <w:pPr>
              <w:spacing w:before="0" w:after="0"/>
              <w:cnfStyle w:val="000000100000" w:firstRow="0" w:lastRow="0" w:firstColumn="0" w:lastColumn="0" w:oddVBand="0" w:evenVBand="0" w:oddHBand="1" w:evenHBand="0" w:firstRowFirstColumn="0" w:firstRowLastColumn="0" w:lastRowFirstColumn="0" w:lastRowLastColumn="0"/>
              <w:rPr>
                <w:rFonts w:cs="Arial"/>
              </w:rPr>
            </w:pPr>
            <w:r>
              <w:rPr>
                <w:rFonts w:cs="Arial"/>
              </w:rPr>
              <w:t>I</w:t>
            </w:r>
            <w:r w:rsidRPr="002615F3">
              <w:rPr>
                <w:rFonts w:cs="Arial"/>
              </w:rPr>
              <w:t>ncludes all department offices, Northern Territory Government school buildings and school grounds</w:t>
            </w:r>
            <w:r>
              <w:rPr>
                <w:rFonts w:cs="Arial"/>
              </w:rPr>
              <w:t>.</w:t>
            </w:r>
          </w:p>
        </w:tc>
      </w:tr>
      <w:tr w:rsidR="003C341D" w14:paraId="73989108" w14:textId="77777777" w:rsidTr="00112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1CC23CC3" w14:textId="77777777" w:rsidR="003C341D" w:rsidRPr="00F52AEC" w:rsidRDefault="003C341D" w:rsidP="001125AA">
            <w:pPr>
              <w:spacing w:before="0" w:after="0"/>
              <w:rPr>
                <w:rFonts w:cs="Arial"/>
              </w:rPr>
            </w:pPr>
            <w:r w:rsidRPr="00F52AEC">
              <w:rPr>
                <w:rFonts w:cs="Arial"/>
              </w:rPr>
              <w:t>Function</w:t>
            </w:r>
          </w:p>
        </w:tc>
        <w:tc>
          <w:tcPr>
            <w:tcW w:w="7903" w:type="dxa"/>
            <w:tcMar>
              <w:top w:w="57" w:type="dxa"/>
              <w:bottom w:w="57" w:type="dxa"/>
            </w:tcMar>
          </w:tcPr>
          <w:p w14:paraId="62A1C893" w14:textId="77777777" w:rsidR="003C341D" w:rsidRPr="00F52AEC" w:rsidRDefault="003C341D" w:rsidP="001125AA">
            <w:pPr>
              <w:spacing w:before="0" w:after="0"/>
              <w:cnfStyle w:val="000000010000" w:firstRow="0" w:lastRow="0" w:firstColumn="0" w:lastColumn="0" w:oddVBand="0" w:evenVBand="0" w:oddHBand="0" w:evenHBand="1" w:firstRowFirstColumn="0" w:firstRowLastColumn="0" w:lastRowFirstColumn="0" w:lastRowLastColumn="0"/>
              <w:rPr>
                <w:rFonts w:cs="Arial"/>
              </w:rPr>
            </w:pPr>
            <w:r>
              <w:rPr>
                <w:rFonts w:cs="Arial"/>
              </w:rPr>
              <w:t>A</w:t>
            </w:r>
            <w:r w:rsidRPr="002615F3">
              <w:rPr>
                <w:rFonts w:cs="Arial"/>
              </w:rPr>
              <w:t xml:space="preserve"> formal gathering or occasion</w:t>
            </w:r>
            <w:r>
              <w:rPr>
                <w:rFonts w:cs="Arial"/>
              </w:rPr>
              <w:t>.</w:t>
            </w:r>
          </w:p>
        </w:tc>
      </w:tr>
      <w:tr w:rsidR="003C341D" w14:paraId="2080AEA4"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3F00D3BF" w14:textId="77777777" w:rsidR="003C341D" w:rsidRPr="00F52AEC" w:rsidRDefault="003C341D" w:rsidP="001125AA">
            <w:pPr>
              <w:spacing w:before="0" w:after="0"/>
              <w:rPr>
                <w:rFonts w:cs="Arial"/>
              </w:rPr>
            </w:pPr>
            <w:r w:rsidRPr="00F52AEC">
              <w:rPr>
                <w:rFonts w:cs="Arial"/>
              </w:rPr>
              <w:t>Normal working hours</w:t>
            </w:r>
          </w:p>
        </w:tc>
        <w:tc>
          <w:tcPr>
            <w:tcW w:w="7903" w:type="dxa"/>
            <w:tcMar>
              <w:top w:w="57" w:type="dxa"/>
              <w:bottom w:w="57" w:type="dxa"/>
            </w:tcMar>
          </w:tcPr>
          <w:p w14:paraId="1DC81956" w14:textId="392ABEAE" w:rsidR="003C341D" w:rsidRPr="00F52AEC" w:rsidRDefault="003C341D" w:rsidP="001125AA">
            <w:pPr>
              <w:spacing w:before="0" w:after="0"/>
              <w:cnfStyle w:val="000000100000" w:firstRow="0" w:lastRow="0" w:firstColumn="0" w:lastColumn="0" w:oddVBand="0" w:evenVBand="0" w:oddHBand="1" w:evenHBand="0" w:firstRowFirstColumn="0" w:firstRowLastColumn="0" w:lastRowFirstColumn="0" w:lastRowLastColumn="0"/>
              <w:rPr>
                <w:rFonts w:cs="Arial"/>
              </w:rPr>
            </w:pPr>
            <w:r>
              <w:rPr>
                <w:rFonts w:cs="Arial"/>
              </w:rPr>
              <w:t>O</w:t>
            </w:r>
            <w:r w:rsidRPr="002615F3">
              <w:rPr>
                <w:rFonts w:cs="Arial"/>
              </w:rPr>
              <w:t>fficial Northern Territory Government hours of duty</w:t>
            </w:r>
            <w:r w:rsidR="001125AA">
              <w:rPr>
                <w:rFonts w:cs="Arial"/>
              </w:rPr>
              <w:t>,</w:t>
            </w:r>
            <w:r>
              <w:rPr>
                <w:rFonts w:cs="Arial"/>
              </w:rPr>
              <w:t xml:space="preserve"> 8.00 am to 4:21 pm.</w:t>
            </w:r>
          </w:p>
        </w:tc>
      </w:tr>
      <w:tr w:rsidR="003C341D" w14:paraId="28208E1B" w14:textId="77777777" w:rsidTr="00112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03B89E7A" w14:textId="77777777" w:rsidR="003C341D" w:rsidRPr="00F52AEC" w:rsidRDefault="003C341D" w:rsidP="001125AA">
            <w:pPr>
              <w:spacing w:before="0" w:after="0"/>
              <w:rPr>
                <w:rFonts w:cs="Arial"/>
              </w:rPr>
            </w:pPr>
            <w:r w:rsidRPr="00F52AEC">
              <w:rPr>
                <w:rFonts w:cs="Arial"/>
              </w:rPr>
              <w:t>Normal school hours</w:t>
            </w:r>
          </w:p>
        </w:tc>
        <w:tc>
          <w:tcPr>
            <w:tcW w:w="7903" w:type="dxa"/>
            <w:tcMar>
              <w:top w:w="57" w:type="dxa"/>
              <w:bottom w:w="57" w:type="dxa"/>
            </w:tcMar>
          </w:tcPr>
          <w:p w14:paraId="5CA45A14" w14:textId="77777777" w:rsidR="003C341D" w:rsidRPr="00F52AEC" w:rsidRDefault="003C341D" w:rsidP="001125AA">
            <w:pPr>
              <w:spacing w:before="0" w:after="0"/>
              <w:cnfStyle w:val="000000010000" w:firstRow="0" w:lastRow="0" w:firstColumn="0" w:lastColumn="0" w:oddVBand="0" w:evenVBand="0" w:oddHBand="0" w:evenHBand="1" w:firstRowFirstColumn="0" w:firstRowLastColumn="0" w:lastRowFirstColumn="0" w:lastRowLastColumn="0"/>
              <w:rPr>
                <w:rFonts w:cs="Arial"/>
              </w:rPr>
            </w:pPr>
            <w:r>
              <w:rPr>
                <w:rFonts w:cs="Arial"/>
              </w:rPr>
              <w:t>T</w:t>
            </w:r>
            <w:r w:rsidRPr="002615F3">
              <w:rPr>
                <w:rFonts w:cs="Arial"/>
              </w:rPr>
              <w:t>imes set by schools during which instruction or programs are provided to</w:t>
            </w:r>
            <w:r>
              <w:rPr>
                <w:rFonts w:cs="Arial"/>
              </w:rPr>
              <w:t xml:space="preserve"> </w:t>
            </w:r>
            <w:r w:rsidRPr="002615F3">
              <w:rPr>
                <w:rFonts w:cs="Arial"/>
              </w:rPr>
              <w:t>students</w:t>
            </w:r>
            <w:r>
              <w:rPr>
                <w:rFonts w:cs="Arial"/>
              </w:rPr>
              <w:t>.</w:t>
            </w:r>
          </w:p>
        </w:tc>
      </w:tr>
      <w:tr w:rsidR="003C341D" w14:paraId="7AAA933C"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03F85750" w14:textId="77777777" w:rsidR="003C341D" w:rsidRPr="00F52AEC" w:rsidRDefault="003C341D" w:rsidP="001125AA">
            <w:pPr>
              <w:spacing w:before="0" w:after="0"/>
              <w:rPr>
                <w:rFonts w:cs="Arial"/>
              </w:rPr>
            </w:pPr>
            <w:r w:rsidRPr="00F52AEC">
              <w:rPr>
                <w:rFonts w:cs="Arial"/>
              </w:rPr>
              <w:t>School</w:t>
            </w:r>
          </w:p>
        </w:tc>
        <w:tc>
          <w:tcPr>
            <w:tcW w:w="7903" w:type="dxa"/>
            <w:tcMar>
              <w:top w:w="57" w:type="dxa"/>
              <w:bottom w:w="57" w:type="dxa"/>
            </w:tcMar>
          </w:tcPr>
          <w:p w14:paraId="693A3FB3" w14:textId="77777777" w:rsidR="003C341D" w:rsidRPr="00F52AEC" w:rsidRDefault="003C341D" w:rsidP="001125AA">
            <w:pPr>
              <w:spacing w:before="0" w:after="0"/>
              <w:cnfStyle w:val="000000100000" w:firstRow="0" w:lastRow="0" w:firstColumn="0" w:lastColumn="0" w:oddVBand="0" w:evenVBand="0" w:oddHBand="1" w:evenHBand="0" w:firstRowFirstColumn="0" w:firstRowLastColumn="0" w:lastRowFirstColumn="0" w:lastRowLastColumn="0"/>
              <w:rPr>
                <w:rFonts w:cs="Arial"/>
              </w:rPr>
            </w:pPr>
            <w:r>
              <w:rPr>
                <w:rFonts w:cs="Arial"/>
              </w:rPr>
              <w:t>I</w:t>
            </w:r>
            <w:r w:rsidRPr="002615F3">
              <w:rPr>
                <w:rFonts w:cs="Arial"/>
              </w:rPr>
              <w:t>ncludes preschool</w:t>
            </w:r>
            <w:r>
              <w:rPr>
                <w:rFonts w:cs="Arial"/>
              </w:rPr>
              <w:t>.</w:t>
            </w:r>
          </w:p>
        </w:tc>
      </w:tr>
      <w:tr w:rsidR="003C341D" w14:paraId="0C4E7402" w14:textId="77777777" w:rsidTr="00112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7CDF637F" w14:textId="77777777" w:rsidR="003C341D" w:rsidRPr="00F52AEC" w:rsidRDefault="003C341D" w:rsidP="001125AA">
            <w:pPr>
              <w:spacing w:before="0" w:after="0"/>
              <w:rPr>
                <w:rFonts w:cs="Arial"/>
              </w:rPr>
            </w:pPr>
            <w:r w:rsidRPr="00F52AEC">
              <w:rPr>
                <w:rFonts w:cs="Arial"/>
              </w:rPr>
              <w:t>School activity</w:t>
            </w:r>
          </w:p>
        </w:tc>
        <w:tc>
          <w:tcPr>
            <w:tcW w:w="7903" w:type="dxa"/>
            <w:tcMar>
              <w:top w:w="57" w:type="dxa"/>
              <w:bottom w:w="57" w:type="dxa"/>
            </w:tcMar>
          </w:tcPr>
          <w:p w14:paraId="20F90556" w14:textId="77777777" w:rsidR="003C341D" w:rsidRPr="00F52AEC" w:rsidRDefault="003C341D" w:rsidP="001125AA">
            <w:pPr>
              <w:spacing w:before="0" w:after="0"/>
              <w:cnfStyle w:val="000000010000" w:firstRow="0" w:lastRow="0" w:firstColumn="0" w:lastColumn="0" w:oddVBand="0" w:evenVBand="0" w:oddHBand="0" w:evenHBand="1" w:firstRowFirstColumn="0" w:firstRowLastColumn="0" w:lastRowFirstColumn="0" w:lastRowLastColumn="0"/>
              <w:rPr>
                <w:rFonts w:cs="Arial"/>
              </w:rPr>
            </w:pPr>
            <w:r>
              <w:rPr>
                <w:rFonts w:cs="Arial"/>
              </w:rPr>
              <w:t>I</w:t>
            </w:r>
            <w:r w:rsidRPr="002615F3">
              <w:rPr>
                <w:rFonts w:cs="Arial"/>
              </w:rPr>
              <w:t>ncludes excursions, outdoor adventure activities and school camps</w:t>
            </w:r>
            <w:r>
              <w:rPr>
                <w:rFonts w:cs="Arial"/>
              </w:rPr>
              <w:t>.</w:t>
            </w:r>
          </w:p>
        </w:tc>
      </w:tr>
      <w:tr w:rsidR="003C341D" w14:paraId="0E486373"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38C53A4F" w14:textId="77777777" w:rsidR="003C341D" w:rsidRPr="00F52AEC" w:rsidRDefault="003C341D" w:rsidP="001125AA">
            <w:pPr>
              <w:spacing w:before="0" w:after="0"/>
              <w:rPr>
                <w:rFonts w:cs="Arial"/>
              </w:rPr>
            </w:pPr>
            <w:r w:rsidRPr="00F52AEC">
              <w:rPr>
                <w:rFonts w:cs="Arial"/>
              </w:rPr>
              <w:t>School grounds</w:t>
            </w:r>
          </w:p>
        </w:tc>
        <w:tc>
          <w:tcPr>
            <w:tcW w:w="7903" w:type="dxa"/>
            <w:tcMar>
              <w:top w:w="57" w:type="dxa"/>
              <w:bottom w:w="57" w:type="dxa"/>
            </w:tcMar>
          </w:tcPr>
          <w:p w14:paraId="015AAA6A" w14:textId="77777777" w:rsidR="003C341D" w:rsidRPr="00F52AEC" w:rsidRDefault="003C341D" w:rsidP="001125AA">
            <w:pPr>
              <w:spacing w:before="0" w:after="0"/>
              <w:cnfStyle w:val="000000100000" w:firstRow="0" w:lastRow="0" w:firstColumn="0" w:lastColumn="0" w:oddVBand="0" w:evenVBand="0" w:oddHBand="1" w:evenHBand="0" w:firstRowFirstColumn="0" w:firstRowLastColumn="0" w:lastRowFirstColumn="0" w:lastRowLastColumn="0"/>
              <w:rPr>
                <w:rFonts w:cs="Arial"/>
              </w:rPr>
            </w:pPr>
            <w:r>
              <w:rPr>
                <w:rFonts w:cs="Arial"/>
              </w:rPr>
              <w:t>I</w:t>
            </w:r>
            <w:r w:rsidRPr="002615F3">
              <w:rPr>
                <w:rFonts w:cs="Arial"/>
              </w:rPr>
              <w:t>ncludes the land area up to the boundaries</w:t>
            </w:r>
            <w:r>
              <w:rPr>
                <w:rFonts w:cs="Arial"/>
              </w:rPr>
              <w:t>.</w:t>
            </w:r>
          </w:p>
        </w:tc>
      </w:tr>
      <w:tr w:rsidR="003C341D" w14:paraId="715CFEB1" w14:textId="77777777" w:rsidTr="00112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Mar>
              <w:top w:w="57" w:type="dxa"/>
              <w:bottom w:w="57" w:type="dxa"/>
            </w:tcMar>
          </w:tcPr>
          <w:p w14:paraId="0A1BFC70" w14:textId="77777777" w:rsidR="003C341D" w:rsidRPr="00F52AEC" w:rsidRDefault="003C341D" w:rsidP="001125AA">
            <w:pPr>
              <w:spacing w:before="0" w:after="0"/>
              <w:rPr>
                <w:rFonts w:cs="Arial"/>
              </w:rPr>
            </w:pPr>
            <w:r w:rsidRPr="00F52AEC">
              <w:t>School representative body</w:t>
            </w:r>
          </w:p>
        </w:tc>
        <w:tc>
          <w:tcPr>
            <w:tcW w:w="7903" w:type="dxa"/>
            <w:tcMar>
              <w:top w:w="57" w:type="dxa"/>
              <w:bottom w:w="57" w:type="dxa"/>
            </w:tcMar>
          </w:tcPr>
          <w:p w14:paraId="6EB00281" w14:textId="04D27771" w:rsidR="003C341D" w:rsidRPr="00F52AEC" w:rsidRDefault="001125AA" w:rsidP="001125AA">
            <w:pPr>
              <w:spacing w:before="0" w:after="0"/>
              <w:cnfStyle w:val="000000010000" w:firstRow="0" w:lastRow="0" w:firstColumn="0" w:lastColumn="0" w:oddVBand="0" w:evenVBand="0" w:oddHBand="0" w:evenHBand="1" w:firstRowFirstColumn="0" w:firstRowLastColumn="0" w:lastRowFirstColumn="0" w:lastRowLastColumn="0"/>
              <w:rPr>
                <w:rFonts w:cs="Arial"/>
              </w:rPr>
            </w:pPr>
            <w:r w:rsidRPr="001125AA">
              <w:rPr>
                <w:szCs w:val="22"/>
              </w:rPr>
              <w:t xml:space="preserve">An incorporated body under the </w:t>
            </w:r>
            <w:r w:rsidRPr="001125AA">
              <w:rPr>
                <w:i/>
                <w:szCs w:val="22"/>
              </w:rPr>
              <w:t>Education Act 2015</w:t>
            </w:r>
            <w:r w:rsidRPr="001125AA">
              <w:rPr>
                <w:szCs w:val="22"/>
              </w:rPr>
              <w:t xml:space="preserve"> and includes independent </w:t>
            </w:r>
            <w:proofErr w:type="gramStart"/>
            <w:r w:rsidRPr="001125AA">
              <w:rPr>
                <w:szCs w:val="22"/>
              </w:rPr>
              <w:t>public school</w:t>
            </w:r>
            <w:proofErr w:type="gramEnd"/>
            <w:r w:rsidRPr="001125AA">
              <w:rPr>
                <w:szCs w:val="22"/>
              </w:rPr>
              <w:t xml:space="preserve"> boards, school councils and joint school representative bodies.</w:t>
            </w:r>
          </w:p>
        </w:tc>
      </w:tr>
    </w:tbl>
    <w:p w14:paraId="5083D85E" w14:textId="0FE2B40C" w:rsidR="002406F8" w:rsidRDefault="00707266" w:rsidP="003C341D">
      <w:pPr>
        <w:pStyle w:val="Heading1"/>
        <w:rPr>
          <w:lang w:val="en-US"/>
        </w:rPr>
      </w:pPr>
      <w:r w:rsidRPr="00F3258F">
        <w:rPr>
          <w:lang w:val="en-US"/>
        </w:rPr>
        <w:t>Related policy, legislation and documents</w:t>
      </w:r>
    </w:p>
    <w:p w14:paraId="6D1070AD" w14:textId="33C6AEB3" w:rsidR="00216935" w:rsidRDefault="002427F6" w:rsidP="00216935">
      <w:pPr>
        <w:pStyle w:val="Heading2"/>
        <w:rPr>
          <w:lang w:val="en-US"/>
        </w:rPr>
      </w:pPr>
      <w:r>
        <w:rPr>
          <w:lang w:val="en-US"/>
        </w:rPr>
        <w:t>Policy</w:t>
      </w:r>
    </w:p>
    <w:p w14:paraId="6828D4A1" w14:textId="0F37E405" w:rsidR="00715FB0" w:rsidRPr="0096395F" w:rsidRDefault="00715FB0" w:rsidP="008366E2">
      <w:pPr>
        <w:pStyle w:val="ListParagraph"/>
        <w:numPr>
          <w:ilvl w:val="0"/>
          <w:numId w:val="63"/>
        </w:numPr>
        <w:autoSpaceDE w:val="0"/>
        <w:autoSpaceDN w:val="0"/>
        <w:adjustRightInd w:val="0"/>
        <w:spacing w:after="200"/>
        <w:ind w:left="567" w:hanging="284"/>
        <w:rPr>
          <w:rStyle w:val="Hyperlink"/>
          <w:color w:val="auto"/>
          <w:u w:val="none"/>
        </w:rPr>
      </w:pPr>
      <w:bookmarkStart w:id="0" w:name="_Hlk130283533"/>
      <w:r w:rsidRPr="0096395F">
        <w:rPr>
          <w:lang w:val="en-US"/>
        </w:rPr>
        <w:t xml:space="preserve">Department of Education Delegations </w:t>
      </w:r>
      <w:r w:rsidR="0096395F" w:rsidRPr="0096395F">
        <w:rPr>
          <w:lang w:val="en-US"/>
        </w:rPr>
        <w:t>p</w:t>
      </w:r>
      <w:r w:rsidRPr="0096395F">
        <w:rPr>
          <w:lang w:val="en-US"/>
        </w:rPr>
        <w:t>olicy</w:t>
      </w:r>
      <w:bookmarkEnd w:id="0"/>
      <w:r w:rsidR="0096395F" w:rsidRPr="0096395F">
        <w:rPr>
          <w:rStyle w:val="Hyperlink"/>
          <w:color w:val="auto"/>
          <w:u w:val="none"/>
          <w:lang w:val="en-US"/>
        </w:rPr>
        <w:t xml:space="preserve">: </w:t>
      </w:r>
      <w:r w:rsidR="0096395F" w:rsidRPr="0096395F">
        <w:rPr>
          <w:rFonts w:cs="Arial"/>
        </w:rPr>
        <w:t xml:space="preserve">Finance delegations: Section B1.1.4 – Approve expenditure for hospitality, entertainment, workplace refreshments prior to the expenses being incurred – </w:t>
      </w:r>
      <w:hyperlink r:id="rId10" w:history="1">
        <w:r w:rsidR="0096395F" w:rsidRPr="0096395F">
          <w:rPr>
            <w:rStyle w:val="Hyperlink"/>
            <w:lang w:val="en-US"/>
          </w:rPr>
          <w:t>http://ed.ntschools.net/documentcentre/pfgdocs/2/Delegations/Department of Education Delegations Policy.pdf</w:t>
        </w:r>
      </w:hyperlink>
    </w:p>
    <w:p w14:paraId="4109995C" w14:textId="3629AE8A" w:rsidR="00B77B4A" w:rsidRPr="008366E2" w:rsidRDefault="00E9378B" w:rsidP="008366E2">
      <w:pPr>
        <w:pStyle w:val="ListParagraph"/>
        <w:numPr>
          <w:ilvl w:val="0"/>
          <w:numId w:val="63"/>
        </w:numPr>
        <w:spacing w:after="200"/>
        <w:ind w:left="567" w:hanging="284"/>
        <w:rPr>
          <w:u w:val="single"/>
        </w:rPr>
      </w:pPr>
      <w:bookmarkStart w:id="1" w:name="_Hlk130283763"/>
      <w:r w:rsidRPr="0096395F">
        <w:rPr>
          <w:lang w:val="en-US"/>
        </w:rPr>
        <w:t>Hospitality entertainment and work refreshments guidelines and procedures</w:t>
      </w:r>
      <w:bookmarkEnd w:id="1"/>
      <w:r w:rsidRPr="0096395F">
        <w:rPr>
          <w:lang w:val="en-US"/>
        </w:rPr>
        <w:t xml:space="preserve"> </w:t>
      </w:r>
      <w:r w:rsidR="0096395F" w:rsidRPr="0096395F">
        <w:rPr>
          <w:lang w:val="en-US"/>
        </w:rPr>
        <w:t xml:space="preserve">– </w:t>
      </w:r>
      <w:hyperlink r:id="rId11" w:history="1">
        <w:r w:rsidR="0096395F" w:rsidRPr="0096395F">
          <w:rPr>
            <w:rStyle w:val="Hyperlink"/>
            <w:lang w:val="en-US"/>
          </w:rPr>
          <w:t>http://ed.ntschools.net/documentcentre/pfgdocs/2/Hospitality Entertainment Work Refreshments/Hospitality entertainment and work refreshments guidelines and procedures.pdf</w:t>
        </w:r>
      </w:hyperlink>
    </w:p>
    <w:p w14:paraId="23030EB4" w14:textId="6E334A70" w:rsidR="00B77B4A" w:rsidRPr="003C341D" w:rsidRDefault="002427F6" w:rsidP="008366E2">
      <w:pPr>
        <w:pStyle w:val="ListParagraph"/>
        <w:numPr>
          <w:ilvl w:val="0"/>
          <w:numId w:val="63"/>
        </w:numPr>
        <w:spacing w:after="200"/>
        <w:ind w:left="567" w:hanging="284"/>
        <w:rPr>
          <w:rStyle w:val="Hyperlink"/>
          <w:color w:val="auto"/>
        </w:rPr>
      </w:pPr>
      <w:r w:rsidRPr="00B77B4A">
        <w:rPr>
          <w:rFonts w:cs="Arial"/>
        </w:rPr>
        <w:t>NT Public Sector Principles and Code of Conduct</w:t>
      </w:r>
      <w:r w:rsidR="00B77B4A">
        <w:rPr>
          <w:rFonts w:cs="Arial"/>
        </w:rPr>
        <w:t xml:space="preserve"> – </w:t>
      </w:r>
      <w:hyperlink r:id="rId12" w:history="1">
        <w:r w:rsidR="00B77B4A" w:rsidRPr="00F27C97">
          <w:rPr>
            <w:rStyle w:val="Hyperlink"/>
            <w:rFonts w:cs="Arial"/>
          </w:rPr>
          <w:t>https://ocpe.nt.gov.au/employment-conditions-appeals-grievances/code-of-conduct</w:t>
        </w:r>
      </w:hyperlink>
    </w:p>
    <w:p w14:paraId="1C04809C" w14:textId="77777777" w:rsidR="002427F6" w:rsidRDefault="002427F6" w:rsidP="002427F6">
      <w:pPr>
        <w:pStyle w:val="Heading2"/>
      </w:pPr>
      <w:r>
        <w:t>Legislation</w:t>
      </w:r>
    </w:p>
    <w:p w14:paraId="373AFC3F" w14:textId="1D045548" w:rsidR="00B77B4A" w:rsidRPr="00B77B4A" w:rsidRDefault="00B77B4A" w:rsidP="008366E2">
      <w:pPr>
        <w:pStyle w:val="ListParagraph"/>
        <w:numPr>
          <w:ilvl w:val="0"/>
          <w:numId w:val="64"/>
        </w:numPr>
        <w:spacing w:after="200"/>
        <w:ind w:left="567" w:hanging="283"/>
        <w:rPr>
          <w:rFonts w:cs="Arial"/>
        </w:rPr>
      </w:pPr>
      <w:r w:rsidRPr="00B77B4A">
        <w:t>Gaming Control (Community Gaming) Regulations 2006</w:t>
      </w:r>
      <w:r>
        <w:t xml:space="preserve"> – </w:t>
      </w:r>
      <w:hyperlink r:id="rId13" w:history="1">
        <w:r w:rsidRPr="00F27C97">
          <w:rPr>
            <w:rStyle w:val="Hyperlink"/>
          </w:rPr>
          <w:t>https://legislation.nt.gov.au/Legislation/GAMING-CONTROL-COMMUNITY-GAMING-REGULATIONS-2006</w:t>
        </w:r>
      </w:hyperlink>
    </w:p>
    <w:p w14:paraId="73C6A90D" w14:textId="63F083FC" w:rsidR="00B44508" w:rsidRPr="00B77B4A" w:rsidRDefault="00B44508" w:rsidP="008366E2">
      <w:pPr>
        <w:pStyle w:val="ListParagraph"/>
        <w:numPr>
          <w:ilvl w:val="0"/>
          <w:numId w:val="64"/>
        </w:numPr>
        <w:spacing w:after="200"/>
        <w:ind w:left="567" w:hanging="283"/>
      </w:pPr>
      <w:r w:rsidRPr="00B77B4A">
        <w:rPr>
          <w:i/>
        </w:rPr>
        <w:t>Liquor Act 2019</w:t>
      </w:r>
      <w:r w:rsidR="00B77B4A" w:rsidRPr="00B77B4A">
        <w:rPr>
          <w:i/>
        </w:rPr>
        <w:t xml:space="preserve"> </w:t>
      </w:r>
      <w:r w:rsidR="00B77B4A" w:rsidRPr="00B77B4A">
        <w:t xml:space="preserve">– </w:t>
      </w:r>
      <w:hyperlink r:id="rId14" w:history="1">
        <w:r w:rsidR="00B77B4A" w:rsidRPr="00B77B4A">
          <w:rPr>
            <w:rStyle w:val="Hyperlink"/>
          </w:rPr>
          <w:t>https://legislation.nt.gov.au/en/Legislation/LIQUOR-ACT-2019</w:t>
        </w:r>
      </w:hyperlink>
    </w:p>
    <w:p w14:paraId="49990715" w14:textId="048A44C2" w:rsidR="002406F8" w:rsidRPr="00F52AEC" w:rsidRDefault="003C341D" w:rsidP="00F52AEC">
      <w:pPr>
        <w:pStyle w:val="Heading2"/>
      </w:pPr>
      <w:r>
        <w:t>D</w:t>
      </w:r>
      <w:r w:rsidR="002427F6">
        <w:t>ocuments</w:t>
      </w:r>
    </w:p>
    <w:p w14:paraId="4E86D355" w14:textId="6EBABF44" w:rsidR="002406F8" w:rsidRPr="00F529F1" w:rsidRDefault="002406F8" w:rsidP="008366E2">
      <w:pPr>
        <w:pStyle w:val="ListParagraph"/>
        <w:numPr>
          <w:ilvl w:val="0"/>
          <w:numId w:val="64"/>
        </w:numPr>
        <w:spacing w:after="200"/>
        <w:ind w:left="567" w:hanging="283"/>
        <w:rPr>
          <w:iCs w:val="0"/>
        </w:rPr>
      </w:pPr>
      <w:r w:rsidRPr="00F529F1">
        <w:rPr>
          <w:iCs w:val="0"/>
        </w:rPr>
        <w:t xml:space="preserve">Alcohol consumption application </w:t>
      </w:r>
      <w:r w:rsidR="00F529F1">
        <w:rPr>
          <w:iCs w:val="0"/>
        </w:rPr>
        <w:t xml:space="preserve">forms for </w:t>
      </w:r>
      <w:r w:rsidRPr="00F529F1">
        <w:rPr>
          <w:iCs w:val="0"/>
        </w:rPr>
        <w:t>corporate</w:t>
      </w:r>
      <w:r w:rsidR="00F529F1">
        <w:rPr>
          <w:iCs w:val="0"/>
        </w:rPr>
        <w:t xml:space="preserve"> and schools - </w:t>
      </w:r>
      <w:hyperlink r:id="rId15" w:history="1">
        <w:r w:rsidR="00F3395B" w:rsidRPr="008F5843">
          <w:rPr>
            <w:rStyle w:val="Hyperlink"/>
            <w:iCs w:val="0"/>
          </w:rPr>
          <w:t>https://elearn.ntschools.net/policies/3964</w:t>
        </w:r>
      </w:hyperlink>
      <w:bookmarkStart w:id="2" w:name="_GoBack"/>
      <w:bookmarkEnd w:id="2"/>
    </w:p>
    <w:p w14:paraId="6F171FCB" w14:textId="5FA4A2D6" w:rsidR="00B77B4A" w:rsidRDefault="00B77B4A" w:rsidP="008366E2">
      <w:pPr>
        <w:pStyle w:val="ListParagraph"/>
        <w:numPr>
          <w:ilvl w:val="0"/>
          <w:numId w:val="64"/>
        </w:numPr>
        <w:spacing w:after="200"/>
        <w:ind w:left="567" w:hanging="283"/>
        <w:rPr>
          <w:iCs w:val="0"/>
        </w:rPr>
      </w:pPr>
      <w:r>
        <w:rPr>
          <w:iCs w:val="0"/>
        </w:rPr>
        <w:t xml:space="preserve">Apply for a liquor licence – </w:t>
      </w:r>
      <w:hyperlink r:id="rId16" w:history="1">
        <w:r w:rsidRPr="00F27C97">
          <w:rPr>
            <w:rStyle w:val="Hyperlink"/>
            <w:iCs w:val="0"/>
          </w:rPr>
          <w:t>https://nt.gov.au/industry/hospitality/liquor-licences-and-wholesaler-registration/apply-for-a-liquor-licence</w:t>
        </w:r>
      </w:hyperlink>
    </w:p>
    <w:p w14:paraId="286169E3" w14:textId="59C8B654" w:rsidR="008366E2" w:rsidRDefault="008366E2" w:rsidP="00B77B4A">
      <w:pPr>
        <w:pStyle w:val="ListParagraph"/>
        <w:ind w:left="720"/>
        <w:rPr>
          <w:iCs w:val="0"/>
        </w:rPr>
      </w:pPr>
      <w:r>
        <w:rPr>
          <w:iCs w:val="0"/>
        </w:rPr>
        <w:br w:type="page"/>
      </w:r>
    </w:p>
    <w:p w14:paraId="04079600" w14:textId="77777777" w:rsidR="00B77B4A" w:rsidRPr="00B77B4A" w:rsidRDefault="00B77B4A" w:rsidP="008366E2">
      <w:pPr>
        <w:pStyle w:val="ListParagraph"/>
        <w:rPr>
          <w:iCs w:val="0"/>
        </w:rPr>
      </w:pPr>
    </w:p>
    <w:tbl>
      <w:tblPr>
        <w:tblStyle w:val="NTGtable1"/>
        <w:tblW w:w="10348" w:type="dxa"/>
        <w:tblLook w:val="0480" w:firstRow="0" w:lastRow="0" w:firstColumn="1" w:lastColumn="0" w:noHBand="0" w:noVBand="1"/>
      </w:tblPr>
      <w:tblGrid>
        <w:gridCol w:w="2410"/>
        <w:gridCol w:w="7938"/>
      </w:tblGrid>
      <w:tr w:rsidR="00361A12" w14:paraId="779CC40A" w14:textId="77777777" w:rsidTr="008366E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B3EE4FB" w14:textId="77777777" w:rsidR="00361A12" w:rsidRPr="000D6FA4" w:rsidRDefault="00361A12" w:rsidP="008366E2">
            <w:pPr>
              <w:spacing w:before="0" w:after="0"/>
              <w:rPr>
                <w:b/>
              </w:rPr>
            </w:pPr>
            <w:r w:rsidRPr="000D6FA4">
              <w:rPr>
                <w:b/>
              </w:rPr>
              <w:t>Document title</w:t>
            </w:r>
          </w:p>
        </w:tc>
        <w:tc>
          <w:tcPr>
            <w:tcW w:w="7938" w:type="dxa"/>
            <w:tcMar>
              <w:top w:w="57" w:type="dxa"/>
              <w:bottom w:w="57" w:type="dxa"/>
            </w:tcMar>
          </w:tcPr>
          <w:p w14:paraId="26E34362" w14:textId="74547E98" w:rsidR="00361A12" w:rsidRPr="00200069" w:rsidRDefault="00F3395B" w:rsidP="008366E2">
            <w:pPr>
              <w:spacing w:before="0" w:after="0"/>
              <w:cnfStyle w:val="000000100000" w:firstRow="0" w:lastRow="0" w:firstColumn="0" w:lastColumn="0" w:oddVBand="0" w:evenVBand="0" w:oddHBand="1" w:evenHBand="0" w:firstRowFirstColumn="0" w:firstRowLastColumn="0" w:lastRowFirstColumn="0" w:lastRowLastColumn="0"/>
            </w:pPr>
            <w:sdt>
              <w:sdtPr>
                <w:alias w:val="Title"/>
                <w:tag w:val="Title"/>
                <w:id w:val="-911458152"/>
                <w:placeholder>
                  <w:docPart w:val="3F56CF2DDEFF4DF396156A676EA9D2C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C341D">
                  <w:t>Alcohol consumption on department premises – policy</w:t>
                </w:r>
              </w:sdtContent>
            </w:sdt>
          </w:p>
        </w:tc>
      </w:tr>
      <w:tr w:rsidR="00361A12" w14:paraId="22C108D5" w14:textId="77777777" w:rsidTr="008366E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419B1BC" w14:textId="77777777" w:rsidR="00361A12" w:rsidRPr="000D6FA4" w:rsidRDefault="00361A12" w:rsidP="008366E2">
            <w:pPr>
              <w:spacing w:before="0" w:after="0"/>
              <w:rPr>
                <w:b/>
              </w:rPr>
            </w:pPr>
            <w:r w:rsidRPr="000D6FA4">
              <w:rPr>
                <w:b/>
              </w:rPr>
              <w:t>Contact details</w:t>
            </w:r>
          </w:p>
        </w:tc>
        <w:tc>
          <w:tcPr>
            <w:tcW w:w="7938" w:type="dxa"/>
            <w:tcMar>
              <w:top w:w="57" w:type="dxa"/>
              <w:bottom w:w="57" w:type="dxa"/>
            </w:tcMar>
          </w:tcPr>
          <w:p w14:paraId="78C46E1B" w14:textId="7D4DB195" w:rsidR="00361A12" w:rsidRPr="00200069" w:rsidRDefault="00EE5744" w:rsidP="008366E2">
            <w:pPr>
              <w:spacing w:before="0" w:after="0"/>
              <w:cnfStyle w:val="000000010000" w:firstRow="0" w:lastRow="0" w:firstColumn="0" w:lastColumn="0" w:oddVBand="0" w:evenVBand="0" w:oddHBand="0" w:evenHBand="1" w:firstRowFirstColumn="0" w:firstRowLastColumn="0" w:lastRowFirstColumn="0" w:lastRowLastColumn="0"/>
            </w:pPr>
            <w:r>
              <w:t xml:space="preserve">Regional Services, </w:t>
            </w:r>
            <w:r w:rsidR="00361A12">
              <w:t>School Operations</w:t>
            </w:r>
            <w:r>
              <w:t xml:space="preserve">, </w:t>
            </w:r>
            <w:hyperlink r:id="rId17" w:history="1">
              <w:r w:rsidR="0096395F" w:rsidRPr="00FC399F">
                <w:rPr>
                  <w:rStyle w:val="Hyperlink"/>
                </w:rPr>
                <w:t>schoolops@education.nt.gov.au</w:t>
              </w:r>
            </w:hyperlink>
          </w:p>
        </w:tc>
      </w:tr>
      <w:tr w:rsidR="00361A12" w14:paraId="22AAF3E5" w14:textId="77777777" w:rsidTr="008366E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27C9324" w14:textId="77777777" w:rsidR="00361A12" w:rsidRPr="000D6FA4" w:rsidRDefault="00361A12" w:rsidP="008366E2">
            <w:pPr>
              <w:spacing w:before="0" w:after="0"/>
              <w:rPr>
                <w:b/>
              </w:rPr>
            </w:pPr>
            <w:r w:rsidRPr="000D6FA4">
              <w:rPr>
                <w:b/>
              </w:rPr>
              <w:t>Approved by</w:t>
            </w:r>
          </w:p>
        </w:tc>
        <w:tc>
          <w:tcPr>
            <w:tcW w:w="7938" w:type="dxa"/>
            <w:tcMar>
              <w:top w:w="57" w:type="dxa"/>
              <w:bottom w:w="57" w:type="dxa"/>
            </w:tcMar>
          </w:tcPr>
          <w:p w14:paraId="6025BC05" w14:textId="24982EF2" w:rsidR="00361A12" w:rsidRPr="007401B7" w:rsidRDefault="00361A12" w:rsidP="008366E2">
            <w:pPr>
              <w:spacing w:before="0" w:after="0"/>
              <w:cnfStyle w:val="000000100000" w:firstRow="0" w:lastRow="0" w:firstColumn="0" w:lastColumn="0" w:oddVBand="0" w:evenVBand="0" w:oddHBand="1" w:evenHBand="0" w:firstRowFirstColumn="0" w:firstRowLastColumn="0" w:lastRowFirstColumn="0" w:lastRowLastColumn="0"/>
            </w:pPr>
            <w:r>
              <w:t>Deputy Chief Executive Regional Services</w:t>
            </w:r>
          </w:p>
        </w:tc>
      </w:tr>
      <w:tr w:rsidR="00361A12" w14:paraId="230A7E69" w14:textId="77777777" w:rsidTr="008366E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135B5722" w14:textId="77777777" w:rsidR="00361A12" w:rsidRPr="000D6FA4" w:rsidRDefault="00361A12" w:rsidP="008366E2">
            <w:pPr>
              <w:spacing w:before="0" w:after="0"/>
              <w:rPr>
                <w:b/>
              </w:rPr>
            </w:pPr>
            <w:r w:rsidRPr="000D6FA4">
              <w:rPr>
                <w:b/>
              </w:rPr>
              <w:t>Date approved</w:t>
            </w:r>
          </w:p>
        </w:tc>
        <w:tc>
          <w:tcPr>
            <w:tcW w:w="7938" w:type="dxa"/>
            <w:tcMar>
              <w:top w:w="57" w:type="dxa"/>
              <w:bottom w:w="57" w:type="dxa"/>
            </w:tcMar>
          </w:tcPr>
          <w:p w14:paraId="322A7D02" w14:textId="4EB22DE9" w:rsidR="00361A12" w:rsidRPr="007401B7" w:rsidRDefault="003C341D" w:rsidP="008366E2">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361A12" w14:paraId="72CA92FF" w14:textId="77777777" w:rsidTr="008366E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4A03CF6" w14:textId="77777777" w:rsidR="00361A12" w:rsidRPr="000D6FA4" w:rsidRDefault="00361A12" w:rsidP="008366E2">
            <w:pPr>
              <w:spacing w:before="0" w:after="0"/>
              <w:rPr>
                <w:b/>
              </w:rPr>
            </w:pPr>
            <w:r w:rsidRPr="000D6FA4">
              <w:rPr>
                <w:b/>
              </w:rPr>
              <w:t>TRM number</w:t>
            </w:r>
          </w:p>
        </w:tc>
        <w:tc>
          <w:tcPr>
            <w:tcW w:w="7938" w:type="dxa"/>
            <w:tcMar>
              <w:top w:w="57" w:type="dxa"/>
              <w:bottom w:w="57" w:type="dxa"/>
            </w:tcMar>
          </w:tcPr>
          <w:p w14:paraId="724F99C2" w14:textId="77777777" w:rsidR="00361A12" w:rsidRPr="00200069" w:rsidRDefault="00361A12" w:rsidP="008366E2">
            <w:pPr>
              <w:spacing w:before="0" w:after="0"/>
              <w:cnfStyle w:val="000000100000" w:firstRow="0" w:lastRow="0" w:firstColumn="0" w:lastColumn="0" w:oddVBand="0" w:evenVBand="0" w:oddHBand="1" w:evenHBand="0" w:firstRowFirstColumn="0" w:firstRowLastColumn="0" w:lastRowFirstColumn="0" w:lastRowLastColumn="0"/>
            </w:pPr>
            <w:r>
              <w:t>50:D22:88916</w:t>
            </w:r>
          </w:p>
        </w:tc>
      </w:tr>
    </w:tbl>
    <w:p w14:paraId="607633A6" w14:textId="77777777" w:rsidR="00361A12" w:rsidRDefault="00361A12" w:rsidP="00361A12"/>
    <w:tbl>
      <w:tblPr>
        <w:tblStyle w:val="NTGtable1"/>
        <w:tblW w:w="10343" w:type="dxa"/>
        <w:tblLayout w:type="fixed"/>
        <w:tblLook w:val="0120" w:firstRow="1" w:lastRow="0" w:firstColumn="0" w:lastColumn="1" w:noHBand="0" w:noVBand="0"/>
        <w:tblCaption w:val="Table showing document control information."/>
      </w:tblPr>
      <w:tblGrid>
        <w:gridCol w:w="1129"/>
        <w:gridCol w:w="2268"/>
        <w:gridCol w:w="2552"/>
        <w:gridCol w:w="4394"/>
      </w:tblGrid>
      <w:tr w:rsidR="00361A12" w:rsidRPr="00E87DE1" w14:paraId="6BE8B7E1" w14:textId="77777777" w:rsidTr="008366E2">
        <w:trPr>
          <w:cnfStyle w:val="100000000000" w:firstRow="1" w:lastRow="0" w:firstColumn="0" w:lastColumn="0" w:oddVBand="0" w:evenVBand="0" w:oddHBand="0"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129" w:type="dxa"/>
            <w:tcBorders>
              <w:top w:val="single" w:sz="4" w:space="0" w:color="1F1F5F" w:themeColor="text1"/>
              <w:bottom w:val="single" w:sz="4" w:space="0" w:color="auto"/>
            </w:tcBorders>
            <w:tcMar>
              <w:top w:w="57" w:type="dxa"/>
              <w:bottom w:w="57" w:type="dxa"/>
            </w:tcMar>
          </w:tcPr>
          <w:p w14:paraId="31A8609D" w14:textId="77777777" w:rsidR="00361A12" w:rsidRPr="00200069" w:rsidRDefault="00361A12" w:rsidP="008366E2">
            <w:pPr>
              <w:spacing w:before="0" w:after="0"/>
            </w:pPr>
            <w:r w:rsidRPr="00200069">
              <w:t>Version</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1F1F5F" w:themeColor="text1"/>
              <w:bottom w:val="single" w:sz="4" w:space="0" w:color="auto"/>
            </w:tcBorders>
            <w:tcMar>
              <w:top w:w="57" w:type="dxa"/>
              <w:bottom w:w="57" w:type="dxa"/>
            </w:tcMar>
          </w:tcPr>
          <w:p w14:paraId="238F43CC" w14:textId="77777777" w:rsidR="00361A12" w:rsidRPr="00200069" w:rsidRDefault="00361A12" w:rsidP="008366E2">
            <w:pPr>
              <w:spacing w:before="0" w:after="0"/>
            </w:pPr>
            <w:r w:rsidRPr="00200069">
              <w:t>Date</w:t>
            </w:r>
          </w:p>
        </w:tc>
        <w:tc>
          <w:tcPr>
            <w:cnfStyle w:val="000010000000" w:firstRow="0" w:lastRow="0" w:firstColumn="0" w:lastColumn="0" w:oddVBand="1" w:evenVBand="0" w:oddHBand="0" w:evenHBand="0" w:firstRowFirstColumn="0" w:firstRowLastColumn="0" w:lastRowFirstColumn="0" w:lastRowLastColumn="0"/>
            <w:tcW w:w="2552" w:type="dxa"/>
            <w:tcBorders>
              <w:top w:val="single" w:sz="4" w:space="0" w:color="1F1F5F" w:themeColor="text1"/>
              <w:bottom w:val="single" w:sz="4" w:space="0" w:color="auto"/>
            </w:tcBorders>
            <w:tcMar>
              <w:top w:w="57" w:type="dxa"/>
              <w:bottom w:w="57" w:type="dxa"/>
            </w:tcMar>
          </w:tcPr>
          <w:p w14:paraId="4A28BE01" w14:textId="77777777" w:rsidR="00361A12" w:rsidRPr="00200069" w:rsidRDefault="00361A12" w:rsidP="008366E2">
            <w:pPr>
              <w:spacing w:before="0" w:after="0"/>
            </w:pPr>
            <w:r w:rsidRPr="00200069">
              <w:t>Author</w:t>
            </w:r>
          </w:p>
        </w:tc>
        <w:tc>
          <w:tcPr>
            <w:cnfStyle w:val="000100001000" w:firstRow="0" w:lastRow="0" w:firstColumn="0" w:lastColumn="1" w:oddVBand="0" w:evenVBand="0" w:oddHBand="0" w:evenHBand="0" w:firstRowFirstColumn="0" w:firstRowLastColumn="1" w:lastRowFirstColumn="0" w:lastRowLastColumn="0"/>
            <w:tcW w:w="4394" w:type="dxa"/>
            <w:tcBorders>
              <w:top w:val="single" w:sz="4" w:space="0" w:color="1F1F5F" w:themeColor="text1"/>
              <w:bottom w:val="single" w:sz="4" w:space="0" w:color="auto"/>
            </w:tcBorders>
            <w:tcMar>
              <w:top w:w="57" w:type="dxa"/>
              <w:bottom w:w="57" w:type="dxa"/>
            </w:tcMar>
          </w:tcPr>
          <w:p w14:paraId="180DFE7D" w14:textId="77777777" w:rsidR="00361A12" w:rsidRPr="00200069" w:rsidRDefault="00361A12" w:rsidP="008366E2">
            <w:pPr>
              <w:spacing w:before="0" w:after="0"/>
            </w:pPr>
            <w:r w:rsidRPr="00200069">
              <w:t>Changes made</w:t>
            </w:r>
          </w:p>
        </w:tc>
      </w:tr>
      <w:tr w:rsidR="00361A12" w:rsidRPr="00E87DE1" w14:paraId="1484F3A4" w14:textId="77777777" w:rsidTr="008366E2">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129" w:type="dxa"/>
            <w:tcBorders>
              <w:top w:val="single" w:sz="4" w:space="0" w:color="auto"/>
            </w:tcBorders>
            <w:tcMar>
              <w:top w:w="57" w:type="dxa"/>
              <w:bottom w:w="57" w:type="dxa"/>
            </w:tcMar>
          </w:tcPr>
          <w:p w14:paraId="59E334F6" w14:textId="77777777" w:rsidR="00361A12" w:rsidRPr="00200069" w:rsidRDefault="00361A12" w:rsidP="008366E2">
            <w:pPr>
              <w:spacing w:before="0" w:after="0"/>
            </w:pPr>
            <w:r>
              <w:t>4</w:t>
            </w:r>
          </w:p>
        </w:tc>
        <w:tc>
          <w:tcPr>
            <w:cnfStyle w:val="000001000000" w:firstRow="0" w:lastRow="0" w:firstColumn="0" w:lastColumn="0" w:oddVBand="0" w:evenVBand="1" w:oddHBand="0" w:evenHBand="0" w:firstRowFirstColumn="0" w:firstRowLastColumn="0" w:lastRowFirstColumn="0" w:lastRowLastColumn="0"/>
            <w:tcW w:w="2268" w:type="dxa"/>
            <w:tcBorders>
              <w:top w:val="single" w:sz="4" w:space="0" w:color="auto"/>
            </w:tcBorders>
            <w:tcMar>
              <w:top w:w="57" w:type="dxa"/>
              <w:bottom w:w="57" w:type="dxa"/>
            </w:tcMar>
          </w:tcPr>
          <w:p w14:paraId="7C73B5E1" w14:textId="77777777" w:rsidR="00361A12" w:rsidRPr="007401B7" w:rsidRDefault="00361A12" w:rsidP="008366E2">
            <w:pPr>
              <w:spacing w:before="0" w:after="0"/>
            </w:pPr>
            <w:r>
              <w:t>April 2013</w:t>
            </w:r>
          </w:p>
        </w:tc>
        <w:tc>
          <w:tcPr>
            <w:cnfStyle w:val="000010000000" w:firstRow="0" w:lastRow="0" w:firstColumn="0" w:lastColumn="0" w:oddVBand="1" w:evenVBand="0" w:oddHBand="0" w:evenHBand="0" w:firstRowFirstColumn="0" w:firstRowLastColumn="0" w:lastRowFirstColumn="0" w:lastRowLastColumn="0"/>
            <w:tcW w:w="2552" w:type="dxa"/>
            <w:tcBorders>
              <w:top w:val="single" w:sz="4" w:space="0" w:color="auto"/>
            </w:tcBorders>
            <w:tcMar>
              <w:top w:w="57" w:type="dxa"/>
              <w:bottom w:w="57" w:type="dxa"/>
            </w:tcMar>
          </w:tcPr>
          <w:p w14:paraId="7E1563E2" w14:textId="77777777" w:rsidR="00361A12" w:rsidRPr="00200069" w:rsidRDefault="00361A12" w:rsidP="008366E2">
            <w:pPr>
              <w:spacing w:before="0" w:after="0"/>
            </w:pPr>
            <w:r>
              <w:t>School Operations</w:t>
            </w:r>
          </w:p>
        </w:tc>
        <w:tc>
          <w:tcPr>
            <w:cnfStyle w:val="000100000000" w:firstRow="0" w:lastRow="0" w:firstColumn="0" w:lastColumn="1" w:oddVBand="0" w:evenVBand="0" w:oddHBand="0" w:evenHBand="0" w:firstRowFirstColumn="0" w:firstRowLastColumn="0" w:lastRowFirstColumn="0" w:lastRowLastColumn="0"/>
            <w:tcW w:w="4394" w:type="dxa"/>
            <w:tcBorders>
              <w:top w:val="single" w:sz="4" w:space="0" w:color="auto"/>
            </w:tcBorders>
            <w:tcMar>
              <w:top w:w="57" w:type="dxa"/>
              <w:bottom w:w="57" w:type="dxa"/>
            </w:tcMar>
          </w:tcPr>
          <w:p w14:paraId="15A5CBB7" w14:textId="1F48B5B7" w:rsidR="00361A12" w:rsidRPr="00200069" w:rsidRDefault="00B77B4A" w:rsidP="008366E2">
            <w:pPr>
              <w:spacing w:before="0" w:after="0"/>
            </w:pPr>
            <w:r>
              <w:t>EDOC2017/31359</w:t>
            </w:r>
          </w:p>
        </w:tc>
      </w:tr>
      <w:tr w:rsidR="00361A12" w:rsidRPr="00004ADA" w14:paraId="3DE06C00" w14:textId="77777777" w:rsidTr="008366E2">
        <w:trPr>
          <w:cnfStyle w:val="000000010000" w:firstRow="0" w:lastRow="0" w:firstColumn="0" w:lastColumn="0" w:oddVBand="0" w:evenVBand="0" w:oddHBand="0" w:evenHBand="1"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129" w:type="dxa"/>
            <w:tcBorders>
              <w:bottom w:val="single" w:sz="4" w:space="0" w:color="1F1F5F" w:themeColor="text1"/>
            </w:tcBorders>
            <w:tcMar>
              <w:top w:w="57" w:type="dxa"/>
              <w:bottom w:w="57" w:type="dxa"/>
            </w:tcMar>
            <w:vAlign w:val="top"/>
          </w:tcPr>
          <w:p w14:paraId="4B838AFB" w14:textId="77777777" w:rsidR="00361A12" w:rsidRDefault="00361A12" w:rsidP="008366E2">
            <w:pPr>
              <w:spacing w:before="0" w:after="0"/>
            </w:pPr>
            <w:r>
              <w:t>5</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Mar>
              <w:top w:w="57" w:type="dxa"/>
              <w:bottom w:w="57" w:type="dxa"/>
            </w:tcMar>
            <w:vAlign w:val="top"/>
          </w:tcPr>
          <w:p w14:paraId="1077A610" w14:textId="2440629C" w:rsidR="00361A12" w:rsidRDefault="003C341D" w:rsidP="008366E2">
            <w:pPr>
              <w:spacing w:before="0" w:after="0"/>
            </w:pPr>
            <w:r>
              <w:t>April 2023</w:t>
            </w:r>
          </w:p>
        </w:tc>
        <w:tc>
          <w:tcPr>
            <w:cnfStyle w:val="000010000000" w:firstRow="0" w:lastRow="0" w:firstColumn="0" w:lastColumn="0" w:oddVBand="1" w:evenVBand="0" w:oddHBand="0" w:evenHBand="0" w:firstRowFirstColumn="0" w:firstRowLastColumn="0" w:lastRowFirstColumn="0" w:lastRowLastColumn="0"/>
            <w:tcW w:w="2552" w:type="dxa"/>
            <w:tcBorders>
              <w:bottom w:val="single" w:sz="4" w:space="0" w:color="1F1F5F" w:themeColor="text1"/>
            </w:tcBorders>
            <w:tcMar>
              <w:top w:w="57" w:type="dxa"/>
              <w:bottom w:w="57" w:type="dxa"/>
            </w:tcMar>
            <w:vAlign w:val="top"/>
          </w:tcPr>
          <w:p w14:paraId="592A7659" w14:textId="77777777" w:rsidR="00361A12" w:rsidRPr="00781E0F" w:rsidRDefault="00361A12" w:rsidP="008366E2">
            <w:pPr>
              <w:spacing w:before="0" w:after="0"/>
            </w:pPr>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Mar>
              <w:top w:w="57" w:type="dxa"/>
              <w:bottom w:w="57" w:type="dxa"/>
            </w:tcMar>
            <w:vAlign w:val="top"/>
          </w:tcPr>
          <w:p w14:paraId="4D0B198F" w14:textId="77777777" w:rsidR="00361A12" w:rsidRPr="00B369C3" w:rsidRDefault="00361A12" w:rsidP="008366E2">
            <w:pPr>
              <w:spacing w:before="0" w:after="0"/>
              <w:rPr>
                <w:rFonts w:ascii="Calibri" w:hAnsi="Calibri"/>
              </w:rPr>
            </w:pPr>
            <w:r>
              <w:t>Administrative amendments to align roles and responsibilities to the structural alignment in effect from 1 July 2022, including NTG template and minor formatting</w:t>
            </w:r>
          </w:p>
        </w:tc>
      </w:tr>
    </w:tbl>
    <w:p w14:paraId="5D1E5BBD" w14:textId="77777777" w:rsidR="00614380" w:rsidRPr="00C62A34" w:rsidRDefault="00614380" w:rsidP="00B44508">
      <w:pPr>
        <w:rPr>
          <w:lang w:eastAsia="en-AU"/>
        </w:rPr>
      </w:pPr>
    </w:p>
    <w:sectPr w:rsidR="00614380" w:rsidRPr="00C62A34" w:rsidSect="003C341D">
      <w:headerReference w:type="default" r:id="rId18"/>
      <w:footerReference w:type="default" r:id="rId19"/>
      <w:headerReference w:type="first" r:id="rId20"/>
      <w:footerReference w:type="first" r:id="rId21"/>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B882" w14:textId="77777777" w:rsidR="009B6BB2" w:rsidRDefault="009B6BB2" w:rsidP="007332FF">
      <w:r>
        <w:separator/>
      </w:r>
    </w:p>
    <w:p w14:paraId="1082F5C6" w14:textId="77777777" w:rsidR="009B6BB2" w:rsidRDefault="009B6BB2"/>
  </w:endnote>
  <w:endnote w:type="continuationSeparator" w:id="0">
    <w:p w14:paraId="32CA38EA" w14:textId="77777777" w:rsidR="009B6BB2" w:rsidRDefault="009B6BB2" w:rsidP="007332FF">
      <w:r>
        <w:continuationSeparator/>
      </w:r>
    </w:p>
    <w:p w14:paraId="12F62F4B" w14:textId="77777777" w:rsidR="009B6BB2" w:rsidRDefault="009B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6265"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547D3C" w14:textId="77777777" w:rsidTr="00D47DC7">
      <w:trPr>
        <w:cantSplit/>
        <w:trHeight w:hRule="exact" w:val="850"/>
      </w:trPr>
      <w:tc>
        <w:tcPr>
          <w:tcW w:w="10318" w:type="dxa"/>
          <w:vAlign w:val="bottom"/>
        </w:tcPr>
        <w:p w14:paraId="42368B11" w14:textId="0F4AFE54"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41E14">
                <w:rPr>
                  <w:rStyle w:val="PageNumber"/>
                  <w:b/>
                </w:rPr>
                <w:t>Education</w:t>
              </w:r>
            </w:sdtContent>
          </w:sdt>
          <w:r w:rsidR="003C341D" w:rsidRPr="003C341D">
            <w:rPr>
              <w:rStyle w:val="PageNumber"/>
            </w:rPr>
            <w:t xml:space="preserve"> – Alcohol consumption</w:t>
          </w:r>
        </w:p>
        <w:p w14:paraId="217DF1FB" w14:textId="6FD1BF23" w:rsidR="004D4BC3" w:rsidRDefault="004D4BC3" w:rsidP="004D4BC3">
          <w:pPr>
            <w:spacing w:after="0"/>
            <w:rPr>
              <w:rStyle w:val="PageNumber"/>
            </w:rPr>
          </w:pPr>
          <w:r>
            <w:rPr>
              <w:rStyle w:val="PageNumber"/>
            </w:rPr>
            <w:t xml:space="preserve">Published </w:t>
          </w:r>
          <w:r w:rsidR="003C341D">
            <w:rPr>
              <w:rStyle w:val="PageNumber"/>
            </w:rPr>
            <w:t>April</w:t>
          </w:r>
          <w:r>
            <w:rPr>
              <w:rStyle w:val="PageNumber"/>
            </w:rPr>
            <w:t xml:space="preserve"> 2023</w:t>
          </w:r>
        </w:p>
        <w:p w14:paraId="2F35DC63"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0455344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D8E3"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C98281B" w14:textId="77777777" w:rsidTr="008921B4">
      <w:trPr>
        <w:cantSplit/>
        <w:trHeight w:hRule="exact" w:val="1134"/>
      </w:trPr>
      <w:tc>
        <w:tcPr>
          <w:tcW w:w="7767" w:type="dxa"/>
          <w:vAlign w:val="bottom"/>
        </w:tcPr>
        <w:p w14:paraId="23A17759" w14:textId="3CB8BDFC"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E07407C0FFBB42279B3194B43D1DF7A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41E14">
                <w:rPr>
                  <w:rStyle w:val="PageNumber"/>
                  <w:b/>
                </w:rPr>
                <w:t>Education</w:t>
              </w:r>
            </w:sdtContent>
          </w:sdt>
          <w:r w:rsidR="003C341D" w:rsidRPr="003C341D">
            <w:rPr>
              <w:rStyle w:val="PageNumber"/>
            </w:rPr>
            <w:t xml:space="preserve"> – Alcohol consumption</w:t>
          </w:r>
        </w:p>
        <w:p w14:paraId="39D18CB7" w14:textId="2263BE33" w:rsidR="009B2D2D" w:rsidRDefault="009B2D2D" w:rsidP="00D47DC7">
          <w:pPr>
            <w:spacing w:after="0"/>
            <w:rPr>
              <w:rStyle w:val="PageNumber"/>
            </w:rPr>
          </w:pPr>
          <w:r>
            <w:rPr>
              <w:rStyle w:val="PageNumber"/>
            </w:rPr>
            <w:t xml:space="preserve">Published </w:t>
          </w:r>
          <w:r w:rsidR="003C341D">
            <w:rPr>
              <w:rStyle w:val="PageNumber"/>
            </w:rPr>
            <w:t>April</w:t>
          </w:r>
          <w:r>
            <w:rPr>
              <w:rStyle w:val="PageNumber"/>
            </w:rPr>
            <w:t xml:space="preserve"> 2023</w:t>
          </w:r>
        </w:p>
        <w:p w14:paraId="4DB74FE6" w14:textId="29B5AD99"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793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7939">
            <w:rPr>
              <w:rStyle w:val="PageNumber"/>
              <w:noProof/>
            </w:rPr>
            <w:t>1</w:t>
          </w:r>
          <w:r w:rsidRPr="00AC4488">
            <w:rPr>
              <w:rStyle w:val="PageNumber"/>
            </w:rPr>
            <w:fldChar w:fldCharType="end"/>
          </w:r>
        </w:p>
      </w:tc>
      <w:tc>
        <w:tcPr>
          <w:tcW w:w="2551" w:type="dxa"/>
          <w:vAlign w:val="bottom"/>
        </w:tcPr>
        <w:p w14:paraId="0C81048C" w14:textId="77777777" w:rsidR="0071700C" w:rsidRPr="001E14EB" w:rsidRDefault="0071700C" w:rsidP="0071700C">
          <w:pPr>
            <w:spacing w:after="0"/>
            <w:jc w:val="right"/>
          </w:pPr>
          <w:r>
            <w:rPr>
              <w:noProof/>
              <w:lang w:eastAsia="en-AU"/>
            </w:rPr>
            <w:drawing>
              <wp:inline distT="0" distB="0" distL="0" distR="0" wp14:anchorId="6279B852" wp14:editId="72A1066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44764F6"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6223" w14:textId="77777777" w:rsidR="009B6BB2" w:rsidRDefault="009B6BB2" w:rsidP="007332FF">
      <w:r>
        <w:separator/>
      </w:r>
    </w:p>
    <w:p w14:paraId="5C7DC0F0" w14:textId="77777777" w:rsidR="009B6BB2" w:rsidRDefault="009B6BB2"/>
  </w:footnote>
  <w:footnote w:type="continuationSeparator" w:id="0">
    <w:p w14:paraId="7419FF5F" w14:textId="77777777" w:rsidR="009B6BB2" w:rsidRDefault="009B6BB2" w:rsidP="007332FF">
      <w:r>
        <w:continuationSeparator/>
      </w:r>
    </w:p>
    <w:p w14:paraId="2466CF4F" w14:textId="77777777" w:rsidR="009B6BB2" w:rsidRDefault="009B6BB2"/>
  </w:footnote>
  <w:footnote w:id="1">
    <w:p w14:paraId="1B58CFD2" w14:textId="77777777" w:rsidR="003C341D" w:rsidRPr="00B77B4A" w:rsidRDefault="003C341D" w:rsidP="003C341D">
      <w:pPr>
        <w:pStyle w:val="FootnoteText"/>
        <w:rPr>
          <w:lang w:val="en-US"/>
        </w:rPr>
      </w:pPr>
      <w:r>
        <w:rPr>
          <w:rStyle w:val="FootnoteReference"/>
        </w:rPr>
        <w:footnoteRef/>
      </w:r>
      <w:r>
        <w:t xml:space="preserve"> </w:t>
      </w:r>
      <w:hyperlink r:id="rId1" w:history="1">
        <w:r w:rsidRPr="00F52AEC">
          <w:rPr>
            <w:rStyle w:val="Hyperlink"/>
            <w:rFonts w:cs="Arial"/>
          </w:rPr>
          <w:t>https://nt.gov.au/industry/hospitality/apply-for-a-liquor-licence</w:t>
        </w:r>
      </w:hyperlink>
      <w:r>
        <w:rPr>
          <w:rStyle w:val="Hyperlink"/>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82C9" w14:textId="2D21F495" w:rsidR="00796F4E" w:rsidRDefault="00F3395B" w:rsidP="003C341D">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C341D">
          <w:t>Alcohol consumption on department premises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BDE17E1" w14:textId="4277D21F" w:rsidR="00796F4E" w:rsidRDefault="0099095E" w:rsidP="00771AD6">
        <w:pPr>
          <w:pStyle w:val="Title"/>
        </w:pPr>
        <w:r>
          <w:rPr>
            <w:rStyle w:val="TitleChar"/>
          </w:rPr>
          <w:t xml:space="preserve">Alcohol consumption on department premises </w:t>
        </w:r>
        <w:r w:rsidR="003C341D">
          <w:rPr>
            <w:rStyle w:val="TitleChar"/>
          </w:rPr>
          <w:t>–</w:t>
        </w:r>
        <w:r>
          <w:rPr>
            <w:rStyle w:val="TitleChar"/>
          </w:rPr>
          <w:t xml:space="preserve"> </w:t>
        </w:r>
        <w:r w:rsidR="0085297D">
          <w:rPr>
            <w:rStyle w:val="TitleChar"/>
          </w:rPr>
          <w:t>p</w:t>
        </w:r>
        <w:r>
          <w:rPr>
            <w:rStyle w:val="TitleChar"/>
          </w:rPr>
          <w:t>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799"/>
    <w:multiLevelType w:val="hybridMultilevel"/>
    <w:tmpl w:val="EA86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C705C"/>
    <w:multiLevelType w:val="hybridMultilevel"/>
    <w:tmpl w:val="50064E42"/>
    <w:lvl w:ilvl="0" w:tplc="E9029D2C">
      <w:numFmt w:val="bullet"/>
      <w:lvlText w:val="•"/>
      <w:lvlJc w:val="left"/>
      <w:pPr>
        <w:ind w:left="1080" w:hanging="36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9D7C8D"/>
    <w:multiLevelType w:val="hybridMultilevel"/>
    <w:tmpl w:val="B292176C"/>
    <w:lvl w:ilvl="0" w:tplc="E29E4216">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A501DD"/>
    <w:multiLevelType w:val="hybridMultilevel"/>
    <w:tmpl w:val="9C7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1520E7"/>
    <w:multiLevelType w:val="multilevel"/>
    <w:tmpl w:val="4E6AC8F6"/>
    <w:numStyleLink w:val="Numberlist"/>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46712125"/>
    <w:multiLevelType w:val="hybridMultilevel"/>
    <w:tmpl w:val="A568F3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6" w15:restartNumberingAfterBreak="0">
    <w:nsid w:val="485D6159"/>
    <w:multiLevelType w:val="hybridMultilevel"/>
    <w:tmpl w:val="CF1E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FD3A20"/>
    <w:multiLevelType w:val="multilevel"/>
    <w:tmpl w:val="3E5E177A"/>
    <w:name w:val="NTG Table Bullet List3322222222222"/>
    <w:numStyleLink w:val="Tablenumberlist"/>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4D573E85"/>
    <w:multiLevelType w:val="hybridMultilevel"/>
    <w:tmpl w:val="00FAE8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4EF42A99"/>
    <w:multiLevelType w:val="hybridMultilevel"/>
    <w:tmpl w:val="6DEC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7C2592"/>
    <w:multiLevelType w:val="hybridMultilevel"/>
    <w:tmpl w:val="0212B4F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8E21323"/>
    <w:multiLevelType w:val="multilevel"/>
    <w:tmpl w:val="4E6AC8F6"/>
    <w:numStyleLink w:val="Numberlist"/>
  </w:abstractNum>
  <w:abstractNum w:abstractNumId="66" w15:restartNumberingAfterBreak="0">
    <w:nsid w:val="5B9A5FFE"/>
    <w:multiLevelType w:val="multilevel"/>
    <w:tmpl w:val="0C78A7AC"/>
    <w:name w:val="NTG Table Bullet List33222222222222"/>
    <w:numStyleLink w:val="Tablebulletlist"/>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5E791414"/>
    <w:multiLevelType w:val="hybridMultilevel"/>
    <w:tmpl w:val="00BEDF42"/>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6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4" w15:restartNumberingAfterBreak="0">
    <w:nsid w:val="674A58F4"/>
    <w:multiLevelType w:val="hybridMultilevel"/>
    <w:tmpl w:val="37DEBE2C"/>
    <w:lvl w:ilvl="0" w:tplc="334AE6BE">
      <w:start w:val="1"/>
      <w:numFmt w:val="decimal"/>
      <w:lvlText w:val="%1."/>
      <w:lvlJc w:val="left"/>
      <w:pPr>
        <w:ind w:left="720" w:hanging="360"/>
      </w:pPr>
      <w:rPr>
        <w:rFonts w:asciiTheme="majorHAnsi" w:hAnsiTheme="majorHAnsi" w:hint="default"/>
        <w:b w:val="0"/>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9262556"/>
    <w:multiLevelType w:val="multilevel"/>
    <w:tmpl w:val="3E5E177A"/>
    <w:name w:val="NTG Table Bullet List3322222222222222"/>
    <w:numStyleLink w:val="Tablenumberlist"/>
  </w:abstractNum>
  <w:abstractNum w:abstractNumId="7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12B5A89"/>
    <w:multiLevelType w:val="hybridMultilevel"/>
    <w:tmpl w:val="E906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1937476"/>
    <w:multiLevelType w:val="hybridMultilevel"/>
    <w:tmpl w:val="4F420F08"/>
    <w:lvl w:ilvl="0" w:tplc="9AC2AF9A">
      <w:numFmt w:val="bullet"/>
      <w:lvlText w:val="•"/>
      <w:lvlJc w:val="left"/>
      <w:pPr>
        <w:ind w:left="1440" w:hanging="720"/>
      </w:pPr>
      <w:rPr>
        <w:rFonts w:ascii="Lato" w:eastAsia="Calibri" w:hAnsi="Lato"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53664D"/>
    <w:multiLevelType w:val="multilevel"/>
    <w:tmpl w:val="0C78A7AC"/>
    <w:name w:val="NTG Table Bullet List3322222222222222222"/>
    <w:numStyleLink w:val="Tablebulletlist"/>
  </w:abstractNum>
  <w:abstractNum w:abstractNumId="82" w15:restartNumberingAfterBreak="0">
    <w:nsid w:val="76141D1E"/>
    <w:multiLevelType w:val="multilevel"/>
    <w:tmpl w:val="0C78A7AC"/>
    <w:name w:val="NTG Table Bullet List332222222222"/>
    <w:numStyleLink w:val="Tablebulletlist"/>
  </w:abstractNum>
  <w:abstractNum w:abstractNumId="83" w15:restartNumberingAfterBreak="0">
    <w:nsid w:val="765A32D4"/>
    <w:multiLevelType w:val="multilevel"/>
    <w:tmpl w:val="4E6AC8F6"/>
    <w:numStyleLink w:val="Numberlist"/>
  </w:abstractNum>
  <w:abstractNum w:abstractNumId="84" w15:restartNumberingAfterBreak="0">
    <w:nsid w:val="767065E3"/>
    <w:multiLevelType w:val="hybridMultilevel"/>
    <w:tmpl w:val="DF0C7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7" w15:restartNumberingAfterBreak="0">
    <w:nsid w:val="7C8540E4"/>
    <w:multiLevelType w:val="hybridMultilevel"/>
    <w:tmpl w:val="52A4C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9" w15:restartNumberingAfterBreak="0">
    <w:nsid w:val="7FA81A28"/>
    <w:multiLevelType w:val="hybridMultilevel"/>
    <w:tmpl w:val="7174F0F8"/>
    <w:lvl w:ilvl="0" w:tplc="E9029D2C">
      <w:numFmt w:val="bullet"/>
      <w:lvlText w:val="•"/>
      <w:lvlJc w:val="left"/>
      <w:pPr>
        <w:ind w:left="1800" w:hanging="360"/>
      </w:pPr>
      <w:rPr>
        <w:rFonts w:ascii="Lato" w:eastAsia="Calibri" w:hAnsi="Lato"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7"/>
  </w:num>
  <w:num w:numId="2">
    <w:abstractNumId w:val="25"/>
  </w:num>
  <w:num w:numId="3">
    <w:abstractNumId w:val="86"/>
  </w:num>
  <w:num w:numId="4">
    <w:abstractNumId w:val="49"/>
  </w:num>
  <w:num w:numId="5">
    <w:abstractNumId w:val="31"/>
  </w:num>
  <w:num w:numId="6">
    <w:abstractNumId w:val="17"/>
  </w:num>
  <w:num w:numId="7">
    <w:abstractNumId w:val="57"/>
  </w:num>
  <w:num w:numId="8">
    <w:abstractNumId w:val="28"/>
  </w:num>
  <w:num w:numId="9">
    <w:abstractNumId w:val="65"/>
  </w:num>
  <w:num w:numId="10">
    <w:abstractNumId w:val="22"/>
  </w:num>
  <w:num w:numId="11">
    <w:abstractNumId w:val="72"/>
  </w:num>
  <w:num w:numId="12">
    <w:abstractNumId w:val="19"/>
  </w:num>
  <w:num w:numId="13">
    <w:abstractNumId w:val="3"/>
  </w:num>
  <w:num w:numId="14">
    <w:abstractNumId w:val="70"/>
  </w:num>
  <w:num w:numId="15">
    <w:abstractNumId w:val="30"/>
  </w:num>
  <w:num w:numId="16">
    <w:abstractNumId w:val="71"/>
  </w:num>
  <w:num w:numId="17">
    <w:abstractNumId w:val="83"/>
  </w:num>
  <w:num w:numId="18">
    <w:abstractNumId w:val="64"/>
  </w:num>
  <w:num w:numId="19">
    <w:abstractNumId w:val="54"/>
  </w:num>
  <w:num w:numId="20">
    <w:abstractNumId w:val="59"/>
  </w:num>
  <w:num w:numId="21">
    <w:abstractNumId w:val="42"/>
  </w:num>
  <w:num w:numId="22">
    <w:abstractNumId w:val="62"/>
  </w:num>
  <w:num w:numId="23">
    <w:abstractNumId w:val="53"/>
  </w:num>
  <w:num w:numId="24">
    <w:abstractNumId w:val="44"/>
  </w:num>
  <w:num w:numId="25">
    <w:abstractNumId w:val="40"/>
  </w:num>
  <w:num w:numId="26">
    <w:abstractNumId w:val="12"/>
  </w:num>
  <w:num w:numId="27">
    <w:abstractNumId w:val="85"/>
  </w:num>
  <w:num w:numId="28">
    <w:abstractNumId w:val="39"/>
  </w:num>
  <w:num w:numId="29">
    <w:abstractNumId w:val="32"/>
  </w:num>
  <w:num w:numId="30">
    <w:abstractNumId w:val="2"/>
  </w:num>
  <w:num w:numId="31">
    <w:abstractNumId w:val="43"/>
  </w:num>
  <w:num w:numId="32">
    <w:abstractNumId w:val="11"/>
  </w:num>
  <w:num w:numId="33">
    <w:abstractNumId w:val="73"/>
  </w:num>
  <w:num w:numId="34">
    <w:abstractNumId w:val="35"/>
  </w:num>
  <w:num w:numId="35">
    <w:abstractNumId w:val="56"/>
  </w:num>
  <w:num w:numId="36">
    <w:abstractNumId w:val="75"/>
  </w:num>
  <w:num w:numId="37">
    <w:abstractNumId w:val="77"/>
  </w:num>
  <w:num w:numId="38">
    <w:abstractNumId w:val="16"/>
  </w:num>
  <w:num w:numId="39">
    <w:abstractNumId w:val="29"/>
  </w:num>
  <w:num w:numId="40">
    <w:abstractNumId w:val="80"/>
  </w:num>
  <w:num w:numId="41">
    <w:abstractNumId w:val="4"/>
  </w:num>
  <w:num w:numId="42">
    <w:abstractNumId w:val="69"/>
  </w:num>
  <w:num w:numId="43">
    <w:abstractNumId w:val="13"/>
  </w:num>
  <w:num w:numId="44">
    <w:abstractNumId w:val="38"/>
  </w:num>
  <w:num w:numId="45">
    <w:abstractNumId w:val="4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63"/>
  </w:num>
  <w:num w:numId="49">
    <w:abstractNumId w:val="51"/>
  </w:num>
  <w:num w:numId="50">
    <w:abstractNumId w:val="74"/>
  </w:num>
  <w:num w:numId="51">
    <w:abstractNumId w:val="46"/>
  </w:num>
  <w:num w:numId="52">
    <w:abstractNumId w:val="1"/>
  </w:num>
  <w:num w:numId="53">
    <w:abstractNumId w:val="89"/>
  </w:num>
  <w:num w:numId="54">
    <w:abstractNumId w:val="79"/>
  </w:num>
  <w:num w:numId="55">
    <w:abstractNumId w:val="52"/>
  </w:num>
  <w:num w:numId="56">
    <w:abstractNumId w:val="87"/>
  </w:num>
  <w:num w:numId="57">
    <w:abstractNumId w:val="55"/>
  </w:num>
  <w:num w:numId="58">
    <w:abstractNumId w:val="78"/>
  </w:num>
  <w:num w:numId="59">
    <w:abstractNumId w:val="23"/>
  </w:num>
  <w:num w:numId="60">
    <w:abstractNumId w:val="68"/>
  </w:num>
  <w:num w:numId="61">
    <w:abstractNumId w:val="84"/>
  </w:num>
  <w:num w:numId="62">
    <w:abstractNumId w:val="45"/>
  </w:num>
  <w:num w:numId="63">
    <w:abstractNumId w:val="0"/>
  </w:num>
  <w:num w:numId="64">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F8"/>
    <w:rsid w:val="00001DDF"/>
    <w:rsid w:val="0000322D"/>
    <w:rsid w:val="00007670"/>
    <w:rsid w:val="00010665"/>
    <w:rsid w:val="0002393A"/>
    <w:rsid w:val="00025BE1"/>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06046"/>
    <w:rsid w:val="001125AA"/>
    <w:rsid w:val="001137EC"/>
    <w:rsid w:val="001152F5"/>
    <w:rsid w:val="00117743"/>
    <w:rsid w:val="00117F5B"/>
    <w:rsid w:val="001214E4"/>
    <w:rsid w:val="001244B2"/>
    <w:rsid w:val="00132658"/>
    <w:rsid w:val="00150DC0"/>
    <w:rsid w:val="0015394D"/>
    <w:rsid w:val="00156CD4"/>
    <w:rsid w:val="0016153B"/>
    <w:rsid w:val="00162207"/>
    <w:rsid w:val="00164A3E"/>
    <w:rsid w:val="00166FF6"/>
    <w:rsid w:val="00176123"/>
    <w:rsid w:val="00181620"/>
    <w:rsid w:val="00183123"/>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6935"/>
    <w:rsid w:val="00230031"/>
    <w:rsid w:val="00235C01"/>
    <w:rsid w:val="002406F8"/>
    <w:rsid w:val="002427F6"/>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288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5B5"/>
    <w:rsid w:val="00343A87"/>
    <w:rsid w:val="00344A36"/>
    <w:rsid w:val="003456F4"/>
    <w:rsid w:val="00347FB6"/>
    <w:rsid w:val="003504FD"/>
    <w:rsid w:val="00350881"/>
    <w:rsid w:val="00357D55"/>
    <w:rsid w:val="00361A12"/>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341D"/>
    <w:rsid w:val="003C4941"/>
    <w:rsid w:val="003C6C50"/>
    <w:rsid w:val="003C6C5D"/>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6E17"/>
    <w:rsid w:val="00467747"/>
    <w:rsid w:val="00470017"/>
    <w:rsid w:val="00470DF2"/>
    <w:rsid w:val="0047105A"/>
    <w:rsid w:val="00473C98"/>
    <w:rsid w:val="00474965"/>
    <w:rsid w:val="00482DF8"/>
    <w:rsid w:val="004864DE"/>
    <w:rsid w:val="00494BE5"/>
    <w:rsid w:val="004A0EBA"/>
    <w:rsid w:val="004A2538"/>
    <w:rsid w:val="004A331E"/>
    <w:rsid w:val="004A71F1"/>
    <w:rsid w:val="004B0C15"/>
    <w:rsid w:val="004B35EA"/>
    <w:rsid w:val="004B69E4"/>
    <w:rsid w:val="004C6C39"/>
    <w:rsid w:val="004C7EC4"/>
    <w:rsid w:val="004D075F"/>
    <w:rsid w:val="004D1B76"/>
    <w:rsid w:val="004D344E"/>
    <w:rsid w:val="004D464A"/>
    <w:rsid w:val="004D48DF"/>
    <w:rsid w:val="004D4BC3"/>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6BDD"/>
    <w:rsid w:val="00597234"/>
    <w:rsid w:val="005A4AC0"/>
    <w:rsid w:val="005A539B"/>
    <w:rsid w:val="005A5FDF"/>
    <w:rsid w:val="005B0FB7"/>
    <w:rsid w:val="005B122A"/>
    <w:rsid w:val="005B1FCB"/>
    <w:rsid w:val="005B5AC2"/>
    <w:rsid w:val="005C2833"/>
    <w:rsid w:val="005C5CCB"/>
    <w:rsid w:val="005D39FC"/>
    <w:rsid w:val="005E060F"/>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7584"/>
    <w:rsid w:val="006D66F7"/>
    <w:rsid w:val="006F7A77"/>
    <w:rsid w:val="00705C9D"/>
    <w:rsid w:val="00705F13"/>
    <w:rsid w:val="0070624C"/>
    <w:rsid w:val="00707266"/>
    <w:rsid w:val="00714F1D"/>
    <w:rsid w:val="00715225"/>
    <w:rsid w:val="00715FB0"/>
    <w:rsid w:val="0071700C"/>
    <w:rsid w:val="00720662"/>
    <w:rsid w:val="00720CC6"/>
    <w:rsid w:val="00722DDB"/>
    <w:rsid w:val="00724728"/>
    <w:rsid w:val="00724F98"/>
    <w:rsid w:val="00730B9B"/>
    <w:rsid w:val="0073182E"/>
    <w:rsid w:val="007332FF"/>
    <w:rsid w:val="007408F5"/>
    <w:rsid w:val="00741E14"/>
    <w:rsid w:val="00741EAE"/>
    <w:rsid w:val="0075234F"/>
    <w:rsid w:val="00755248"/>
    <w:rsid w:val="0076190B"/>
    <w:rsid w:val="0076355D"/>
    <w:rsid w:val="00763A2D"/>
    <w:rsid w:val="007676A4"/>
    <w:rsid w:val="00771AD6"/>
    <w:rsid w:val="00777795"/>
    <w:rsid w:val="00783A57"/>
    <w:rsid w:val="00784C92"/>
    <w:rsid w:val="007859CD"/>
    <w:rsid w:val="00785C24"/>
    <w:rsid w:val="007907E4"/>
    <w:rsid w:val="00796461"/>
    <w:rsid w:val="00796F4E"/>
    <w:rsid w:val="007A6A4F"/>
    <w:rsid w:val="007B03F5"/>
    <w:rsid w:val="007B5C09"/>
    <w:rsid w:val="007B5DA2"/>
    <w:rsid w:val="007C0966"/>
    <w:rsid w:val="007C19E7"/>
    <w:rsid w:val="007C5CFD"/>
    <w:rsid w:val="007C6D9F"/>
    <w:rsid w:val="007D4893"/>
    <w:rsid w:val="007E70CF"/>
    <w:rsid w:val="007E74A4"/>
    <w:rsid w:val="007F1B6F"/>
    <w:rsid w:val="007F263F"/>
    <w:rsid w:val="00800B57"/>
    <w:rsid w:val="008015A8"/>
    <w:rsid w:val="0080766E"/>
    <w:rsid w:val="00811169"/>
    <w:rsid w:val="00815297"/>
    <w:rsid w:val="008170DB"/>
    <w:rsid w:val="00817BA1"/>
    <w:rsid w:val="00823022"/>
    <w:rsid w:val="0082634E"/>
    <w:rsid w:val="008313C4"/>
    <w:rsid w:val="00835434"/>
    <w:rsid w:val="008358C0"/>
    <w:rsid w:val="008366E2"/>
    <w:rsid w:val="00842838"/>
    <w:rsid w:val="0085297D"/>
    <w:rsid w:val="00854EC1"/>
    <w:rsid w:val="0085797F"/>
    <w:rsid w:val="00861AC0"/>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0F7F"/>
    <w:rsid w:val="008A4B30"/>
    <w:rsid w:val="008A6FA0"/>
    <w:rsid w:val="008A7C12"/>
    <w:rsid w:val="008B03CE"/>
    <w:rsid w:val="008B529E"/>
    <w:rsid w:val="008B5EB5"/>
    <w:rsid w:val="008C17FB"/>
    <w:rsid w:val="008C70BB"/>
    <w:rsid w:val="008D1B00"/>
    <w:rsid w:val="008D57B8"/>
    <w:rsid w:val="008E03FC"/>
    <w:rsid w:val="008E510B"/>
    <w:rsid w:val="008E7818"/>
    <w:rsid w:val="00902B13"/>
    <w:rsid w:val="00911941"/>
    <w:rsid w:val="0092024D"/>
    <w:rsid w:val="00925146"/>
    <w:rsid w:val="00925F0F"/>
    <w:rsid w:val="00932F6B"/>
    <w:rsid w:val="009444F0"/>
    <w:rsid w:val="009468BC"/>
    <w:rsid w:val="00947FAE"/>
    <w:rsid w:val="009616DF"/>
    <w:rsid w:val="0096395F"/>
    <w:rsid w:val="0096542F"/>
    <w:rsid w:val="00967FA7"/>
    <w:rsid w:val="00971645"/>
    <w:rsid w:val="00977919"/>
    <w:rsid w:val="00983000"/>
    <w:rsid w:val="009870FA"/>
    <w:rsid w:val="0099095E"/>
    <w:rsid w:val="009921C3"/>
    <w:rsid w:val="0099551D"/>
    <w:rsid w:val="009A5897"/>
    <w:rsid w:val="009A5F24"/>
    <w:rsid w:val="009A7977"/>
    <w:rsid w:val="009B0B3E"/>
    <w:rsid w:val="009B1913"/>
    <w:rsid w:val="009B2D2D"/>
    <w:rsid w:val="009B6657"/>
    <w:rsid w:val="009B6966"/>
    <w:rsid w:val="009B6BB2"/>
    <w:rsid w:val="009D0EB5"/>
    <w:rsid w:val="009D14F9"/>
    <w:rsid w:val="009D2B74"/>
    <w:rsid w:val="009D63FF"/>
    <w:rsid w:val="009E175D"/>
    <w:rsid w:val="009E3CC2"/>
    <w:rsid w:val="009F06BD"/>
    <w:rsid w:val="009F2A4D"/>
    <w:rsid w:val="00A00828"/>
    <w:rsid w:val="00A03290"/>
    <w:rsid w:val="00A0387E"/>
    <w:rsid w:val="00A0588B"/>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03CF"/>
    <w:rsid w:val="00A83031"/>
    <w:rsid w:val="00A85D0C"/>
    <w:rsid w:val="00A925EC"/>
    <w:rsid w:val="00A929AA"/>
    <w:rsid w:val="00A92B6B"/>
    <w:rsid w:val="00AA2CB2"/>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4508"/>
    <w:rsid w:val="00B5084A"/>
    <w:rsid w:val="00B606A1"/>
    <w:rsid w:val="00B614F7"/>
    <w:rsid w:val="00B61B26"/>
    <w:rsid w:val="00B65E6B"/>
    <w:rsid w:val="00B66FA3"/>
    <w:rsid w:val="00B675B2"/>
    <w:rsid w:val="00B77B4A"/>
    <w:rsid w:val="00B81261"/>
    <w:rsid w:val="00B8223E"/>
    <w:rsid w:val="00B832AE"/>
    <w:rsid w:val="00B86678"/>
    <w:rsid w:val="00B92F9B"/>
    <w:rsid w:val="00B941B3"/>
    <w:rsid w:val="00B95FFF"/>
    <w:rsid w:val="00B96513"/>
    <w:rsid w:val="00BA1D47"/>
    <w:rsid w:val="00BA66F0"/>
    <w:rsid w:val="00BB2239"/>
    <w:rsid w:val="00BB2AE7"/>
    <w:rsid w:val="00BB6464"/>
    <w:rsid w:val="00BC1BB8"/>
    <w:rsid w:val="00BD7FE1"/>
    <w:rsid w:val="00BE2BA6"/>
    <w:rsid w:val="00BE37CA"/>
    <w:rsid w:val="00BE6144"/>
    <w:rsid w:val="00BE635A"/>
    <w:rsid w:val="00BF17E9"/>
    <w:rsid w:val="00BF2ABB"/>
    <w:rsid w:val="00BF5099"/>
    <w:rsid w:val="00C10B5E"/>
    <w:rsid w:val="00C10F10"/>
    <w:rsid w:val="00C12382"/>
    <w:rsid w:val="00C15D4D"/>
    <w:rsid w:val="00C175DC"/>
    <w:rsid w:val="00C270B9"/>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D49"/>
    <w:rsid w:val="00CA36A0"/>
    <w:rsid w:val="00CA6BC5"/>
    <w:rsid w:val="00CC571B"/>
    <w:rsid w:val="00CC61CD"/>
    <w:rsid w:val="00CC6C02"/>
    <w:rsid w:val="00CC737B"/>
    <w:rsid w:val="00CD5011"/>
    <w:rsid w:val="00CE640F"/>
    <w:rsid w:val="00CE76BC"/>
    <w:rsid w:val="00CF07DF"/>
    <w:rsid w:val="00CF4C23"/>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10C5"/>
    <w:rsid w:val="00DA5285"/>
    <w:rsid w:val="00DB191D"/>
    <w:rsid w:val="00DB4F91"/>
    <w:rsid w:val="00DB6D0A"/>
    <w:rsid w:val="00DC06BE"/>
    <w:rsid w:val="00DC1F0F"/>
    <w:rsid w:val="00DC3117"/>
    <w:rsid w:val="00DC4E2A"/>
    <w:rsid w:val="00DC5DD9"/>
    <w:rsid w:val="00DC6D2D"/>
    <w:rsid w:val="00DD4E59"/>
    <w:rsid w:val="00DD7EE7"/>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176B"/>
    <w:rsid w:val="00E33136"/>
    <w:rsid w:val="00E34D7C"/>
    <w:rsid w:val="00E3723D"/>
    <w:rsid w:val="00E41B09"/>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378B"/>
    <w:rsid w:val="00E956C5"/>
    <w:rsid w:val="00E95C39"/>
    <w:rsid w:val="00EA2C39"/>
    <w:rsid w:val="00EB0A3C"/>
    <w:rsid w:val="00EB0A96"/>
    <w:rsid w:val="00EB77F9"/>
    <w:rsid w:val="00EC266B"/>
    <w:rsid w:val="00EC5769"/>
    <w:rsid w:val="00EC7939"/>
    <w:rsid w:val="00EC7D00"/>
    <w:rsid w:val="00ED0304"/>
    <w:rsid w:val="00ED4FF7"/>
    <w:rsid w:val="00ED5B7B"/>
    <w:rsid w:val="00EE38FA"/>
    <w:rsid w:val="00EE3E2C"/>
    <w:rsid w:val="00EE5744"/>
    <w:rsid w:val="00EE5D23"/>
    <w:rsid w:val="00EE750D"/>
    <w:rsid w:val="00EF3CA4"/>
    <w:rsid w:val="00EF49A8"/>
    <w:rsid w:val="00EF7859"/>
    <w:rsid w:val="00F014DA"/>
    <w:rsid w:val="00F02591"/>
    <w:rsid w:val="00F30AE1"/>
    <w:rsid w:val="00F3395B"/>
    <w:rsid w:val="00F46EA5"/>
    <w:rsid w:val="00F529F1"/>
    <w:rsid w:val="00F52AEC"/>
    <w:rsid w:val="00F5696E"/>
    <w:rsid w:val="00F60EFF"/>
    <w:rsid w:val="00F67D2D"/>
    <w:rsid w:val="00F858F2"/>
    <w:rsid w:val="00F860CC"/>
    <w:rsid w:val="00F94398"/>
    <w:rsid w:val="00FB2B56"/>
    <w:rsid w:val="00FB55D5"/>
    <w:rsid w:val="00FC12BF"/>
    <w:rsid w:val="00FC2C60"/>
    <w:rsid w:val="00FD00F5"/>
    <w:rsid w:val="00FD3E6F"/>
    <w:rsid w:val="00FD51B9"/>
    <w:rsid w:val="00FD5849"/>
    <w:rsid w:val="00FE03E4"/>
    <w:rsid w:val="00FE2A39"/>
    <w:rsid w:val="00FE530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34169"/>
  <w15:docId w15:val="{0F0C8617-FBF9-4140-95B0-E3F779AF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table" w:customStyle="1" w:styleId="NTGtable1">
    <w:name w:val="NTG table 1"/>
    <w:basedOn w:val="TableNormal"/>
    <w:uiPriority w:val="99"/>
    <w:rsid w:val="002406F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customStyle="1" w:styleId="Default">
    <w:name w:val="Default"/>
    <w:rsid w:val="002406F8"/>
    <w:pPr>
      <w:autoSpaceDE w:val="0"/>
      <w:autoSpaceDN w:val="0"/>
      <w:adjustRightInd w:val="0"/>
      <w:spacing w:after="0"/>
    </w:pPr>
    <w:rPr>
      <w:rFonts w:eastAsia="Times New Roman" w:cs="Arial"/>
      <w:color w:val="000000"/>
      <w:sz w:val="24"/>
      <w:szCs w:val="24"/>
      <w:lang w:eastAsia="en-AU"/>
    </w:rPr>
  </w:style>
  <w:style w:type="character" w:styleId="FollowedHyperlink">
    <w:name w:val="FollowedHyperlink"/>
    <w:basedOn w:val="DefaultParagraphFont"/>
    <w:uiPriority w:val="99"/>
    <w:semiHidden/>
    <w:unhideWhenUsed/>
    <w:rsid w:val="00216935"/>
    <w:rPr>
      <w:color w:val="8C4799" w:themeColor="followedHyperlink"/>
      <w:u w:val="single"/>
    </w:rPr>
  </w:style>
  <w:style w:type="character" w:styleId="UnresolvedMention">
    <w:name w:val="Unresolved Mention"/>
    <w:basedOn w:val="DefaultParagraphFont"/>
    <w:uiPriority w:val="99"/>
    <w:semiHidden/>
    <w:unhideWhenUsed/>
    <w:rsid w:val="00B44508"/>
    <w:rPr>
      <w:color w:val="605E5C"/>
      <w:shd w:val="clear" w:color="auto" w:fill="E1DFDD"/>
    </w:rPr>
  </w:style>
  <w:style w:type="character" w:styleId="CommentReference">
    <w:name w:val="annotation reference"/>
    <w:basedOn w:val="DefaultParagraphFont"/>
    <w:uiPriority w:val="99"/>
    <w:semiHidden/>
    <w:unhideWhenUsed/>
    <w:rsid w:val="00B44508"/>
    <w:rPr>
      <w:sz w:val="16"/>
      <w:szCs w:val="16"/>
    </w:rPr>
  </w:style>
  <w:style w:type="paragraph" w:styleId="CommentText">
    <w:name w:val="annotation text"/>
    <w:basedOn w:val="Normal"/>
    <w:link w:val="CommentTextChar"/>
    <w:uiPriority w:val="99"/>
    <w:unhideWhenUsed/>
    <w:rsid w:val="00B44508"/>
    <w:rPr>
      <w:sz w:val="20"/>
      <w:szCs w:val="20"/>
    </w:rPr>
  </w:style>
  <w:style w:type="character" w:customStyle="1" w:styleId="CommentTextChar">
    <w:name w:val="Comment Text Char"/>
    <w:basedOn w:val="DefaultParagraphFont"/>
    <w:link w:val="CommentText"/>
    <w:uiPriority w:val="99"/>
    <w:rsid w:val="00B4450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44508"/>
    <w:rPr>
      <w:b/>
      <w:bCs/>
    </w:rPr>
  </w:style>
  <w:style w:type="character" w:customStyle="1" w:styleId="CommentSubjectChar">
    <w:name w:val="Comment Subject Char"/>
    <w:basedOn w:val="CommentTextChar"/>
    <w:link w:val="CommentSubject"/>
    <w:uiPriority w:val="99"/>
    <w:semiHidden/>
    <w:rsid w:val="00B44508"/>
    <w:rPr>
      <w:rFonts w:ascii="Lato" w:hAnsi="Lato"/>
      <w:b/>
      <w:bCs/>
      <w:sz w:val="20"/>
      <w:szCs w:val="20"/>
    </w:rPr>
  </w:style>
  <w:style w:type="paragraph" w:styleId="Revision">
    <w:name w:val="Revision"/>
    <w:hidden/>
    <w:uiPriority w:val="99"/>
    <w:semiHidden/>
    <w:rsid w:val="00F52AE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6590296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GAMING-CONTROL-COMMUNITY-GAMING-REGULATIONS-2006"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ocpe.nt.gov.au/employment-conditions-appeals-grievances/code-of-conduct" TargetMode="External"/><Relationship Id="rId17" Type="http://schemas.openxmlformats.org/officeDocument/2006/relationships/hyperlink" Target="mailto:schoolops@education.nt.gov.au" TargetMode="External"/><Relationship Id="rId2" Type="http://schemas.openxmlformats.org/officeDocument/2006/relationships/customXml" Target="../customXml/item2.xml"/><Relationship Id="rId16" Type="http://schemas.openxmlformats.org/officeDocument/2006/relationships/hyperlink" Target="https://nt.gov.au/industry/hospitality/liquor-licences-and-wholesaler-registration/apply-for-a-liquor-lic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ntschools.net/documentcentre/pfgdocs/2/Hospitality%20Entertainment%20Work%20Refreshments/Hospitality%20entertainment%20and%20work%20refreshments%20guidelines%20and%20procedur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learn.ntschools.net/policies/3964" TargetMode="External"/><Relationship Id="rId23" Type="http://schemas.openxmlformats.org/officeDocument/2006/relationships/glossaryDocument" Target="glossary/document.xml"/><Relationship Id="rId10" Type="http://schemas.openxmlformats.org/officeDocument/2006/relationships/hyperlink" Target="http://ed.ntschools.net/documentcentre/pfgdocs/2/Delegations/Department%20of%20Education%20Delegations%20Policy.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ITT.Licensingnt@nt.gov.au" TargetMode="External"/><Relationship Id="rId14" Type="http://schemas.openxmlformats.org/officeDocument/2006/relationships/hyperlink" Target="https://legislation.nt.gov.au/en/Legislation/LIQUOR-ACT-2019"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hospitality/apply-for-a-liquor-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document-portra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7407C0FFBB42279B3194B43D1DF7AC"/>
        <w:category>
          <w:name w:val="General"/>
          <w:gallery w:val="placeholder"/>
        </w:category>
        <w:types>
          <w:type w:val="bbPlcHdr"/>
        </w:types>
        <w:behaviors>
          <w:behavior w:val="content"/>
        </w:behaviors>
        <w:guid w:val="{24121FE5-C5E4-43C2-AB60-37B22BF98962}"/>
      </w:docPartPr>
      <w:docPartBody>
        <w:p w:rsidR="0063573A" w:rsidRDefault="00406D2C" w:rsidP="00406D2C">
          <w:pPr>
            <w:pStyle w:val="E07407C0FFBB42279B3194B43D1DF7AC"/>
          </w:pPr>
          <w:r w:rsidRPr="00741874">
            <w:rPr>
              <w:rStyle w:val="PlaceholderText"/>
            </w:rPr>
            <w:t>[Title]</w:t>
          </w:r>
        </w:p>
      </w:docPartBody>
    </w:docPart>
    <w:docPart>
      <w:docPartPr>
        <w:name w:val="3F56CF2DDEFF4DF396156A676EA9D2CE"/>
        <w:category>
          <w:name w:val="General"/>
          <w:gallery w:val="placeholder"/>
        </w:category>
        <w:types>
          <w:type w:val="bbPlcHdr"/>
        </w:types>
        <w:behaviors>
          <w:behavior w:val="content"/>
        </w:behaviors>
        <w:guid w:val="{C9F2DB4F-B003-470E-B63A-AEFE55D2422D}"/>
      </w:docPartPr>
      <w:docPartBody>
        <w:p w:rsidR="001C0B24" w:rsidRDefault="0063573A" w:rsidP="0063573A">
          <w:pPr>
            <w:pStyle w:val="3F56CF2DDEFF4DF396156A676EA9D2C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2C"/>
    <w:rsid w:val="00141705"/>
    <w:rsid w:val="001C0B24"/>
    <w:rsid w:val="003A1573"/>
    <w:rsid w:val="00406D2C"/>
    <w:rsid w:val="00436627"/>
    <w:rsid w:val="00466662"/>
    <w:rsid w:val="00482F40"/>
    <w:rsid w:val="00616C75"/>
    <w:rsid w:val="0063573A"/>
    <w:rsid w:val="00794588"/>
    <w:rsid w:val="00A011AB"/>
    <w:rsid w:val="00A50143"/>
    <w:rsid w:val="00B92CA9"/>
    <w:rsid w:val="00CE2B96"/>
    <w:rsid w:val="00FA5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73A"/>
    <w:rPr>
      <w:color w:val="808080"/>
    </w:rPr>
  </w:style>
  <w:style w:type="paragraph" w:customStyle="1" w:styleId="E07407C0FFBB42279B3194B43D1DF7AC">
    <w:name w:val="E07407C0FFBB42279B3194B43D1DF7AC"/>
    <w:rsid w:val="00406D2C"/>
  </w:style>
  <w:style w:type="paragraph" w:customStyle="1" w:styleId="3F56CF2DDEFF4DF396156A676EA9D2CE">
    <w:name w:val="3F56CF2DDEFF4DF396156A676EA9D2CE"/>
    <w:rsid w:val="00635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9B5F2-831A-42BA-B660-DE2912BA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 (2).dotx</Template>
  <TotalTime>5</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Alcohol consumption on department premises – policy</vt:lpstr>
    </vt:vector>
  </TitlesOfParts>
  <Company>Education</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consumption on department premises – policy</dc:title>
  <dc:creator>Northern Territory Government</dc:creator>
  <cp:lastModifiedBy>Missy Frey</cp:lastModifiedBy>
  <cp:revision>4</cp:revision>
  <cp:lastPrinted>2019-07-29T01:45:00Z</cp:lastPrinted>
  <dcterms:created xsi:type="dcterms:W3CDTF">2023-04-17T04:23:00Z</dcterms:created>
  <dcterms:modified xsi:type="dcterms:W3CDTF">2023-04-21T01:08:00Z</dcterms:modified>
</cp:coreProperties>
</file>