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33ECD278" w:rsidR="00886C9D" w:rsidRPr="00886C9D" w:rsidRDefault="007035FF" w:rsidP="00886C9D">
          <w:pPr>
            <w:pStyle w:val="Title"/>
          </w:pPr>
          <w:r>
            <w:rPr>
              <w:rStyle w:val="TitleChar"/>
            </w:rPr>
            <w:t>School nutrition and health</w:t>
          </w:r>
          <w:r w:rsidR="001D0378">
            <w:rPr>
              <w:rStyle w:val="TitleChar"/>
            </w:rPr>
            <w:t>y</w:t>
          </w:r>
          <w:r>
            <w:rPr>
              <w:rStyle w:val="TitleChar"/>
            </w:rPr>
            <w:t xml:space="preserve"> eating – policy</w:t>
          </w:r>
        </w:p>
      </w:sdtContent>
    </w:sdt>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72C7BF45" w14:textId="588740CF" w:rsidR="003763BE"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4292876" w:history="1">
            <w:r w:rsidR="003763BE" w:rsidRPr="005E628A">
              <w:rPr>
                <w:rStyle w:val="Hyperlink"/>
                <w:noProof/>
              </w:rPr>
              <w:t>1. Acknowledgement</w:t>
            </w:r>
            <w:r w:rsidR="003763BE">
              <w:rPr>
                <w:noProof/>
                <w:webHidden/>
              </w:rPr>
              <w:tab/>
            </w:r>
            <w:r w:rsidR="003763BE">
              <w:rPr>
                <w:noProof/>
                <w:webHidden/>
              </w:rPr>
              <w:fldChar w:fldCharType="begin"/>
            </w:r>
            <w:r w:rsidR="003763BE">
              <w:rPr>
                <w:noProof/>
                <w:webHidden/>
              </w:rPr>
              <w:instrText xml:space="preserve"> PAGEREF _Toc144292876 \h </w:instrText>
            </w:r>
            <w:r w:rsidR="003763BE">
              <w:rPr>
                <w:noProof/>
                <w:webHidden/>
              </w:rPr>
            </w:r>
            <w:r w:rsidR="003763BE">
              <w:rPr>
                <w:noProof/>
                <w:webHidden/>
              </w:rPr>
              <w:fldChar w:fldCharType="separate"/>
            </w:r>
            <w:r w:rsidR="003763BE">
              <w:rPr>
                <w:noProof/>
                <w:webHidden/>
              </w:rPr>
              <w:t>3</w:t>
            </w:r>
            <w:r w:rsidR="003763BE">
              <w:rPr>
                <w:noProof/>
                <w:webHidden/>
              </w:rPr>
              <w:fldChar w:fldCharType="end"/>
            </w:r>
          </w:hyperlink>
        </w:p>
        <w:p w14:paraId="7401BD6A" w14:textId="6D72779A" w:rsidR="003763BE" w:rsidRDefault="007A7E5D">
          <w:pPr>
            <w:pStyle w:val="TOC1"/>
            <w:rPr>
              <w:rFonts w:asciiTheme="minorHAnsi" w:eastAsiaTheme="minorEastAsia" w:hAnsiTheme="minorHAnsi" w:cstheme="minorBidi"/>
              <w:b w:val="0"/>
              <w:noProof/>
              <w:kern w:val="2"/>
              <w:lang w:eastAsia="en-AU"/>
              <w14:ligatures w14:val="standardContextual"/>
            </w:rPr>
          </w:pPr>
          <w:hyperlink w:anchor="_Toc144292877" w:history="1">
            <w:r w:rsidR="003763BE" w:rsidRPr="005E628A">
              <w:rPr>
                <w:rStyle w:val="Hyperlink"/>
                <w:noProof/>
              </w:rPr>
              <w:t>2. Policy summary</w:t>
            </w:r>
            <w:r w:rsidR="003763BE">
              <w:rPr>
                <w:noProof/>
                <w:webHidden/>
              </w:rPr>
              <w:tab/>
            </w:r>
            <w:r w:rsidR="003763BE">
              <w:rPr>
                <w:noProof/>
                <w:webHidden/>
              </w:rPr>
              <w:fldChar w:fldCharType="begin"/>
            </w:r>
            <w:r w:rsidR="003763BE">
              <w:rPr>
                <w:noProof/>
                <w:webHidden/>
              </w:rPr>
              <w:instrText xml:space="preserve"> PAGEREF _Toc144292877 \h </w:instrText>
            </w:r>
            <w:r w:rsidR="003763BE">
              <w:rPr>
                <w:noProof/>
                <w:webHidden/>
              </w:rPr>
            </w:r>
            <w:r w:rsidR="003763BE">
              <w:rPr>
                <w:noProof/>
                <w:webHidden/>
              </w:rPr>
              <w:fldChar w:fldCharType="separate"/>
            </w:r>
            <w:r w:rsidR="003763BE">
              <w:rPr>
                <w:noProof/>
                <w:webHidden/>
              </w:rPr>
              <w:t>3</w:t>
            </w:r>
            <w:r w:rsidR="003763BE">
              <w:rPr>
                <w:noProof/>
                <w:webHidden/>
              </w:rPr>
              <w:fldChar w:fldCharType="end"/>
            </w:r>
          </w:hyperlink>
        </w:p>
        <w:p w14:paraId="01CC7563" w14:textId="7F24AC05" w:rsidR="003763BE" w:rsidRDefault="007A7E5D">
          <w:pPr>
            <w:pStyle w:val="TOC1"/>
            <w:rPr>
              <w:rFonts w:asciiTheme="minorHAnsi" w:eastAsiaTheme="minorEastAsia" w:hAnsiTheme="minorHAnsi" w:cstheme="minorBidi"/>
              <w:b w:val="0"/>
              <w:noProof/>
              <w:kern w:val="2"/>
              <w:lang w:eastAsia="en-AU"/>
              <w14:ligatures w14:val="standardContextual"/>
            </w:rPr>
          </w:pPr>
          <w:hyperlink w:anchor="_Toc144292878" w:history="1">
            <w:r w:rsidR="003763BE" w:rsidRPr="005E628A">
              <w:rPr>
                <w:rStyle w:val="Hyperlink"/>
                <w:noProof/>
              </w:rPr>
              <w:t>3. Business need</w:t>
            </w:r>
            <w:r w:rsidR="003763BE">
              <w:rPr>
                <w:noProof/>
                <w:webHidden/>
              </w:rPr>
              <w:tab/>
            </w:r>
            <w:r w:rsidR="003763BE">
              <w:rPr>
                <w:noProof/>
                <w:webHidden/>
              </w:rPr>
              <w:fldChar w:fldCharType="begin"/>
            </w:r>
            <w:r w:rsidR="003763BE">
              <w:rPr>
                <w:noProof/>
                <w:webHidden/>
              </w:rPr>
              <w:instrText xml:space="preserve"> PAGEREF _Toc144292878 \h </w:instrText>
            </w:r>
            <w:r w:rsidR="003763BE">
              <w:rPr>
                <w:noProof/>
                <w:webHidden/>
              </w:rPr>
            </w:r>
            <w:r w:rsidR="003763BE">
              <w:rPr>
                <w:noProof/>
                <w:webHidden/>
              </w:rPr>
              <w:fldChar w:fldCharType="separate"/>
            </w:r>
            <w:r w:rsidR="003763BE">
              <w:rPr>
                <w:noProof/>
                <w:webHidden/>
              </w:rPr>
              <w:t>3</w:t>
            </w:r>
            <w:r w:rsidR="003763BE">
              <w:rPr>
                <w:noProof/>
                <w:webHidden/>
              </w:rPr>
              <w:fldChar w:fldCharType="end"/>
            </w:r>
          </w:hyperlink>
        </w:p>
        <w:p w14:paraId="1BBFFD68" w14:textId="65ABDE43" w:rsidR="003763BE" w:rsidRDefault="007A7E5D">
          <w:pPr>
            <w:pStyle w:val="TOC1"/>
            <w:rPr>
              <w:rFonts w:asciiTheme="minorHAnsi" w:eastAsiaTheme="minorEastAsia" w:hAnsiTheme="minorHAnsi" w:cstheme="minorBidi"/>
              <w:b w:val="0"/>
              <w:noProof/>
              <w:kern w:val="2"/>
              <w:lang w:eastAsia="en-AU"/>
              <w14:ligatures w14:val="standardContextual"/>
            </w:rPr>
          </w:pPr>
          <w:hyperlink w:anchor="_Toc144292879" w:history="1">
            <w:r w:rsidR="003763BE" w:rsidRPr="005E628A">
              <w:rPr>
                <w:rStyle w:val="Hyperlink"/>
                <w:noProof/>
              </w:rPr>
              <w:t>4. Scope</w:t>
            </w:r>
            <w:r w:rsidR="003763BE">
              <w:rPr>
                <w:noProof/>
                <w:webHidden/>
              </w:rPr>
              <w:tab/>
            </w:r>
            <w:r w:rsidR="003763BE">
              <w:rPr>
                <w:noProof/>
                <w:webHidden/>
              </w:rPr>
              <w:fldChar w:fldCharType="begin"/>
            </w:r>
            <w:r w:rsidR="003763BE">
              <w:rPr>
                <w:noProof/>
                <w:webHidden/>
              </w:rPr>
              <w:instrText xml:space="preserve"> PAGEREF _Toc144292879 \h </w:instrText>
            </w:r>
            <w:r w:rsidR="003763BE">
              <w:rPr>
                <w:noProof/>
                <w:webHidden/>
              </w:rPr>
            </w:r>
            <w:r w:rsidR="003763BE">
              <w:rPr>
                <w:noProof/>
                <w:webHidden/>
              </w:rPr>
              <w:fldChar w:fldCharType="separate"/>
            </w:r>
            <w:r w:rsidR="003763BE">
              <w:rPr>
                <w:noProof/>
                <w:webHidden/>
              </w:rPr>
              <w:t>4</w:t>
            </w:r>
            <w:r w:rsidR="003763BE">
              <w:rPr>
                <w:noProof/>
                <w:webHidden/>
              </w:rPr>
              <w:fldChar w:fldCharType="end"/>
            </w:r>
          </w:hyperlink>
        </w:p>
        <w:p w14:paraId="2F69393B" w14:textId="02AF0EF0" w:rsidR="003763BE" w:rsidRDefault="007A7E5D">
          <w:pPr>
            <w:pStyle w:val="TOC2"/>
            <w:rPr>
              <w:rFonts w:asciiTheme="minorHAnsi" w:eastAsiaTheme="minorEastAsia" w:hAnsiTheme="minorHAnsi" w:cstheme="minorBidi"/>
              <w:noProof/>
              <w:kern w:val="2"/>
              <w:lang w:eastAsia="en-AU"/>
              <w14:ligatures w14:val="standardContextual"/>
            </w:rPr>
          </w:pPr>
          <w:hyperlink w:anchor="_Toc144292880" w:history="1">
            <w:r w:rsidR="003763BE" w:rsidRPr="005E628A">
              <w:rPr>
                <w:rStyle w:val="Hyperlink"/>
                <w:noProof/>
              </w:rPr>
              <w:t>4.1. Food and drink categories</w:t>
            </w:r>
            <w:r w:rsidR="003763BE">
              <w:rPr>
                <w:noProof/>
                <w:webHidden/>
              </w:rPr>
              <w:tab/>
            </w:r>
            <w:r w:rsidR="003763BE">
              <w:rPr>
                <w:noProof/>
                <w:webHidden/>
              </w:rPr>
              <w:fldChar w:fldCharType="begin"/>
            </w:r>
            <w:r w:rsidR="003763BE">
              <w:rPr>
                <w:noProof/>
                <w:webHidden/>
              </w:rPr>
              <w:instrText xml:space="preserve"> PAGEREF _Toc144292880 \h </w:instrText>
            </w:r>
            <w:r w:rsidR="003763BE">
              <w:rPr>
                <w:noProof/>
                <w:webHidden/>
              </w:rPr>
            </w:r>
            <w:r w:rsidR="003763BE">
              <w:rPr>
                <w:noProof/>
                <w:webHidden/>
              </w:rPr>
              <w:fldChar w:fldCharType="separate"/>
            </w:r>
            <w:r w:rsidR="003763BE">
              <w:rPr>
                <w:noProof/>
                <w:webHidden/>
              </w:rPr>
              <w:t>4</w:t>
            </w:r>
            <w:r w:rsidR="003763BE">
              <w:rPr>
                <w:noProof/>
                <w:webHidden/>
              </w:rPr>
              <w:fldChar w:fldCharType="end"/>
            </w:r>
          </w:hyperlink>
        </w:p>
        <w:p w14:paraId="72C54A9F" w14:textId="734BCBFC" w:rsidR="003763BE" w:rsidRDefault="007A7E5D">
          <w:pPr>
            <w:pStyle w:val="TOC2"/>
            <w:rPr>
              <w:rFonts w:asciiTheme="minorHAnsi" w:eastAsiaTheme="minorEastAsia" w:hAnsiTheme="minorHAnsi" w:cstheme="minorBidi"/>
              <w:noProof/>
              <w:kern w:val="2"/>
              <w:lang w:eastAsia="en-AU"/>
              <w14:ligatures w14:val="standardContextual"/>
            </w:rPr>
          </w:pPr>
          <w:hyperlink w:anchor="_Toc144292881" w:history="1">
            <w:r w:rsidR="003763BE" w:rsidRPr="005E628A">
              <w:rPr>
                <w:rStyle w:val="Hyperlink"/>
                <w:noProof/>
              </w:rPr>
              <w:t>4.2. School nutrition and healthy eating exemptions</w:t>
            </w:r>
            <w:r w:rsidR="003763BE">
              <w:rPr>
                <w:noProof/>
                <w:webHidden/>
              </w:rPr>
              <w:tab/>
            </w:r>
            <w:r w:rsidR="003763BE">
              <w:rPr>
                <w:noProof/>
                <w:webHidden/>
              </w:rPr>
              <w:fldChar w:fldCharType="begin"/>
            </w:r>
            <w:r w:rsidR="003763BE">
              <w:rPr>
                <w:noProof/>
                <w:webHidden/>
              </w:rPr>
              <w:instrText xml:space="preserve"> PAGEREF _Toc144292881 \h </w:instrText>
            </w:r>
            <w:r w:rsidR="003763BE">
              <w:rPr>
                <w:noProof/>
                <w:webHidden/>
              </w:rPr>
            </w:r>
            <w:r w:rsidR="003763BE">
              <w:rPr>
                <w:noProof/>
                <w:webHidden/>
              </w:rPr>
              <w:fldChar w:fldCharType="separate"/>
            </w:r>
            <w:r w:rsidR="003763BE">
              <w:rPr>
                <w:noProof/>
                <w:webHidden/>
              </w:rPr>
              <w:t>5</w:t>
            </w:r>
            <w:r w:rsidR="003763BE">
              <w:rPr>
                <w:noProof/>
                <w:webHidden/>
              </w:rPr>
              <w:fldChar w:fldCharType="end"/>
            </w:r>
          </w:hyperlink>
        </w:p>
        <w:p w14:paraId="15CCACD3" w14:textId="0CE088C5" w:rsidR="003763BE" w:rsidRDefault="007A7E5D">
          <w:pPr>
            <w:pStyle w:val="TOC1"/>
            <w:rPr>
              <w:rFonts w:asciiTheme="minorHAnsi" w:eastAsiaTheme="minorEastAsia" w:hAnsiTheme="minorHAnsi" w:cstheme="minorBidi"/>
              <w:b w:val="0"/>
              <w:noProof/>
              <w:kern w:val="2"/>
              <w:lang w:eastAsia="en-AU"/>
              <w14:ligatures w14:val="standardContextual"/>
            </w:rPr>
          </w:pPr>
          <w:hyperlink w:anchor="_Toc144292882" w:history="1">
            <w:r w:rsidR="003763BE" w:rsidRPr="005E628A">
              <w:rPr>
                <w:rStyle w:val="Hyperlink"/>
                <w:noProof/>
                <w:lang w:val="en-US"/>
              </w:rPr>
              <w:t>5. Definitions</w:t>
            </w:r>
            <w:r w:rsidR="003763BE">
              <w:rPr>
                <w:noProof/>
                <w:webHidden/>
              </w:rPr>
              <w:tab/>
            </w:r>
            <w:r w:rsidR="003763BE">
              <w:rPr>
                <w:noProof/>
                <w:webHidden/>
              </w:rPr>
              <w:fldChar w:fldCharType="begin"/>
            </w:r>
            <w:r w:rsidR="003763BE">
              <w:rPr>
                <w:noProof/>
                <w:webHidden/>
              </w:rPr>
              <w:instrText xml:space="preserve"> PAGEREF _Toc144292882 \h </w:instrText>
            </w:r>
            <w:r w:rsidR="003763BE">
              <w:rPr>
                <w:noProof/>
                <w:webHidden/>
              </w:rPr>
            </w:r>
            <w:r w:rsidR="003763BE">
              <w:rPr>
                <w:noProof/>
                <w:webHidden/>
              </w:rPr>
              <w:fldChar w:fldCharType="separate"/>
            </w:r>
            <w:r w:rsidR="003763BE">
              <w:rPr>
                <w:noProof/>
                <w:webHidden/>
              </w:rPr>
              <w:t>6</w:t>
            </w:r>
            <w:r w:rsidR="003763BE">
              <w:rPr>
                <w:noProof/>
                <w:webHidden/>
              </w:rPr>
              <w:fldChar w:fldCharType="end"/>
            </w:r>
          </w:hyperlink>
        </w:p>
        <w:p w14:paraId="680EE641" w14:textId="125518E2" w:rsidR="003763BE" w:rsidRDefault="007A7E5D">
          <w:pPr>
            <w:pStyle w:val="TOC1"/>
            <w:rPr>
              <w:rFonts w:asciiTheme="minorHAnsi" w:eastAsiaTheme="minorEastAsia" w:hAnsiTheme="minorHAnsi" w:cstheme="minorBidi"/>
              <w:b w:val="0"/>
              <w:noProof/>
              <w:kern w:val="2"/>
              <w:lang w:eastAsia="en-AU"/>
              <w14:ligatures w14:val="standardContextual"/>
            </w:rPr>
          </w:pPr>
          <w:hyperlink w:anchor="_Toc144292883" w:history="1">
            <w:r w:rsidR="003763BE" w:rsidRPr="005E628A">
              <w:rPr>
                <w:rStyle w:val="Hyperlink"/>
                <w:noProof/>
              </w:rPr>
              <w:t>6. Related documents, legislation, guidelines, resources and references</w:t>
            </w:r>
            <w:r w:rsidR="003763BE">
              <w:rPr>
                <w:noProof/>
                <w:webHidden/>
              </w:rPr>
              <w:tab/>
            </w:r>
            <w:r w:rsidR="003763BE">
              <w:rPr>
                <w:noProof/>
                <w:webHidden/>
              </w:rPr>
              <w:fldChar w:fldCharType="begin"/>
            </w:r>
            <w:r w:rsidR="003763BE">
              <w:rPr>
                <w:noProof/>
                <w:webHidden/>
              </w:rPr>
              <w:instrText xml:space="preserve"> PAGEREF _Toc144292883 \h </w:instrText>
            </w:r>
            <w:r w:rsidR="003763BE">
              <w:rPr>
                <w:noProof/>
                <w:webHidden/>
              </w:rPr>
            </w:r>
            <w:r w:rsidR="003763BE">
              <w:rPr>
                <w:noProof/>
                <w:webHidden/>
              </w:rPr>
              <w:fldChar w:fldCharType="separate"/>
            </w:r>
            <w:r w:rsidR="003763BE">
              <w:rPr>
                <w:noProof/>
                <w:webHidden/>
              </w:rPr>
              <w:t>7</w:t>
            </w:r>
            <w:r w:rsidR="003763BE">
              <w:rPr>
                <w:noProof/>
                <w:webHidden/>
              </w:rPr>
              <w:fldChar w:fldCharType="end"/>
            </w:r>
          </w:hyperlink>
        </w:p>
        <w:p w14:paraId="1EA43005" w14:textId="04B2F1EC" w:rsidR="003763BE" w:rsidRDefault="007A7E5D">
          <w:pPr>
            <w:pStyle w:val="TOC2"/>
            <w:rPr>
              <w:rFonts w:asciiTheme="minorHAnsi" w:eastAsiaTheme="minorEastAsia" w:hAnsiTheme="minorHAnsi" w:cstheme="minorBidi"/>
              <w:noProof/>
              <w:kern w:val="2"/>
              <w:lang w:eastAsia="en-AU"/>
              <w14:ligatures w14:val="standardContextual"/>
            </w:rPr>
          </w:pPr>
          <w:hyperlink w:anchor="_Toc144292884" w:history="1">
            <w:r w:rsidR="003763BE" w:rsidRPr="005E628A">
              <w:rPr>
                <w:rStyle w:val="Hyperlink"/>
                <w:noProof/>
              </w:rPr>
              <w:t>6.1. Supporting documents</w:t>
            </w:r>
            <w:r w:rsidR="003763BE">
              <w:rPr>
                <w:noProof/>
                <w:webHidden/>
              </w:rPr>
              <w:tab/>
            </w:r>
            <w:r w:rsidR="003763BE">
              <w:rPr>
                <w:noProof/>
                <w:webHidden/>
              </w:rPr>
              <w:fldChar w:fldCharType="begin"/>
            </w:r>
            <w:r w:rsidR="003763BE">
              <w:rPr>
                <w:noProof/>
                <w:webHidden/>
              </w:rPr>
              <w:instrText xml:space="preserve"> PAGEREF _Toc144292884 \h </w:instrText>
            </w:r>
            <w:r w:rsidR="003763BE">
              <w:rPr>
                <w:noProof/>
                <w:webHidden/>
              </w:rPr>
            </w:r>
            <w:r w:rsidR="003763BE">
              <w:rPr>
                <w:noProof/>
                <w:webHidden/>
              </w:rPr>
              <w:fldChar w:fldCharType="separate"/>
            </w:r>
            <w:r w:rsidR="003763BE">
              <w:rPr>
                <w:noProof/>
                <w:webHidden/>
              </w:rPr>
              <w:t>7</w:t>
            </w:r>
            <w:r w:rsidR="003763BE">
              <w:rPr>
                <w:noProof/>
                <w:webHidden/>
              </w:rPr>
              <w:fldChar w:fldCharType="end"/>
            </w:r>
          </w:hyperlink>
        </w:p>
        <w:p w14:paraId="1BD2F294" w14:textId="5A31F95E" w:rsidR="003763BE" w:rsidRDefault="007A7E5D">
          <w:pPr>
            <w:pStyle w:val="TOC2"/>
            <w:rPr>
              <w:rFonts w:asciiTheme="minorHAnsi" w:eastAsiaTheme="minorEastAsia" w:hAnsiTheme="minorHAnsi" w:cstheme="minorBidi"/>
              <w:noProof/>
              <w:kern w:val="2"/>
              <w:lang w:eastAsia="en-AU"/>
              <w14:ligatures w14:val="standardContextual"/>
            </w:rPr>
          </w:pPr>
          <w:hyperlink w:anchor="_Toc144292885" w:history="1">
            <w:r w:rsidR="003763BE" w:rsidRPr="005E628A">
              <w:rPr>
                <w:rStyle w:val="Hyperlink"/>
                <w:noProof/>
              </w:rPr>
              <w:t>6.2. Legislation</w:t>
            </w:r>
            <w:r w:rsidR="003763BE">
              <w:rPr>
                <w:noProof/>
                <w:webHidden/>
              </w:rPr>
              <w:tab/>
            </w:r>
            <w:r w:rsidR="003763BE">
              <w:rPr>
                <w:noProof/>
                <w:webHidden/>
              </w:rPr>
              <w:fldChar w:fldCharType="begin"/>
            </w:r>
            <w:r w:rsidR="003763BE">
              <w:rPr>
                <w:noProof/>
                <w:webHidden/>
              </w:rPr>
              <w:instrText xml:space="preserve"> PAGEREF _Toc144292885 \h </w:instrText>
            </w:r>
            <w:r w:rsidR="003763BE">
              <w:rPr>
                <w:noProof/>
                <w:webHidden/>
              </w:rPr>
            </w:r>
            <w:r w:rsidR="003763BE">
              <w:rPr>
                <w:noProof/>
                <w:webHidden/>
              </w:rPr>
              <w:fldChar w:fldCharType="separate"/>
            </w:r>
            <w:r w:rsidR="003763BE">
              <w:rPr>
                <w:noProof/>
                <w:webHidden/>
              </w:rPr>
              <w:t>7</w:t>
            </w:r>
            <w:r w:rsidR="003763BE">
              <w:rPr>
                <w:noProof/>
                <w:webHidden/>
              </w:rPr>
              <w:fldChar w:fldCharType="end"/>
            </w:r>
          </w:hyperlink>
        </w:p>
        <w:p w14:paraId="06B0EB8A" w14:textId="120F31F3" w:rsidR="003763BE" w:rsidRDefault="007A7E5D">
          <w:pPr>
            <w:pStyle w:val="TOC2"/>
            <w:rPr>
              <w:rFonts w:asciiTheme="minorHAnsi" w:eastAsiaTheme="minorEastAsia" w:hAnsiTheme="minorHAnsi" w:cstheme="minorBidi"/>
              <w:noProof/>
              <w:kern w:val="2"/>
              <w:lang w:eastAsia="en-AU"/>
              <w14:ligatures w14:val="standardContextual"/>
            </w:rPr>
          </w:pPr>
          <w:hyperlink w:anchor="_Toc144292886" w:history="1">
            <w:r w:rsidR="003763BE" w:rsidRPr="005E628A">
              <w:rPr>
                <w:rStyle w:val="Hyperlink"/>
                <w:noProof/>
              </w:rPr>
              <w:t>6.3. Guidelines</w:t>
            </w:r>
            <w:r w:rsidR="003763BE">
              <w:rPr>
                <w:noProof/>
                <w:webHidden/>
              </w:rPr>
              <w:tab/>
            </w:r>
            <w:r w:rsidR="003763BE">
              <w:rPr>
                <w:noProof/>
                <w:webHidden/>
              </w:rPr>
              <w:fldChar w:fldCharType="begin"/>
            </w:r>
            <w:r w:rsidR="003763BE">
              <w:rPr>
                <w:noProof/>
                <w:webHidden/>
              </w:rPr>
              <w:instrText xml:space="preserve"> PAGEREF _Toc144292886 \h </w:instrText>
            </w:r>
            <w:r w:rsidR="003763BE">
              <w:rPr>
                <w:noProof/>
                <w:webHidden/>
              </w:rPr>
            </w:r>
            <w:r w:rsidR="003763BE">
              <w:rPr>
                <w:noProof/>
                <w:webHidden/>
              </w:rPr>
              <w:fldChar w:fldCharType="separate"/>
            </w:r>
            <w:r w:rsidR="003763BE">
              <w:rPr>
                <w:noProof/>
                <w:webHidden/>
              </w:rPr>
              <w:t>7</w:t>
            </w:r>
            <w:r w:rsidR="003763BE">
              <w:rPr>
                <w:noProof/>
                <w:webHidden/>
              </w:rPr>
              <w:fldChar w:fldCharType="end"/>
            </w:r>
          </w:hyperlink>
        </w:p>
        <w:p w14:paraId="4C48C375" w14:textId="64A14D9E" w:rsidR="003763BE" w:rsidRDefault="007A7E5D">
          <w:pPr>
            <w:pStyle w:val="TOC2"/>
            <w:rPr>
              <w:rFonts w:asciiTheme="minorHAnsi" w:eastAsiaTheme="minorEastAsia" w:hAnsiTheme="minorHAnsi" w:cstheme="minorBidi"/>
              <w:noProof/>
              <w:kern w:val="2"/>
              <w:lang w:eastAsia="en-AU"/>
              <w14:ligatures w14:val="standardContextual"/>
            </w:rPr>
          </w:pPr>
          <w:hyperlink w:anchor="_Toc144292887" w:history="1">
            <w:r w:rsidR="003763BE" w:rsidRPr="005E628A">
              <w:rPr>
                <w:rStyle w:val="Hyperlink"/>
                <w:noProof/>
              </w:rPr>
              <w:t>6.4. Resources</w:t>
            </w:r>
            <w:r w:rsidR="003763BE">
              <w:rPr>
                <w:noProof/>
                <w:webHidden/>
              </w:rPr>
              <w:tab/>
            </w:r>
            <w:r w:rsidR="003763BE">
              <w:rPr>
                <w:noProof/>
                <w:webHidden/>
              </w:rPr>
              <w:fldChar w:fldCharType="begin"/>
            </w:r>
            <w:r w:rsidR="003763BE">
              <w:rPr>
                <w:noProof/>
                <w:webHidden/>
              </w:rPr>
              <w:instrText xml:space="preserve"> PAGEREF _Toc144292887 \h </w:instrText>
            </w:r>
            <w:r w:rsidR="003763BE">
              <w:rPr>
                <w:noProof/>
                <w:webHidden/>
              </w:rPr>
            </w:r>
            <w:r w:rsidR="003763BE">
              <w:rPr>
                <w:noProof/>
                <w:webHidden/>
              </w:rPr>
              <w:fldChar w:fldCharType="separate"/>
            </w:r>
            <w:r w:rsidR="003763BE">
              <w:rPr>
                <w:noProof/>
                <w:webHidden/>
              </w:rPr>
              <w:t>7</w:t>
            </w:r>
            <w:r w:rsidR="003763BE">
              <w:rPr>
                <w:noProof/>
                <w:webHidden/>
              </w:rPr>
              <w:fldChar w:fldCharType="end"/>
            </w:r>
          </w:hyperlink>
        </w:p>
        <w:p w14:paraId="1E7F2D6F" w14:textId="68009AB1" w:rsidR="003763BE" w:rsidRDefault="007A7E5D">
          <w:pPr>
            <w:pStyle w:val="TOC2"/>
            <w:rPr>
              <w:rFonts w:asciiTheme="minorHAnsi" w:eastAsiaTheme="minorEastAsia" w:hAnsiTheme="minorHAnsi" w:cstheme="minorBidi"/>
              <w:noProof/>
              <w:kern w:val="2"/>
              <w:lang w:eastAsia="en-AU"/>
              <w14:ligatures w14:val="standardContextual"/>
            </w:rPr>
          </w:pPr>
          <w:hyperlink w:anchor="_Toc144292888" w:history="1">
            <w:r w:rsidR="003763BE" w:rsidRPr="005E628A">
              <w:rPr>
                <w:rStyle w:val="Hyperlink"/>
                <w:noProof/>
              </w:rPr>
              <w:t>6.5. References</w:t>
            </w:r>
            <w:r w:rsidR="003763BE">
              <w:rPr>
                <w:noProof/>
                <w:webHidden/>
              </w:rPr>
              <w:tab/>
            </w:r>
            <w:r w:rsidR="003763BE">
              <w:rPr>
                <w:noProof/>
                <w:webHidden/>
              </w:rPr>
              <w:fldChar w:fldCharType="begin"/>
            </w:r>
            <w:r w:rsidR="003763BE">
              <w:rPr>
                <w:noProof/>
                <w:webHidden/>
              </w:rPr>
              <w:instrText xml:space="preserve"> PAGEREF _Toc144292888 \h </w:instrText>
            </w:r>
            <w:r w:rsidR="003763BE">
              <w:rPr>
                <w:noProof/>
                <w:webHidden/>
              </w:rPr>
            </w:r>
            <w:r w:rsidR="003763BE">
              <w:rPr>
                <w:noProof/>
                <w:webHidden/>
              </w:rPr>
              <w:fldChar w:fldCharType="separate"/>
            </w:r>
            <w:r w:rsidR="003763BE">
              <w:rPr>
                <w:noProof/>
                <w:webHidden/>
              </w:rPr>
              <w:t>8</w:t>
            </w:r>
            <w:r w:rsidR="003763BE">
              <w:rPr>
                <w:noProof/>
                <w:webHidden/>
              </w:rPr>
              <w:fldChar w:fldCharType="end"/>
            </w:r>
          </w:hyperlink>
        </w:p>
        <w:p w14:paraId="71AF4E6D" w14:textId="0FFEAB35"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582704FC" w14:textId="35875104" w:rsidR="00D00FB4" w:rsidRDefault="00B3462D" w:rsidP="00D00FB4">
      <w:pPr>
        <w:spacing w:before="200"/>
      </w:pPr>
      <w:r>
        <w:lastRenderedPageBreak/>
        <w:t>R</w:t>
      </w:r>
      <w:r w:rsidR="00D00FB4" w:rsidRPr="006A6AF8">
        <w:t xml:space="preserve">ead </w:t>
      </w:r>
      <w:r>
        <w:t xml:space="preserve">this document </w:t>
      </w:r>
      <w:r w:rsidR="00D00FB4" w:rsidRPr="006A6AF8">
        <w:t xml:space="preserve">with the </w:t>
      </w:r>
      <w:r w:rsidR="00D00FB4" w:rsidRPr="00AF2178">
        <w:t xml:space="preserve">School </w:t>
      </w:r>
      <w:r w:rsidR="00D00FB4">
        <w:t>n</w:t>
      </w:r>
      <w:r w:rsidR="00D00FB4" w:rsidRPr="00AF2178">
        <w:t xml:space="preserve">utrition and </w:t>
      </w:r>
      <w:r w:rsidR="00D00FB4">
        <w:t>h</w:t>
      </w:r>
      <w:r w:rsidR="00D00FB4" w:rsidRPr="00AF2178">
        <w:t xml:space="preserve">ealthy </w:t>
      </w:r>
      <w:r w:rsidR="00D00FB4">
        <w:t>e</w:t>
      </w:r>
      <w:r w:rsidR="00D00FB4" w:rsidRPr="00AF2178">
        <w:t xml:space="preserve">ating </w:t>
      </w:r>
      <w:r w:rsidR="00D00FB4">
        <w:t>g</w:t>
      </w:r>
      <w:r w:rsidR="00D00FB4" w:rsidRPr="00AF2178">
        <w:t>uidelines</w:t>
      </w:r>
      <w:r w:rsidR="007C7841">
        <w:t>.</w:t>
      </w:r>
    </w:p>
    <w:p w14:paraId="7B5B8487" w14:textId="77777777" w:rsidR="00D00FB4" w:rsidRPr="008F210A" w:rsidRDefault="00D00FB4" w:rsidP="00D00FB4">
      <w:pPr>
        <w:pStyle w:val="Heading1"/>
      </w:pPr>
      <w:bookmarkStart w:id="0" w:name="_Toc144292876"/>
      <w:r w:rsidRPr="008F210A">
        <w:t>Acknowledgement</w:t>
      </w:r>
      <w:bookmarkEnd w:id="0"/>
    </w:p>
    <w:p w14:paraId="00F818C5" w14:textId="77777777" w:rsidR="00D00FB4" w:rsidRDefault="00D00FB4" w:rsidP="00D00FB4">
      <w:pPr>
        <w:rPr>
          <w:rFonts w:cs="Arial"/>
          <w:bCs/>
          <w:lang w:val="en-US"/>
        </w:rPr>
      </w:pPr>
      <w:r w:rsidRPr="008B5D83">
        <w:rPr>
          <w:rFonts w:cs="Arial"/>
          <w:bCs/>
          <w:lang w:val="en-US"/>
        </w:rPr>
        <w:t>The Department of Education acknowledge</w:t>
      </w:r>
      <w:r>
        <w:rPr>
          <w:rFonts w:cs="Arial"/>
          <w:bCs/>
          <w:lang w:val="en-US"/>
        </w:rPr>
        <w:t>s</w:t>
      </w:r>
      <w:r w:rsidRPr="008B5D83">
        <w:rPr>
          <w:rFonts w:cs="Arial"/>
          <w:bCs/>
          <w:lang w:val="en-US"/>
        </w:rPr>
        <w:t xml:space="preserve"> the cooperation and contributions of </w:t>
      </w:r>
      <w:r>
        <w:rPr>
          <w:rFonts w:cs="Arial"/>
          <w:bCs/>
          <w:lang w:val="en-US"/>
        </w:rPr>
        <w:t xml:space="preserve">the Northern Territory </w:t>
      </w:r>
      <w:r w:rsidRPr="008B5D83">
        <w:rPr>
          <w:rFonts w:cs="Arial"/>
          <w:bCs/>
          <w:lang w:val="en-US"/>
        </w:rPr>
        <w:t xml:space="preserve">Department of Health, particularly </w:t>
      </w:r>
      <w:r>
        <w:rPr>
          <w:rFonts w:cs="Arial"/>
          <w:bCs/>
          <w:lang w:val="en-US"/>
        </w:rPr>
        <w:t>in regard</w:t>
      </w:r>
      <w:r w:rsidRPr="008B5D83">
        <w:rPr>
          <w:rFonts w:cs="Arial"/>
          <w:bCs/>
          <w:lang w:val="en-US"/>
        </w:rPr>
        <w:t xml:space="preserve"> to expert nutrition information and resources.</w:t>
      </w:r>
    </w:p>
    <w:p w14:paraId="0E04D9A9" w14:textId="760D4401" w:rsidR="007035FF" w:rsidRPr="008F210A" w:rsidRDefault="00D16065" w:rsidP="008F210A">
      <w:pPr>
        <w:pStyle w:val="Heading1"/>
      </w:pPr>
      <w:bookmarkStart w:id="1" w:name="_Toc144292877"/>
      <w:r>
        <w:t>Policy summary</w:t>
      </w:r>
      <w:bookmarkEnd w:id="1"/>
    </w:p>
    <w:p w14:paraId="6B1EE250" w14:textId="478A6BD6" w:rsidR="007035FF" w:rsidRDefault="007035FF" w:rsidP="007035FF">
      <w:pPr>
        <w:spacing w:after="120"/>
        <w:rPr>
          <w:rFonts w:cs="Arial"/>
          <w:bCs/>
          <w:lang w:val="en-US"/>
        </w:rPr>
      </w:pPr>
      <w:r>
        <w:rPr>
          <w:rFonts w:cs="Arial"/>
          <w:bCs/>
          <w:lang w:val="en-US"/>
        </w:rPr>
        <w:t xml:space="preserve">The Department of Education (department) </w:t>
      </w:r>
      <w:r w:rsidRPr="00E43EDF">
        <w:rPr>
          <w:rFonts w:cs="Arial"/>
          <w:bCs/>
          <w:lang w:val="en-US"/>
        </w:rPr>
        <w:t xml:space="preserve">is committed to ensuring that students in school settings have </w:t>
      </w:r>
      <w:r>
        <w:rPr>
          <w:rFonts w:cs="Arial"/>
          <w:bCs/>
          <w:lang w:val="en-US"/>
        </w:rPr>
        <w:t>access to healthy food and</w:t>
      </w:r>
      <w:r w:rsidRPr="00E43EDF">
        <w:rPr>
          <w:rFonts w:cs="Arial"/>
          <w:bCs/>
          <w:lang w:val="en-US"/>
        </w:rPr>
        <w:t xml:space="preserve"> drinks and nutrition education</w:t>
      </w:r>
      <w:r>
        <w:rPr>
          <w:rFonts w:cs="Arial"/>
          <w:bCs/>
          <w:lang w:val="en-US"/>
        </w:rPr>
        <w:t xml:space="preserve"> to</w:t>
      </w:r>
      <w:r w:rsidRPr="00E43EDF">
        <w:rPr>
          <w:rFonts w:cs="Arial"/>
          <w:bCs/>
          <w:lang w:val="en-US"/>
        </w:rPr>
        <w:t xml:space="preserve"> help inform </w:t>
      </w:r>
      <w:r>
        <w:rPr>
          <w:rFonts w:cs="Arial"/>
          <w:bCs/>
          <w:lang w:val="en-US"/>
        </w:rPr>
        <w:t xml:space="preserve">their </w:t>
      </w:r>
      <w:r w:rsidRPr="00E43EDF">
        <w:rPr>
          <w:rFonts w:cs="Arial"/>
          <w:bCs/>
          <w:lang w:val="en-US"/>
        </w:rPr>
        <w:t>decision making in the future.</w:t>
      </w:r>
      <w:r>
        <w:rPr>
          <w:rFonts w:cs="Arial"/>
          <w:bCs/>
          <w:lang w:val="en-US"/>
        </w:rPr>
        <w:t xml:space="preserve"> </w:t>
      </w:r>
      <w:r w:rsidRPr="00E371FE">
        <w:rPr>
          <w:rFonts w:cs="ITC Franklin Gothic Std Book"/>
          <w:color w:val="000000"/>
        </w:rPr>
        <w:t xml:space="preserve">Improving access to healthy </w:t>
      </w:r>
      <w:r>
        <w:rPr>
          <w:rFonts w:cs="ITC Franklin Gothic Std Book"/>
          <w:color w:val="000000"/>
        </w:rPr>
        <w:t>food and drinks</w:t>
      </w:r>
      <w:r w:rsidRPr="00E371FE">
        <w:rPr>
          <w:rFonts w:cs="ITC Franklin Gothic Std Book"/>
          <w:color w:val="000000"/>
        </w:rPr>
        <w:t xml:space="preserve"> and physical activities is linked to healthier students who </w:t>
      </w:r>
      <w:r>
        <w:rPr>
          <w:rFonts w:cs="ITC Franklin Gothic Std Book"/>
          <w:color w:val="000000"/>
        </w:rPr>
        <w:t>can</w:t>
      </w:r>
      <w:r w:rsidRPr="00E371FE">
        <w:rPr>
          <w:rFonts w:cs="ITC Franklin Gothic Std Book"/>
          <w:color w:val="000000"/>
        </w:rPr>
        <w:t xml:space="preserve"> achieve better learning outcomes</w:t>
      </w:r>
      <w:r w:rsidR="005942C6">
        <w:rPr>
          <w:rStyle w:val="FootnoteReference"/>
          <w:rFonts w:cs="ITC Franklin Gothic Std Book"/>
          <w:color w:val="000000"/>
        </w:rPr>
        <w:footnoteReference w:id="2"/>
      </w:r>
      <w:r w:rsidR="007C2582">
        <w:rPr>
          <w:rFonts w:cs="ITC Franklin Gothic Std Book"/>
          <w:color w:val="000000"/>
        </w:rPr>
        <w:t>.</w:t>
      </w:r>
      <w:r w:rsidRPr="00E43EDF">
        <w:rPr>
          <w:rFonts w:cs="Arial"/>
          <w:bCs/>
          <w:lang w:val="en-US"/>
        </w:rPr>
        <w:t xml:space="preserve"> </w:t>
      </w:r>
      <w:r>
        <w:rPr>
          <w:rFonts w:cs="Arial"/>
          <w:bCs/>
          <w:lang w:val="en-US"/>
        </w:rPr>
        <w:t>Staff are encouraged to play an active role in supporting healthy eating and nutrition in schools by:</w:t>
      </w:r>
    </w:p>
    <w:p w14:paraId="1ADD1791" w14:textId="273F56AC" w:rsidR="007035FF" w:rsidRPr="00AF2178" w:rsidRDefault="007035FF" w:rsidP="005C3FB5">
      <w:pPr>
        <w:pStyle w:val="ListParagraph"/>
        <w:numPr>
          <w:ilvl w:val="0"/>
          <w:numId w:val="42"/>
        </w:numPr>
        <w:ind w:left="851" w:hanging="283"/>
      </w:pPr>
      <w:r w:rsidRPr="00AF2178">
        <w:t>ensuring all foods and drinks provided at school are consistent with this policy and its associated guidelines</w:t>
      </w:r>
    </w:p>
    <w:p w14:paraId="2EDDDCEF" w14:textId="4B582AF7" w:rsidR="007035FF" w:rsidRPr="00AF2178" w:rsidRDefault="007035FF" w:rsidP="005C3FB5">
      <w:pPr>
        <w:pStyle w:val="ListParagraph"/>
        <w:numPr>
          <w:ilvl w:val="0"/>
          <w:numId w:val="42"/>
        </w:numPr>
        <w:ind w:left="851" w:hanging="283"/>
      </w:pPr>
      <w:r w:rsidRPr="00AF2178">
        <w:t>actively role modelling healthy eating behaviours</w:t>
      </w:r>
    </w:p>
    <w:p w14:paraId="10718CB3" w14:textId="77777777" w:rsidR="007035FF" w:rsidRPr="00AF2178" w:rsidRDefault="007035FF" w:rsidP="005C3FB5">
      <w:pPr>
        <w:pStyle w:val="ListParagraph"/>
        <w:numPr>
          <w:ilvl w:val="0"/>
          <w:numId w:val="42"/>
        </w:numPr>
        <w:spacing w:after="200"/>
        <w:ind w:left="851" w:hanging="283"/>
        <w:contextualSpacing/>
      </w:pPr>
      <w:r w:rsidRPr="00AF2178">
        <w:t>promoting healthy eating and good nutrition in the classroom and with families.</w:t>
      </w:r>
    </w:p>
    <w:p w14:paraId="6F2F7AA1" w14:textId="1075298A" w:rsidR="007035FF" w:rsidRPr="00454B6D" w:rsidRDefault="007035FF" w:rsidP="007035FF">
      <w:pPr>
        <w:rPr>
          <w:rFonts w:cs="Arial"/>
          <w:bCs/>
          <w:lang w:val="en-US"/>
        </w:rPr>
      </w:pPr>
      <w:r w:rsidRPr="000321E5">
        <w:rPr>
          <w:rFonts w:cs="Arial"/>
          <w:bCs/>
          <w:lang w:val="en-US"/>
        </w:rPr>
        <w:t>When food or drink is provided to students in a school</w:t>
      </w:r>
      <w:r>
        <w:rPr>
          <w:rFonts w:cs="Arial"/>
          <w:bCs/>
          <w:lang w:val="en-US"/>
        </w:rPr>
        <w:t xml:space="preserve">, </w:t>
      </w:r>
      <w:r w:rsidRPr="000321E5">
        <w:rPr>
          <w:rFonts w:cs="Arial"/>
          <w:bCs/>
          <w:lang w:val="en-US"/>
        </w:rPr>
        <w:t>by the canteen</w:t>
      </w:r>
      <w:r w:rsidR="00D16065">
        <w:rPr>
          <w:rFonts w:cs="Arial"/>
          <w:bCs/>
          <w:lang w:val="en-US"/>
        </w:rPr>
        <w:t>,</w:t>
      </w:r>
      <w:r w:rsidRPr="000321E5">
        <w:rPr>
          <w:rFonts w:cs="Arial"/>
          <w:bCs/>
          <w:lang w:val="en-US"/>
        </w:rPr>
        <w:t xml:space="preserve"> or during any other activity or program, schools must meet the requirements of this policy and </w:t>
      </w:r>
      <w:r w:rsidRPr="000321E5">
        <w:rPr>
          <w:lang w:val="en-US"/>
        </w:rPr>
        <w:t>guidelines</w:t>
      </w:r>
      <w:r w:rsidRPr="000321E5">
        <w:rPr>
          <w:rFonts w:cs="Arial"/>
          <w:bCs/>
          <w:lang w:val="en-US"/>
        </w:rPr>
        <w:t xml:space="preserve"> which are based on nutrient criteria from the </w:t>
      </w:r>
      <w:r w:rsidRPr="00AF2178">
        <w:t xml:space="preserve">National </w:t>
      </w:r>
      <w:r w:rsidRPr="00B06249">
        <w:t>healthy</w:t>
      </w:r>
      <w:r w:rsidRPr="00AF2178">
        <w:t xml:space="preserve"> </w:t>
      </w:r>
      <w:r w:rsidRPr="00B06249">
        <w:t>school</w:t>
      </w:r>
      <w:r w:rsidRPr="00AF2178">
        <w:t xml:space="preserve"> canteen guidelines</w:t>
      </w:r>
      <w:r w:rsidRPr="007923AD">
        <w:rPr>
          <w:rFonts w:cs="Arial"/>
          <w:bCs/>
          <w:lang w:val="en-US"/>
        </w:rPr>
        <w:t>,</w:t>
      </w:r>
      <w:r w:rsidRPr="000321E5">
        <w:rPr>
          <w:rFonts w:cs="Arial"/>
          <w:bCs/>
          <w:lang w:val="en-US"/>
        </w:rPr>
        <w:t xml:space="preserve"> the </w:t>
      </w:r>
      <w:r w:rsidRPr="00AF2178">
        <w:t xml:space="preserve">Federation of canteens in </w:t>
      </w:r>
      <w:r>
        <w:t>s</w:t>
      </w:r>
      <w:r w:rsidRPr="00AF2178">
        <w:t>chools</w:t>
      </w:r>
      <w:r w:rsidRPr="000321E5">
        <w:rPr>
          <w:rFonts w:cs="Arial"/>
          <w:bCs/>
          <w:lang w:val="en-US"/>
        </w:rPr>
        <w:t xml:space="preserve"> </w:t>
      </w:r>
      <w:r w:rsidR="00D508E9">
        <w:rPr>
          <w:rFonts w:cs="Arial"/>
          <w:bCs/>
          <w:lang w:val="en-US"/>
        </w:rPr>
        <w:t>and</w:t>
      </w:r>
      <w:r w:rsidRPr="000321E5">
        <w:rPr>
          <w:rFonts w:cs="Arial"/>
          <w:bCs/>
          <w:lang w:val="en-US"/>
        </w:rPr>
        <w:t xml:space="preserve"> the </w:t>
      </w:r>
      <w:r w:rsidRPr="00AF2178">
        <w:t xml:space="preserve">Australian guide to healthy </w:t>
      </w:r>
      <w:r w:rsidR="005C3FB5">
        <w:rPr>
          <w:rFonts w:cs="Arial"/>
          <w:bCs/>
          <w:lang w:val="en-US"/>
        </w:rPr>
        <w:t>eating</w:t>
      </w:r>
      <w:r w:rsidRPr="000321E5">
        <w:rPr>
          <w:rFonts w:cs="Arial"/>
          <w:bCs/>
          <w:lang w:val="en-US"/>
        </w:rPr>
        <w:t>.</w:t>
      </w:r>
    </w:p>
    <w:p w14:paraId="0B8056E5" w14:textId="7DDD2AC7" w:rsidR="007035FF" w:rsidRDefault="007035FF" w:rsidP="007035FF">
      <w:pPr>
        <w:rPr>
          <w:rFonts w:cs="Arial"/>
          <w:bCs/>
          <w:lang w:val="en-US"/>
        </w:rPr>
      </w:pPr>
      <w:r w:rsidRPr="003732A4">
        <w:rPr>
          <w:rFonts w:cs="Arial"/>
          <w:bCs/>
          <w:lang w:val="en-US"/>
        </w:rPr>
        <w:t xml:space="preserve">The department </w:t>
      </w:r>
      <w:r>
        <w:rPr>
          <w:rFonts w:cs="Arial"/>
          <w:bCs/>
          <w:lang w:val="en-US"/>
        </w:rPr>
        <w:t>acknowledg</w:t>
      </w:r>
      <w:r w:rsidRPr="003732A4">
        <w:rPr>
          <w:rFonts w:cs="Arial"/>
          <w:bCs/>
          <w:lang w:val="en-US"/>
        </w:rPr>
        <w:t xml:space="preserve">es the complexities behind </w:t>
      </w:r>
      <w:r>
        <w:rPr>
          <w:rFonts w:cs="Arial"/>
          <w:bCs/>
          <w:lang w:val="en-US"/>
        </w:rPr>
        <w:t>providing nutritious food and drinks</w:t>
      </w:r>
      <w:r w:rsidRPr="003732A4">
        <w:rPr>
          <w:rFonts w:cs="Arial"/>
          <w:bCs/>
          <w:lang w:val="en-US"/>
        </w:rPr>
        <w:t xml:space="preserve"> to students however, </w:t>
      </w:r>
      <w:r>
        <w:rPr>
          <w:rFonts w:cs="Arial"/>
          <w:bCs/>
          <w:lang w:val="en-US"/>
        </w:rPr>
        <w:t xml:space="preserve">in the interest of the current and future health of our students, </w:t>
      </w:r>
      <w:r w:rsidRPr="003732A4">
        <w:rPr>
          <w:rFonts w:cs="Arial"/>
          <w:bCs/>
          <w:lang w:val="en-US"/>
        </w:rPr>
        <w:t>all efforts must be made to ensure compliance with th</w:t>
      </w:r>
      <w:r>
        <w:rPr>
          <w:rFonts w:cs="Arial"/>
          <w:bCs/>
          <w:lang w:val="en-US"/>
        </w:rPr>
        <w:t>i</w:t>
      </w:r>
      <w:r w:rsidRPr="003732A4">
        <w:rPr>
          <w:rFonts w:cs="Arial"/>
          <w:bCs/>
          <w:lang w:val="en-US"/>
        </w:rPr>
        <w:t xml:space="preserve">s </w:t>
      </w:r>
      <w:r>
        <w:rPr>
          <w:rFonts w:cs="Arial"/>
          <w:bCs/>
          <w:lang w:val="en-US"/>
        </w:rPr>
        <w:t>policy</w:t>
      </w:r>
      <w:r w:rsidRPr="003732A4">
        <w:rPr>
          <w:rFonts w:cs="Arial"/>
          <w:bCs/>
          <w:lang w:val="en-US"/>
        </w:rPr>
        <w:t>.</w:t>
      </w:r>
    </w:p>
    <w:p w14:paraId="64C3DA4A" w14:textId="77777777" w:rsidR="007035FF" w:rsidRPr="008F210A" w:rsidRDefault="007035FF" w:rsidP="008F210A">
      <w:pPr>
        <w:pStyle w:val="Heading1"/>
      </w:pPr>
      <w:bookmarkStart w:id="2" w:name="_Toc144292878"/>
      <w:r w:rsidRPr="008F210A">
        <w:t>Business need</w:t>
      </w:r>
      <w:bookmarkEnd w:id="2"/>
    </w:p>
    <w:p w14:paraId="489A42A4" w14:textId="57C2AF29" w:rsidR="007035FF" w:rsidRDefault="007035FF" w:rsidP="007035FF">
      <w:pPr>
        <w:rPr>
          <w:rFonts w:cs="Arial"/>
          <w:bCs/>
          <w:lang w:val="en-US"/>
        </w:rPr>
      </w:pPr>
      <w:r>
        <w:rPr>
          <w:rFonts w:cs="Arial"/>
          <w:bCs/>
          <w:lang w:val="en-US"/>
        </w:rPr>
        <w:t xml:space="preserve">Schools have an opportunity to foster healthy eating habits by aligning the curriculum, nutritional </w:t>
      </w:r>
      <w:proofErr w:type="gramStart"/>
      <w:r>
        <w:rPr>
          <w:rFonts w:cs="Arial"/>
          <w:bCs/>
          <w:lang w:val="en-US"/>
        </w:rPr>
        <w:t>recommendations</w:t>
      </w:r>
      <w:proofErr w:type="gramEnd"/>
      <w:r>
        <w:rPr>
          <w:rFonts w:cs="Arial"/>
          <w:bCs/>
          <w:lang w:val="en-US"/>
        </w:rPr>
        <w:t xml:space="preserve"> and food provision</w:t>
      </w:r>
      <w:r w:rsidR="005942C6">
        <w:rPr>
          <w:rStyle w:val="FootnoteReference"/>
          <w:rFonts w:cs="Arial"/>
          <w:bCs/>
          <w:lang w:val="en-US"/>
        </w:rPr>
        <w:footnoteReference w:id="3"/>
      </w:r>
      <w:r w:rsidR="007C2582">
        <w:rPr>
          <w:rFonts w:cs="Arial"/>
          <w:bCs/>
          <w:lang w:val="en-US"/>
        </w:rPr>
        <w:t>.</w:t>
      </w:r>
      <w:r>
        <w:rPr>
          <w:rFonts w:cs="Arial"/>
          <w:bCs/>
          <w:lang w:val="en-US"/>
        </w:rPr>
        <w:t xml:space="preserve"> </w:t>
      </w:r>
      <w:r w:rsidRPr="00EE56A7">
        <w:rPr>
          <w:rFonts w:cs="Arial"/>
          <w:bCs/>
          <w:lang w:val="en-US"/>
        </w:rPr>
        <w:t>This policy has been developed to ensure all students have access to h</w:t>
      </w:r>
      <w:r>
        <w:rPr>
          <w:rFonts w:cs="Arial"/>
          <w:bCs/>
          <w:lang w:val="en-US"/>
        </w:rPr>
        <w:t>ealthy foods and drinks and</w:t>
      </w:r>
      <w:r w:rsidRPr="00EE56A7">
        <w:rPr>
          <w:rFonts w:cs="Arial"/>
          <w:bCs/>
          <w:lang w:val="en-US"/>
        </w:rPr>
        <w:t xml:space="preserve"> a consistent approach to the availability and sale of food and drinks in N</w:t>
      </w:r>
      <w:r w:rsidR="008F210A">
        <w:rPr>
          <w:rFonts w:cs="Arial"/>
          <w:bCs/>
          <w:lang w:val="en-US"/>
        </w:rPr>
        <w:t xml:space="preserve">orthern </w:t>
      </w:r>
      <w:r>
        <w:rPr>
          <w:rFonts w:cs="Arial"/>
          <w:bCs/>
          <w:lang w:val="en-US"/>
        </w:rPr>
        <w:t>T</w:t>
      </w:r>
      <w:r w:rsidR="008F210A">
        <w:rPr>
          <w:rFonts w:cs="Arial"/>
          <w:bCs/>
          <w:lang w:val="en-US"/>
        </w:rPr>
        <w:t>erritory</w:t>
      </w:r>
      <w:r>
        <w:rPr>
          <w:rFonts w:cs="Arial"/>
          <w:bCs/>
          <w:lang w:val="en-US"/>
        </w:rPr>
        <w:t xml:space="preserve"> </w:t>
      </w:r>
      <w:r w:rsidR="00A5047D">
        <w:rPr>
          <w:rFonts w:cs="Arial"/>
          <w:bCs/>
          <w:lang w:val="en-US"/>
        </w:rPr>
        <w:t>g</w:t>
      </w:r>
      <w:r w:rsidR="00A5047D" w:rsidRPr="00EE56A7">
        <w:rPr>
          <w:rFonts w:cs="Arial"/>
          <w:bCs/>
          <w:lang w:val="en-US"/>
        </w:rPr>
        <w:t xml:space="preserve">overnment </w:t>
      </w:r>
      <w:r w:rsidRPr="00EE56A7">
        <w:rPr>
          <w:rFonts w:cs="Arial"/>
          <w:bCs/>
          <w:lang w:val="en-US"/>
        </w:rPr>
        <w:t>schools</w:t>
      </w:r>
      <w:r>
        <w:rPr>
          <w:rFonts w:cs="Arial"/>
          <w:bCs/>
          <w:lang w:val="en-US"/>
        </w:rPr>
        <w:t>.</w:t>
      </w:r>
    </w:p>
    <w:p w14:paraId="60FB6DC9" w14:textId="14DB68AB" w:rsidR="007035FF" w:rsidRDefault="007035FF" w:rsidP="007035FF">
      <w:pPr>
        <w:rPr>
          <w:rFonts w:cs="Arial"/>
          <w:bCs/>
          <w:lang w:val="en-US"/>
        </w:rPr>
      </w:pPr>
      <w:r w:rsidRPr="001A17B5">
        <w:rPr>
          <w:rFonts w:cs="Arial"/>
          <w:bCs/>
          <w:lang w:val="en-US"/>
        </w:rPr>
        <w:t>Data published by the Australian Institute of Health an</w:t>
      </w:r>
      <w:r>
        <w:rPr>
          <w:rFonts w:cs="Arial"/>
          <w:bCs/>
          <w:lang w:val="en-US"/>
        </w:rPr>
        <w:t>d Welfare indicates that in 2014-</w:t>
      </w:r>
      <w:r w:rsidR="00F82599">
        <w:rPr>
          <w:rFonts w:cs="Arial"/>
          <w:bCs/>
          <w:lang w:val="en-US"/>
        </w:rPr>
        <w:t>20</w:t>
      </w:r>
      <w:r>
        <w:rPr>
          <w:rFonts w:cs="Arial"/>
          <w:bCs/>
          <w:lang w:val="en-US"/>
        </w:rPr>
        <w:t>15</w:t>
      </w:r>
      <w:r w:rsidRPr="001A17B5">
        <w:rPr>
          <w:rFonts w:cs="Arial"/>
          <w:bCs/>
          <w:lang w:val="en-US"/>
        </w:rPr>
        <w:t xml:space="preserve"> the percentage of overweight or obese children</w:t>
      </w:r>
      <w:r>
        <w:rPr>
          <w:rFonts w:cs="Arial"/>
          <w:bCs/>
          <w:lang w:val="en-US"/>
        </w:rPr>
        <w:t xml:space="preserve"> in Australia</w:t>
      </w:r>
      <w:r w:rsidRPr="001A17B5">
        <w:rPr>
          <w:rFonts w:cs="Arial"/>
          <w:bCs/>
          <w:lang w:val="en-US"/>
        </w:rPr>
        <w:t xml:space="preserve"> </w:t>
      </w:r>
      <w:r>
        <w:rPr>
          <w:rFonts w:cs="Arial"/>
          <w:bCs/>
          <w:lang w:val="en-US"/>
        </w:rPr>
        <w:t>was 25%</w:t>
      </w:r>
      <w:r w:rsidR="005942C6">
        <w:rPr>
          <w:rStyle w:val="FootnoteReference"/>
          <w:rFonts w:cs="Arial"/>
          <w:bCs/>
          <w:lang w:val="en-US"/>
        </w:rPr>
        <w:footnoteReference w:id="4"/>
      </w:r>
      <w:r w:rsidR="007C2582">
        <w:rPr>
          <w:rFonts w:cs="Arial"/>
          <w:bCs/>
          <w:lang w:val="en-US"/>
        </w:rPr>
        <w:t>.</w:t>
      </w:r>
      <w:r>
        <w:rPr>
          <w:rFonts w:cs="Arial"/>
          <w:bCs/>
          <w:lang w:val="en-US"/>
        </w:rPr>
        <w:t xml:space="preserve"> </w:t>
      </w:r>
      <w:r w:rsidRPr="001A17B5">
        <w:rPr>
          <w:rFonts w:cs="Arial"/>
          <w:bCs/>
          <w:lang w:val="en-US"/>
        </w:rPr>
        <w:t>Factors which may contribute to childhood obesity and weight issues can include poor food choices, lack of physical activity, limited access to and knowledge about healthy food and drink options. Poor food and drink choices affect a number of other childhood health issues including oral health and dental care. In 2010, 55% of 6</w:t>
      </w:r>
      <w:r w:rsidR="008F210A">
        <w:rPr>
          <w:rFonts w:cs="Arial"/>
          <w:bCs/>
          <w:lang w:val="en-US"/>
        </w:rPr>
        <w:t xml:space="preserve"> </w:t>
      </w:r>
      <w:r w:rsidRPr="001A17B5">
        <w:rPr>
          <w:rFonts w:cs="Arial"/>
          <w:bCs/>
          <w:lang w:val="en-US"/>
        </w:rPr>
        <w:t>year</w:t>
      </w:r>
      <w:r w:rsidR="008F210A">
        <w:rPr>
          <w:rFonts w:cs="Arial"/>
          <w:bCs/>
          <w:lang w:val="en-US"/>
        </w:rPr>
        <w:t xml:space="preserve"> </w:t>
      </w:r>
      <w:r w:rsidR="001E0D1B" w:rsidRPr="001A17B5">
        <w:rPr>
          <w:rFonts w:cs="Arial"/>
          <w:bCs/>
          <w:lang w:val="en-US"/>
        </w:rPr>
        <w:t>old’s</w:t>
      </w:r>
      <w:r w:rsidRPr="001A17B5">
        <w:rPr>
          <w:rFonts w:cs="Arial"/>
          <w:bCs/>
          <w:lang w:val="en-US"/>
        </w:rPr>
        <w:t xml:space="preserve"> had experienced decay in their bab</w:t>
      </w:r>
      <w:r>
        <w:rPr>
          <w:rFonts w:cs="Arial"/>
          <w:bCs/>
          <w:lang w:val="en-US"/>
        </w:rPr>
        <w:t xml:space="preserve">y </w:t>
      </w:r>
      <w:r w:rsidRPr="001A17B5">
        <w:rPr>
          <w:rFonts w:cs="Arial"/>
          <w:bCs/>
          <w:lang w:val="en-US"/>
        </w:rPr>
        <w:t>teeth</w:t>
      </w:r>
      <w:r>
        <w:rPr>
          <w:rFonts w:cs="Arial"/>
          <w:bCs/>
          <w:lang w:val="en-US"/>
        </w:rPr>
        <w:t>, deciduous teeth in biological terms,</w:t>
      </w:r>
      <w:r w:rsidRPr="001A17B5">
        <w:rPr>
          <w:rFonts w:cs="Arial"/>
          <w:bCs/>
          <w:lang w:val="en-US"/>
        </w:rPr>
        <w:t xml:space="preserve"> and 48% of</w:t>
      </w:r>
      <w:r>
        <w:rPr>
          <w:rFonts w:cs="Arial"/>
          <w:bCs/>
          <w:lang w:val="en-US"/>
        </w:rPr>
        <w:t xml:space="preserve"> </w:t>
      </w:r>
      <w:r w:rsidRPr="001A17B5">
        <w:rPr>
          <w:rFonts w:cs="Arial"/>
          <w:bCs/>
          <w:lang w:val="en-US"/>
        </w:rPr>
        <w:t>12</w:t>
      </w:r>
      <w:r w:rsidR="008F210A">
        <w:rPr>
          <w:rFonts w:cs="Arial"/>
          <w:bCs/>
          <w:lang w:val="en-US"/>
        </w:rPr>
        <w:t xml:space="preserve"> </w:t>
      </w:r>
      <w:r w:rsidRPr="001A17B5">
        <w:rPr>
          <w:rFonts w:cs="Arial"/>
          <w:bCs/>
          <w:lang w:val="en-US"/>
        </w:rPr>
        <w:t>year</w:t>
      </w:r>
      <w:r w:rsidR="008F210A">
        <w:rPr>
          <w:rFonts w:cs="Arial"/>
          <w:bCs/>
          <w:lang w:val="en-US"/>
        </w:rPr>
        <w:t xml:space="preserve"> </w:t>
      </w:r>
      <w:r w:rsidR="001E0D1B" w:rsidRPr="001A17B5">
        <w:rPr>
          <w:rFonts w:cs="Arial"/>
          <w:bCs/>
          <w:lang w:val="en-US"/>
        </w:rPr>
        <w:t>old’s</w:t>
      </w:r>
      <w:r w:rsidRPr="001A17B5">
        <w:rPr>
          <w:rFonts w:cs="Arial"/>
          <w:bCs/>
          <w:lang w:val="en-US"/>
        </w:rPr>
        <w:t xml:space="preserve"> had experienced decay in their permanent teet</w:t>
      </w:r>
      <w:r>
        <w:rPr>
          <w:rFonts w:cs="Arial"/>
          <w:bCs/>
          <w:lang w:val="en-US"/>
        </w:rPr>
        <w:t>h</w:t>
      </w:r>
      <w:r w:rsidR="005942C6">
        <w:rPr>
          <w:rStyle w:val="FootnoteReference"/>
          <w:rFonts w:cs="Arial"/>
          <w:bCs/>
          <w:lang w:val="en-US"/>
        </w:rPr>
        <w:footnoteReference w:id="5"/>
      </w:r>
      <w:r w:rsidR="00FB2142">
        <w:rPr>
          <w:rFonts w:cs="Arial"/>
          <w:bCs/>
          <w:lang w:val="en-US"/>
        </w:rPr>
        <w:t>.</w:t>
      </w:r>
    </w:p>
    <w:p w14:paraId="28AF9A8D" w14:textId="0885008F" w:rsidR="007035FF" w:rsidRPr="00845C64" w:rsidRDefault="007035FF" w:rsidP="005C3FB5">
      <w:pPr>
        <w:spacing w:after="120"/>
        <w:rPr>
          <w:lang w:val="en-US"/>
        </w:rPr>
      </w:pPr>
      <w:r>
        <w:rPr>
          <w:rFonts w:cs="Arial"/>
          <w:bCs/>
          <w:lang w:val="en-US"/>
        </w:rPr>
        <w:lastRenderedPageBreak/>
        <w:t xml:space="preserve">The early years are also an important time for establishing lifelong healthy eating habits. Under </w:t>
      </w:r>
      <w:r>
        <w:t>t</w:t>
      </w:r>
      <w:r w:rsidRPr="00845C64">
        <w:t xml:space="preserve">he </w:t>
      </w:r>
      <w:r w:rsidRPr="00947F3C">
        <w:rPr>
          <w:i/>
          <w:iCs/>
        </w:rPr>
        <w:t>Education and Care Services (National Uniform Legislation) Act 2011</w:t>
      </w:r>
      <w:r w:rsidRPr="00AD21D8">
        <w:rPr>
          <w:rFonts w:cs="Arial"/>
          <w:bCs/>
          <w:i/>
          <w:lang w:val="en-US"/>
        </w:rPr>
        <w:t xml:space="preserve"> </w:t>
      </w:r>
      <w:r w:rsidRPr="00E41B2F">
        <w:rPr>
          <w:rFonts w:cs="Arial"/>
          <w:bCs/>
          <w:lang w:val="en-US"/>
        </w:rPr>
        <w:t>and</w:t>
      </w:r>
      <w:r w:rsidRPr="00845C64">
        <w:rPr>
          <w:rFonts w:cs="Arial"/>
          <w:bCs/>
          <w:i/>
          <w:lang w:val="en-US"/>
        </w:rPr>
        <w:t xml:space="preserve"> </w:t>
      </w:r>
      <w:r w:rsidRPr="00AF2178">
        <w:rPr>
          <w:iCs/>
        </w:rPr>
        <w:t>Education and Care Services National Regulations 201</w:t>
      </w:r>
      <w:r w:rsidR="00947F3C">
        <w:rPr>
          <w:iCs/>
        </w:rPr>
        <w:t>1</w:t>
      </w:r>
      <w:r w:rsidRPr="00AF2178">
        <w:rPr>
          <w:i/>
          <w:iCs/>
        </w:rPr>
        <w:t xml:space="preserve"> </w:t>
      </w:r>
      <w:r w:rsidRPr="00AF2178">
        <w:t>(NSW)</w:t>
      </w:r>
      <w:r w:rsidRPr="00AD21D8">
        <w:rPr>
          <w:rFonts w:cs="Arial"/>
          <w:bCs/>
          <w:lang w:val="en-US"/>
        </w:rPr>
        <w:t xml:space="preserve"> </w:t>
      </w:r>
      <w:r w:rsidRPr="00845C64">
        <w:t>preschools</w:t>
      </w:r>
      <w:r w:rsidR="00D16065">
        <w:t>, Families as First Teachers programs</w:t>
      </w:r>
      <w:r w:rsidRPr="00845C64">
        <w:rPr>
          <w:lang w:val="en-US"/>
        </w:rPr>
        <w:t xml:space="preserve"> </w:t>
      </w:r>
      <w:r>
        <w:rPr>
          <w:lang w:val="en-US"/>
        </w:rPr>
        <w:t xml:space="preserve">and school based outside of school hours care services </w:t>
      </w:r>
      <w:r w:rsidRPr="00845C64">
        <w:rPr>
          <w:lang w:val="en-US"/>
        </w:rPr>
        <w:t>must ensure:</w:t>
      </w:r>
    </w:p>
    <w:p w14:paraId="73C8E797" w14:textId="77777777" w:rsidR="007035FF" w:rsidRPr="00845C64" w:rsidRDefault="007035FF" w:rsidP="005C3FB5">
      <w:pPr>
        <w:pStyle w:val="ListParagraph"/>
        <w:numPr>
          <w:ilvl w:val="0"/>
          <w:numId w:val="42"/>
        </w:numPr>
        <w:ind w:left="851" w:hanging="283"/>
      </w:pPr>
      <w:r w:rsidRPr="00845C64">
        <w:t>children have access to safe drinking water at all times and are regularly offered</w:t>
      </w:r>
      <w:r>
        <w:t xml:space="preserve"> nutritious</w:t>
      </w:r>
      <w:r w:rsidRPr="00845C64">
        <w:t xml:space="preserve"> food and beverages throughout the day</w:t>
      </w:r>
    </w:p>
    <w:p w14:paraId="7D6979EC" w14:textId="1E4EF34F" w:rsidR="007035FF" w:rsidRPr="00845C64" w:rsidRDefault="007035FF" w:rsidP="005C3FB5">
      <w:pPr>
        <w:pStyle w:val="ListParagraph"/>
        <w:numPr>
          <w:ilvl w:val="0"/>
          <w:numId w:val="42"/>
        </w:numPr>
        <w:ind w:left="851" w:hanging="283"/>
      </w:pPr>
      <w:r w:rsidRPr="00845C64">
        <w:t>the service implements healthy, hygienic and safe practices for handling, preparing and storing food, including food and beverages provided by the family</w:t>
      </w:r>
      <w:r w:rsidR="00E17835">
        <w:t xml:space="preserve"> and</w:t>
      </w:r>
    </w:p>
    <w:p w14:paraId="52774C7E" w14:textId="56352783" w:rsidR="007035FF" w:rsidRDefault="007035FF" w:rsidP="005C3FB5">
      <w:pPr>
        <w:pStyle w:val="ListParagraph"/>
        <w:numPr>
          <w:ilvl w:val="0"/>
          <w:numId w:val="42"/>
        </w:numPr>
        <w:spacing w:after="200"/>
        <w:ind w:left="851" w:hanging="283"/>
        <w:contextualSpacing/>
      </w:pPr>
      <w:r w:rsidRPr="00845C64">
        <w:t xml:space="preserve">the food or beverages </w:t>
      </w:r>
      <w:r>
        <w:t xml:space="preserve">provided are </w:t>
      </w:r>
      <w:r w:rsidRPr="00845C64">
        <w:t xml:space="preserve">nutritious, adequate in quantity </w:t>
      </w:r>
      <w:r>
        <w:t xml:space="preserve">and caters </w:t>
      </w:r>
      <w:r w:rsidRPr="00845C64">
        <w:t>for</w:t>
      </w:r>
      <w:r>
        <w:t xml:space="preserve"> each individual child’s dietary requirements.</w:t>
      </w:r>
    </w:p>
    <w:p w14:paraId="45BE5E0E" w14:textId="77777777" w:rsidR="007035FF" w:rsidRPr="008F210A" w:rsidRDefault="007035FF" w:rsidP="008F210A">
      <w:pPr>
        <w:pStyle w:val="Heading1"/>
      </w:pPr>
      <w:bookmarkStart w:id="3" w:name="_Toc144292879"/>
      <w:r w:rsidRPr="008F210A">
        <w:t>Scope</w:t>
      </w:r>
      <w:bookmarkEnd w:id="3"/>
    </w:p>
    <w:p w14:paraId="531DCC65" w14:textId="13A9E90C" w:rsidR="008F210A" w:rsidRDefault="007035FF" w:rsidP="00B424B1">
      <w:pPr>
        <w:spacing w:after="120"/>
        <w:rPr>
          <w:rFonts w:cs="Arial"/>
          <w:bCs/>
          <w:lang w:val="en-US"/>
        </w:rPr>
      </w:pPr>
      <w:r>
        <w:rPr>
          <w:rFonts w:cs="Arial"/>
          <w:bCs/>
          <w:lang w:val="en-US"/>
        </w:rPr>
        <w:t xml:space="preserve">This policy and associated guidelines apply </w:t>
      </w:r>
      <w:r w:rsidRPr="00AE5A40">
        <w:rPr>
          <w:rFonts w:cs="Arial"/>
          <w:bCs/>
          <w:lang w:val="en-US"/>
        </w:rPr>
        <w:t xml:space="preserve">to all </w:t>
      </w:r>
      <w:r>
        <w:rPr>
          <w:rFonts w:cs="Arial"/>
          <w:bCs/>
          <w:lang w:val="en-US"/>
        </w:rPr>
        <w:t>N</w:t>
      </w:r>
      <w:r w:rsidR="008F210A">
        <w:rPr>
          <w:rFonts w:cs="Arial"/>
          <w:bCs/>
          <w:lang w:val="en-US"/>
        </w:rPr>
        <w:t xml:space="preserve">orthern </w:t>
      </w:r>
      <w:r>
        <w:rPr>
          <w:rFonts w:cs="Arial"/>
          <w:bCs/>
          <w:lang w:val="en-US"/>
        </w:rPr>
        <w:t>T</w:t>
      </w:r>
      <w:r w:rsidR="008F210A">
        <w:rPr>
          <w:rFonts w:cs="Arial"/>
          <w:bCs/>
          <w:lang w:val="en-US"/>
        </w:rPr>
        <w:t>erritory</w:t>
      </w:r>
      <w:r w:rsidRPr="00AE5A40">
        <w:rPr>
          <w:rFonts w:cs="Arial"/>
          <w:bCs/>
          <w:lang w:val="en-US"/>
        </w:rPr>
        <w:t xml:space="preserve"> </w:t>
      </w:r>
      <w:r w:rsidR="00A5047D">
        <w:rPr>
          <w:rFonts w:cs="Arial"/>
          <w:bCs/>
          <w:lang w:val="en-US"/>
        </w:rPr>
        <w:t>g</w:t>
      </w:r>
      <w:r w:rsidR="00A5047D" w:rsidRPr="00AE5A40">
        <w:rPr>
          <w:rFonts w:cs="Arial"/>
          <w:bCs/>
          <w:lang w:val="en-US"/>
        </w:rPr>
        <w:t xml:space="preserve">overnment </w:t>
      </w:r>
      <w:r w:rsidRPr="00AE5A40">
        <w:rPr>
          <w:rFonts w:cs="Arial"/>
          <w:bCs/>
          <w:lang w:val="en-US"/>
        </w:rPr>
        <w:t xml:space="preserve">schools </w:t>
      </w:r>
      <w:r w:rsidR="008F210A">
        <w:rPr>
          <w:rFonts w:cs="Arial"/>
          <w:bCs/>
          <w:lang w:val="en-US"/>
        </w:rPr>
        <w:t>and include</w:t>
      </w:r>
      <w:r w:rsidR="00B424B1">
        <w:rPr>
          <w:rFonts w:cs="Arial"/>
          <w:bCs/>
          <w:lang w:val="en-US"/>
        </w:rPr>
        <w:t>s</w:t>
      </w:r>
      <w:r w:rsidR="008F210A">
        <w:rPr>
          <w:rFonts w:cs="Arial"/>
          <w:bCs/>
          <w:lang w:val="en-US"/>
        </w:rPr>
        <w:t>:</w:t>
      </w:r>
    </w:p>
    <w:p w14:paraId="04A10187" w14:textId="1D7710CC" w:rsidR="008F210A" w:rsidRDefault="008F210A" w:rsidP="008F210A">
      <w:pPr>
        <w:pStyle w:val="ListParagraph"/>
        <w:numPr>
          <w:ilvl w:val="0"/>
          <w:numId w:val="44"/>
        </w:numPr>
        <w:tabs>
          <w:tab w:val="left" w:pos="6150"/>
        </w:tabs>
        <w:rPr>
          <w:rFonts w:cs="Arial"/>
          <w:bCs/>
          <w:lang w:val="en-US"/>
        </w:rPr>
      </w:pPr>
      <w:r w:rsidRPr="00787181">
        <w:rPr>
          <w:rFonts w:cs="Arial"/>
          <w:bCs/>
          <w:lang w:val="en-US"/>
        </w:rPr>
        <w:t>vending machines</w:t>
      </w:r>
    </w:p>
    <w:p w14:paraId="7BCC19C7" w14:textId="6005E5EC" w:rsidR="00B424B1" w:rsidRDefault="00B424B1" w:rsidP="008F210A">
      <w:pPr>
        <w:pStyle w:val="ListParagraph"/>
        <w:numPr>
          <w:ilvl w:val="0"/>
          <w:numId w:val="44"/>
        </w:numPr>
        <w:tabs>
          <w:tab w:val="left" w:pos="6150"/>
        </w:tabs>
        <w:rPr>
          <w:rFonts w:cs="Arial"/>
          <w:bCs/>
          <w:lang w:val="en-US"/>
        </w:rPr>
      </w:pPr>
      <w:r w:rsidRPr="00787181">
        <w:rPr>
          <w:rFonts w:cs="Arial"/>
          <w:bCs/>
          <w:lang w:val="en-US"/>
        </w:rPr>
        <w:t>school canteens</w:t>
      </w:r>
    </w:p>
    <w:p w14:paraId="52794210" w14:textId="656A290E" w:rsidR="008F210A" w:rsidRDefault="008F210A" w:rsidP="008F210A">
      <w:pPr>
        <w:pStyle w:val="ListParagraph"/>
        <w:numPr>
          <w:ilvl w:val="0"/>
          <w:numId w:val="44"/>
        </w:numPr>
        <w:tabs>
          <w:tab w:val="left" w:pos="6150"/>
        </w:tabs>
        <w:rPr>
          <w:rFonts w:cs="Arial"/>
          <w:bCs/>
          <w:lang w:val="en-US"/>
        </w:rPr>
      </w:pPr>
      <w:r w:rsidRPr="00787181">
        <w:rPr>
          <w:rFonts w:cs="Arial"/>
          <w:bCs/>
          <w:lang w:val="en-US"/>
        </w:rPr>
        <w:t>nutrition education</w:t>
      </w:r>
    </w:p>
    <w:p w14:paraId="34B5F047" w14:textId="333C7D6C" w:rsidR="008F210A" w:rsidRDefault="008F210A" w:rsidP="008F210A">
      <w:pPr>
        <w:pStyle w:val="ListParagraph"/>
        <w:numPr>
          <w:ilvl w:val="0"/>
          <w:numId w:val="44"/>
        </w:numPr>
        <w:tabs>
          <w:tab w:val="left" w:pos="6150"/>
        </w:tabs>
        <w:rPr>
          <w:rFonts w:cs="Arial"/>
          <w:bCs/>
          <w:lang w:val="en-US"/>
        </w:rPr>
      </w:pPr>
      <w:r w:rsidRPr="00787181">
        <w:rPr>
          <w:rFonts w:cs="Arial"/>
          <w:bCs/>
          <w:lang w:val="en-US"/>
        </w:rPr>
        <w:t>fundraising</w:t>
      </w:r>
    </w:p>
    <w:p w14:paraId="32A46D21" w14:textId="34EC44C5" w:rsidR="008F210A" w:rsidRDefault="008F210A" w:rsidP="008F210A">
      <w:pPr>
        <w:pStyle w:val="ListParagraph"/>
        <w:numPr>
          <w:ilvl w:val="0"/>
          <w:numId w:val="44"/>
        </w:numPr>
        <w:tabs>
          <w:tab w:val="left" w:pos="6150"/>
        </w:tabs>
        <w:rPr>
          <w:rFonts w:cs="Arial"/>
          <w:bCs/>
          <w:lang w:val="en-US"/>
        </w:rPr>
      </w:pPr>
      <w:r w:rsidRPr="00787181">
        <w:rPr>
          <w:rFonts w:cs="Arial"/>
          <w:bCs/>
          <w:lang w:val="en-US"/>
        </w:rPr>
        <w:t>excursions</w:t>
      </w:r>
    </w:p>
    <w:p w14:paraId="671711E8" w14:textId="1559509B" w:rsidR="008F210A" w:rsidRDefault="008F210A" w:rsidP="008F210A">
      <w:pPr>
        <w:pStyle w:val="ListParagraph"/>
        <w:numPr>
          <w:ilvl w:val="0"/>
          <w:numId w:val="44"/>
        </w:numPr>
        <w:tabs>
          <w:tab w:val="left" w:pos="6150"/>
        </w:tabs>
        <w:rPr>
          <w:rFonts w:cs="Arial"/>
          <w:bCs/>
          <w:lang w:val="en-US"/>
        </w:rPr>
      </w:pPr>
      <w:r w:rsidRPr="00787181">
        <w:rPr>
          <w:rFonts w:cs="Arial"/>
          <w:bCs/>
          <w:lang w:val="en-US"/>
        </w:rPr>
        <w:t>school sport events</w:t>
      </w:r>
    </w:p>
    <w:p w14:paraId="1E75FE63" w14:textId="01C79B58" w:rsidR="008F210A" w:rsidRDefault="008F210A" w:rsidP="008F210A">
      <w:pPr>
        <w:pStyle w:val="ListParagraph"/>
        <w:numPr>
          <w:ilvl w:val="0"/>
          <w:numId w:val="44"/>
        </w:numPr>
        <w:tabs>
          <w:tab w:val="left" w:pos="6150"/>
        </w:tabs>
        <w:rPr>
          <w:rFonts w:cs="Arial"/>
          <w:bCs/>
          <w:lang w:val="en-US"/>
        </w:rPr>
      </w:pPr>
      <w:r>
        <w:rPr>
          <w:rFonts w:cs="Arial"/>
          <w:bCs/>
          <w:lang w:val="en-US"/>
        </w:rPr>
        <w:t>school nutrition programs</w:t>
      </w:r>
    </w:p>
    <w:p w14:paraId="619F221C" w14:textId="393C6DD5" w:rsidR="008F210A" w:rsidRDefault="008F210A" w:rsidP="008F210A">
      <w:pPr>
        <w:pStyle w:val="ListParagraph"/>
        <w:numPr>
          <w:ilvl w:val="0"/>
          <w:numId w:val="44"/>
        </w:numPr>
        <w:tabs>
          <w:tab w:val="left" w:pos="6150"/>
        </w:tabs>
        <w:rPr>
          <w:rFonts w:cs="Arial"/>
          <w:bCs/>
          <w:lang w:val="en-US"/>
        </w:rPr>
      </w:pPr>
      <w:r>
        <w:rPr>
          <w:rFonts w:cs="Arial"/>
          <w:bCs/>
          <w:lang w:val="en-US"/>
        </w:rPr>
        <w:t>classrooms including classroom rewards</w:t>
      </w:r>
    </w:p>
    <w:p w14:paraId="4F374EB4" w14:textId="6307439C" w:rsidR="008F210A" w:rsidRPr="00D16065" w:rsidRDefault="008F210A" w:rsidP="00D16065">
      <w:pPr>
        <w:pStyle w:val="ListParagraph"/>
        <w:numPr>
          <w:ilvl w:val="0"/>
          <w:numId w:val="44"/>
        </w:numPr>
        <w:tabs>
          <w:tab w:val="left" w:pos="6150"/>
        </w:tabs>
        <w:rPr>
          <w:rFonts w:cs="Arial"/>
          <w:bCs/>
          <w:lang w:val="en-US"/>
        </w:rPr>
      </w:pPr>
      <w:r w:rsidRPr="00787181">
        <w:rPr>
          <w:rFonts w:cs="Arial"/>
          <w:bCs/>
          <w:lang w:val="en-US"/>
        </w:rPr>
        <w:t xml:space="preserve">breakfast </w:t>
      </w:r>
      <w:r>
        <w:rPr>
          <w:rFonts w:cs="Arial"/>
          <w:bCs/>
          <w:lang w:val="en-US"/>
        </w:rPr>
        <w:t>programs</w:t>
      </w:r>
      <w:r w:rsidR="00B424B1" w:rsidRPr="00D16065">
        <w:rPr>
          <w:rFonts w:cs="Arial"/>
          <w:bCs/>
          <w:lang w:val="en-US"/>
        </w:rPr>
        <w:t>.</w:t>
      </w:r>
    </w:p>
    <w:p w14:paraId="55FCFDCA" w14:textId="77777777" w:rsidR="00494C03" w:rsidRPr="008F210A" w:rsidRDefault="00494C03" w:rsidP="00494C03">
      <w:pPr>
        <w:pStyle w:val="Heading2"/>
      </w:pPr>
      <w:bookmarkStart w:id="4" w:name="_Toc144292880"/>
      <w:r w:rsidRPr="008F210A">
        <w:t>Food and drink categories</w:t>
      </w:r>
      <w:bookmarkEnd w:id="4"/>
    </w:p>
    <w:p w14:paraId="65A1079F" w14:textId="27AE961A" w:rsidR="00494C03" w:rsidRPr="008F210A" w:rsidRDefault="00494C03" w:rsidP="000021AB">
      <w:pPr>
        <w:spacing w:after="120"/>
        <w:rPr>
          <w:rFonts w:cs="Arial"/>
          <w:bCs/>
          <w:lang w:val="en-US"/>
        </w:rPr>
      </w:pPr>
      <w:r w:rsidRPr="008F210A">
        <w:rPr>
          <w:rFonts w:cs="Arial"/>
          <w:bCs/>
          <w:lang w:val="en-US"/>
        </w:rPr>
        <w:t xml:space="preserve">Where food </w:t>
      </w:r>
      <w:r>
        <w:rPr>
          <w:rFonts w:cs="Arial"/>
          <w:bCs/>
          <w:lang w:val="en-US"/>
        </w:rPr>
        <w:t>or drinks are</w:t>
      </w:r>
      <w:r w:rsidRPr="008F210A">
        <w:rPr>
          <w:rFonts w:cs="Arial"/>
          <w:bCs/>
          <w:lang w:val="en-US"/>
        </w:rPr>
        <w:t xml:space="preserve"> provided by the department</w:t>
      </w:r>
      <w:r>
        <w:rPr>
          <w:rFonts w:cs="Arial"/>
          <w:bCs/>
          <w:lang w:val="en-US"/>
        </w:rPr>
        <w:t xml:space="preserve">, there must be compliance </w:t>
      </w:r>
      <w:r w:rsidRPr="008F210A">
        <w:rPr>
          <w:rFonts w:cs="Arial"/>
          <w:bCs/>
          <w:lang w:val="en-US"/>
        </w:rPr>
        <w:t>with the food and drink categories</w:t>
      </w:r>
      <w:r w:rsidR="002A552A">
        <w:rPr>
          <w:rFonts w:cs="Arial"/>
          <w:bCs/>
          <w:lang w:val="en-US"/>
        </w:rPr>
        <w:t xml:space="preserve"> except where </w:t>
      </w:r>
      <w:r w:rsidR="000021AB">
        <w:rPr>
          <w:rFonts w:cs="Arial"/>
          <w:bCs/>
          <w:lang w:val="en-US"/>
        </w:rPr>
        <w:t xml:space="preserve">an </w:t>
      </w:r>
      <w:r w:rsidR="002A552A">
        <w:rPr>
          <w:rFonts w:cs="Arial"/>
          <w:bCs/>
          <w:lang w:val="en-US"/>
        </w:rPr>
        <w:t>exemption may apply.</w:t>
      </w:r>
    </w:p>
    <w:tbl>
      <w:tblPr>
        <w:tblStyle w:val="NTGtable"/>
        <w:tblW w:w="0" w:type="auto"/>
        <w:tblLook w:val="04A0" w:firstRow="1" w:lastRow="0" w:firstColumn="1" w:lastColumn="0" w:noHBand="0" w:noVBand="1"/>
      </w:tblPr>
      <w:tblGrid>
        <w:gridCol w:w="1267"/>
        <w:gridCol w:w="1422"/>
        <w:gridCol w:w="7619"/>
      </w:tblGrid>
      <w:tr w:rsidR="00494C03" w:rsidRPr="00D07673" w14:paraId="29B71927" w14:textId="77777777" w:rsidTr="000E4F03">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1267" w:type="dxa"/>
            <w:tcBorders>
              <w:top w:val="single" w:sz="4" w:space="0" w:color="1F1F5F" w:themeColor="text1"/>
              <w:bottom w:val="single" w:sz="4" w:space="0" w:color="auto"/>
            </w:tcBorders>
            <w:shd w:val="clear" w:color="auto" w:fill="002060"/>
            <w:tcMar>
              <w:top w:w="57" w:type="dxa"/>
              <w:bottom w:w="57" w:type="dxa"/>
            </w:tcMar>
            <w:vAlign w:val="center"/>
          </w:tcPr>
          <w:p w14:paraId="6DAE4569" w14:textId="77777777" w:rsidR="00494C03" w:rsidRPr="00D07673" w:rsidRDefault="00494C03" w:rsidP="00494C03">
            <w:pPr>
              <w:spacing w:before="0" w:after="0"/>
              <w:rPr>
                <w:color w:val="FFFFFF" w:themeColor="background1"/>
              </w:rPr>
            </w:pPr>
            <w:r w:rsidRPr="00D07673">
              <w:rPr>
                <w:color w:val="FFFFFF" w:themeColor="background1"/>
              </w:rPr>
              <w:t>Category</w:t>
            </w:r>
          </w:p>
        </w:tc>
        <w:tc>
          <w:tcPr>
            <w:tcW w:w="1422" w:type="dxa"/>
            <w:tcBorders>
              <w:top w:val="single" w:sz="4" w:space="0" w:color="1F1F5F" w:themeColor="text1"/>
              <w:bottom w:val="single" w:sz="4" w:space="0" w:color="auto"/>
            </w:tcBorders>
            <w:shd w:val="clear" w:color="auto" w:fill="002060"/>
            <w:tcMar>
              <w:top w:w="57" w:type="dxa"/>
              <w:bottom w:w="57" w:type="dxa"/>
            </w:tcMar>
            <w:vAlign w:val="center"/>
          </w:tcPr>
          <w:p w14:paraId="51A9C780" w14:textId="77777777" w:rsidR="00494C03" w:rsidRPr="00D07673" w:rsidRDefault="00494C03" w:rsidP="00494C03">
            <w:pPr>
              <w:spacing w:before="0" w:after="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Guide</w:t>
            </w:r>
          </w:p>
        </w:tc>
        <w:tc>
          <w:tcPr>
            <w:tcW w:w="7619" w:type="dxa"/>
            <w:tcBorders>
              <w:top w:val="single" w:sz="4" w:space="0" w:color="1F1F5F" w:themeColor="text1"/>
              <w:bottom w:val="single" w:sz="4" w:space="0" w:color="auto"/>
            </w:tcBorders>
            <w:shd w:val="clear" w:color="auto" w:fill="002060"/>
            <w:tcMar>
              <w:top w:w="57" w:type="dxa"/>
              <w:bottom w:w="57" w:type="dxa"/>
            </w:tcMar>
            <w:vAlign w:val="center"/>
          </w:tcPr>
          <w:p w14:paraId="79576B2A" w14:textId="77777777" w:rsidR="00494C03" w:rsidRPr="00D07673" w:rsidRDefault="00494C03" w:rsidP="00494C03">
            <w:pPr>
              <w:spacing w:before="0" w:after="0"/>
              <w:cnfStyle w:val="100000000000" w:firstRow="1" w:lastRow="0" w:firstColumn="0" w:lastColumn="0" w:oddVBand="0" w:evenVBand="0" w:oddHBand="0" w:evenHBand="0" w:firstRowFirstColumn="0" w:firstRowLastColumn="0" w:lastRowFirstColumn="0" w:lastRowLastColumn="0"/>
              <w:rPr>
                <w:color w:val="FFFFFF" w:themeColor="background1"/>
              </w:rPr>
            </w:pPr>
            <w:r w:rsidRPr="00D07673">
              <w:rPr>
                <w:color w:val="FFFFFF" w:themeColor="background1"/>
              </w:rPr>
              <w:t>Description</w:t>
            </w:r>
          </w:p>
        </w:tc>
      </w:tr>
      <w:tr w:rsidR="00494C03" w14:paraId="7F96DC89" w14:textId="77777777" w:rsidTr="000E4F0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67" w:type="dxa"/>
            <w:tcBorders>
              <w:top w:val="single" w:sz="4" w:space="0" w:color="auto"/>
              <w:bottom w:val="single" w:sz="4" w:space="0" w:color="auto"/>
            </w:tcBorders>
            <w:shd w:val="clear" w:color="auto" w:fill="1E5E5E"/>
            <w:tcMar>
              <w:top w:w="57" w:type="dxa"/>
              <w:bottom w:w="57" w:type="dxa"/>
            </w:tcMar>
          </w:tcPr>
          <w:p w14:paraId="704CC069" w14:textId="77777777" w:rsidR="00494C03" w:rsidRPr="00303120" w:rsidRDefault="00494C03" w:rsidP="00494C03">
            <w:pPr>
              <w:spacing w:before="0" w:after="0"/>
              <w:rPr>
                <w:color w:val="FFFFFF" w:themeColor="background1"/>
              </w:rPr>
            </w:pPr>
            <w:r w:rsidRPr="00303120">
              <w:rPr>
                <w:color w:val="FFFFFF" w:themeColor="background1"/>
              </w:rPr>
              <w:t>Green</w:t>
            </w:r>
          </w:p>
        </w:tc>
        <w:tc>
          <w:tcPr>
            <w:tcW w:w="1422" w:type="dxa"/>
            <w:tcBorders>
              <w:top w:val="single" w:sz="4" w:space="0" w:color="auto"/>
            </w:tcBorders>
            <w:tcMar>
              <w:top w:w="57" w:type="dxa"/>
              <w:bottom w:w="57" w:type="dxa"/>
            </w:tcMar>
          </w:tcPr>
          <w:p w14:paraId="4B7E74C7" w14:textId="77777777" w:rsidR="00494C03" w:rsidRPr="00D07673" w:rsidRDefault="00494C03" w:rsidP="00494C03">
            <w:pPr>
              <w:spacing w:before="0" w:after="0"/>
              <w:cnfStyle w:val="000000100000" w:firstRow="0" w:lastRow="0" w:firstColumn="0" w:lastColumn="0" w:oddVBand="0" w:evenVBand="0" w:oddHBand="1" w:evenHBand="0" w:firstRowFirstColumn="0" w:firstRowLastColumn="0" w:lastRowFirstColumn="0" w:lastRowLastColumn="0"/>
            </w:pPr>
            <w:r w:rsidRPr="00D07673">
              <w:t>Always on the menu</w:t>
            </w:r>
          </w:p>
        </w:tc>
        <w:tc>
          <w:tcPr>
            <w:tcW w:w="7619" w:type="dxa"/>
            <w:tcBorders>
              <w:top w:val="single" w:sz="4" w:space="0" w:color="auto"/>
            </w:tcBorders>
            <w:tcMar>
              <w:top w:w="57" w:type="dxa"/>
              <w:bottom w:w="57" w:type="dxa"/>
            </w:tcMar>
          </w:tcPr>
          <w:p w14:paraId="4D52E137" w14:textId="77777777" w:rsidR="00494C03" w:rsidRDefault="00494C03" w:rsidP="00494C03">
            <w:pPr>
              <w:spacing w:before="0" w:after="0"/>
              <w:cnfStyle w:val="000000100000" w:firstRow="0" w:lastRow="0" w:firstColumn="0" w:lastColumn="0" w:oddVBand="0" w:evenVBand="0" w:oddHBand="1" w:evenHBand="0" w:firstRowFirstColumn="0" w:firstRowLastColumn="0" w:lastRowFirstColumn="0" w:lastRowLastColumn="0"/>
            </w:pPr>
            <w:r w:rsidRPr="00AE1A8F">
              <w:t>These foods and drinks are the best choices for a healthy school canteen and during school activities. A large variety of these foods and drinks must be available every day and represent the main choices on the canteen menu or when provided at school. They have a wide range of nutrients and are generally low in saturated fat, sugar or sodium salt.</w:t>
            </w:r>
          </w:p>
        </w:tc>
      </w:tr>
      <w:tr w:rsidR="00494C03" w14:paraId="63B1469E" w14:textId="77777777" w:rsidTr="000E4F03">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67" w:type="dxa"/>
            <w:tcBorders>
              <w:top w:val="single" w:sz="4" w:space="0" w:color="auto"/>
            </w:tcBorders>
            <w:shd w:val="clear" w:color="auto" w:fill="E35205"/>
            <w:tcMar>
              <w:top w:w="57" w:type="dxa"/>
              <w:bottom w:w="57" w:type="dxa"/>
            </w:tcMar>
          </w:tcPr>
          <w:p w14:paraId="599760A4" w14:textId="77777777" w:rsidR="00494C03" w:rsidRPr="00303120" w:rsidRDefault="00494C03" w:rsidP="00494C03">
            <w:pPr>
              <w:spacing w:before="0" w:after="0"/>
              <w:rPr>
                <w:color w:val="FFFFFF" w:themeColor="background1"/>
              </w:rPr>
            </w:pPr>
            <w:r w:rsidRPr="00303120">
              <w:rPr>
                <w:color w:val="FFFFFF" w:themeColor="background1"/>
              </w:rPr>
              <w:t>Amber</w:t>
            </w:r>
          </w:p>
        </w:tc>
        <w:tc>
          <w:tcPr>
            <w:tcW w:w="1422" w:type="dxa"/>
            <w:tcMar>
              <w:top w:w="57" w:type="dxa"/>
              <w:bottom w:w="57" w:type="dxa"/>
            </w:tcMar>
          </w:tcPr>
          <w:p w14:paraId="1F634A92" w14:textId="77777777" w:rsidR="00494C03" w:rsidRPr="00D07673" w:rsidRDefault="00494C03" w:rsidP="00494C03">
            <w:pPr>
              <w:spacing w:before="0" w:after="0"/>
              <w:cnfStyle w:val="000000010000" w:firstRow="0" w:lastRow="0" w:firstColumn="0" w:lastColumn="0" w:oddVBand="0" w:evenVBand="0" w:oddHBand="0" w:evenHBand="1" w:firstRowFirstColumn="0" w:firstRowLastColumn="0" w:lastRowFirstColumn="0" w:lastRowLastColumn="0"/>
            </w:pPr>
            <w:r w:rsidRPr="00D07673">
              <w:t>Select carefully</w:t>
            </w:r>
          </w:p>
        </w:tc>
        <w:tc>
          <w:tcPr>
            <w:tcW w:w="7619" w:type="dxa"/>
            <w:tcMar>
              <w:top w:w="57" w:type="dxa"/>
              <w:bottom w:w="57" w:type="dxa"/>
            </w:tcMar>
          </w:tcPr>
          <w:p w14:paraId="3F309875" w14:textId="77777777" w:rsidR="00494C03" w:rsidRDefault="00494C03" w:rsidP="00494C03">
            <w:pPr>
              <w:spacing w:before="0" w:after="120"/>
              <w:cnfStyle w:val="000000010000" w:firstRow="0" w:lastRow="0" w:firstColumn="0" w:lastColumn="0" w:oddVBand="0" w:evenVBand="0" w:oddHBand="0" w:evenHBand="1" w:firstRowFirstColumn="0" w:firstRowLastColumn="0" w:lastRowFirstColumn="0" w:lastRowLastColumn="0"/>
            </w:pPr>
            <w:r w:rsidRPr="00AE1A8F">
              <w:t>These foods and drinks contain some valuable nutrients, moderate amounts of saturated fat, sugar or sodium salt and if eaten regularly or in large amounts, may contribute to excess energy, kilojoules, being consumed. These foods and drinks must be assessed carefully against the nutrient criteria tables in the National healthy school canteen guidelines to ensure that:</w:t>
            </w:r>
          </w:p>
          <w:p w14:paraId="46559D0A" w14:textId="77777777" w:rsidR="00494C03" w:rsidRPr="000A6505" w:rsidRDefault="00494C03" w:rsidP="00494C03">
            <w:pPr>
              <w:pStyle w:val="ListParagraph"/>
              <w:numPr>
                <w:ilvl w:val="6"/>
                <w:numId w:val="42"/>
              </w:numPr>
              <w:spacing w:before="0"/>
              <w:ind w:left="456"/>
              <w:cnfStyle w:val="000000010000" w:firstRow="0" w:lastRow="0" w:firstColumn="0" w:lastColumn="0" w:oddVBand="0" w:evenVBand="0" w:oddHBand="0" w:evenHBand="1" w:firstRowFirstColumn="0" w:firstRowLastColumn="0" w:lastRowFirstColumn="0" w:lastRowLastColumn="0"/>
            </w:pPr>
            <w:r w:rsidRPr="000A6505">
              <w:t>the healthiest choices from this category are selected</w:t>
            </w:r>
          </w:p>
          <w:p w14:paraId="5D766EFC" w14:textId="77777777" w:rsidR="00494C03" w:rsidRPr="000A6505" w:rsidRDefault="00494C03" w:rsidP="00494C03">
            <w:pPr>
              <w:pStyle w:val="ListParagraph"/>
              <w:numPr>
                <w:ilvl w:val="6"/>
                <w:numId w:val="42"/>
              </w:numPr>
              <w:spacing w:before="0"/>
              <w:ind w:left="456"/>
              <w:cnfStyle w:val="000000010000" w:firstRow="0" w:lastRow="0" w:firstColumn="0" w:lastColumn="0" w:oddVBand="0" w:evenVBand="0" w:oddHBand="0" w:evenHBand="1" w:firstRowFirstColumn="0" w:firstRowLastColumn="0" w:lastRowFirstColumn="0" w:lastRowLastColumn="0"/>
            </w:pPr>
            <w:r w:rsidRPr="000A6505">
              <w:t>these foods and drinks must not dominate the menu</w:t>
            </w:r>
          </w:p>
          <w:p w14:paraId="238C9809" w14:textId="77777777" w:rsidR="00494C03" w:rsidRPr="000A6505" w:rsidRDefault="00494C03" w:rsidP="00494C03">
            <w:pPr>
              <w:pStyle w:val="ListParagraph"/>
              <w:numPr>
                <w:ilvl w:val="0"/>
                <w:numId w:val="44"/>
              </w:numPr>
              <w:spacing w:before="0" w:after="0"/>
              <w:ind w:left="456"/>
              <w:cnfStyle w:val="000000010000" w:firstRow="0" w:lastRow="0" w:firstColumn="0" w:lastColumn="0" w:oddVBand="0" w:evenVBand="0" w:oddHBand="0" w:evenHBand="1" w:firstRowFirstColumn="0" w:firstRowLastColumn="0" w:lastRowFirstColumn="0" w:lastRowLastColumn="0"/>
            </w:pPr>
            <w:r w:rsidRPr="000A6505">
              <w:t>the serving size is small.</w:t>
            </w:r>
          </w:p>
        </w:tc>
      </w:tr>
      <w:tr w:rsidR="00494C03" w14:paraId="5BCB4FDB" w14:textId="77777777" w:rsidTr="000E4F0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67" w:type="dxa"/>
            <w:shd w:val="clear" w:color="auto" w:fill="980044"/>
            <w:tcMar>
              <w:top w:w="57" w:type="dxa"/>
              <w:bottom w:w="57" w:type="dxa"/>
            </w:tcMar>
          </w:tcPr>
          <w:p w14:paraId="22EF01D4" w14:textId="77777777" w:rsidR="00494C03" w:rsidRPr="008F210A" w:rsidRDefault="00494C03" w:rsidP="00494C03">
            <w:pPr>
              <w:spacing w:before="0" w:after="0"/>
            </w:pPr>
            <w:r w:rsidRPr="008F210A">
              <w:lastRenderedPageBreak/>
              <w:t>Red</w:t>
            </w:r>
          </w:p>
        </w:tc>
        <w:tc>
          <w:tcPr>
            <w:tcW w:w="1422" w:type="dxa"/>
            <w:tcMar>
              <w:top w:w="57" w:type="dxa"/>
              <w:bottom w:w="57" w:type="dxa"/>
            </w:tcMar>
          </w:tcPr>
          <w:p w14:paraId="4625E11B" w14:textId="77777777" w:rsidR="00494C03" w:rsidRPr="00D07673" w:rsidRDefault="00494C03" w:rsidP="00494C03">
            <w:pPr>
              <w:spacing w:before="0" w:after="0"/>
              <w:cnfStyle w:val="000000100000" w:firstRow="0" w:lastRow="0" w:firstColumn="0" w:lastColumn="0" w:oddVBand="0" w:evenVBand="0" w:oddHBand="1" w:evenHBand="0" w:firstRowFirstColumn="0" w:firstRowLastColumn="0" w:lastRowFirstColumn="0" w:lastRowLastColumn="0"/>
            </w:pPr>
            <w:r w:rsidRPr="00D07673">
              <w:t>Not on the menu</w:t>
            </w:r>
          </w:p>
        </w:tc>
        <w:tc>
          <w:tcPr>
            <w:tcW w:w="7619" w:type="dxa"/>
            <w:tcMar>
              <w:top w:w="57" w:type="dxa"/>
              <w:bottom w:w="57" w:type="dxa"/>
            </w:tcMar>
          </w:tcPr>
          <w:p w14:paraId="3639A067" w14:textId="1DC792D8" w:rsidR="00494C03" w:rsidRDefault="00494C03" w:rsidP="00494C03">
            <w:pPr>
              <w:spacing w:before="0" w:after="0"/>
              <w:cnfStyle w:val="000000100000" w:firstRow="0" w:lastRow="0" w:firstColumn="0" w:lastColumn="0" w:oddVBand="0" w:evenVBand="0" w:oddHBand="1" w:evenHBand="0" w:firstRowFirstColumn="0" w:firstRowLastColumn="0" w:lastRowFirstColumn="0" w:lastRowLastColumn="0"/>
            </w:pPr>
            <w:r w:rsidRPr="00254AC2">
              <w:t>These foods and drinks must not be sold or provided in schools unless part of a whole school event. These foods and drinks may contain excess energy, measured by kilojoules, saturated fat, sodium salt, sugar and are low in nutritional value.</w:t>
            </w:r>
          </w:p>
        </w:tc>
      </w:tr>
    </w:tbl>
    <w:p w14:paraId="743624BC" w14:textId="5351DAE0" w:rsidR="00057458" w:rsidRDefault="00494C03" w:rsidP="00057458">
      <w:pPr>
        <w:spacing w:before="200" w:after="0"/>
        <w:rPr>
          <w:rFonts w:cs="Arial"/>
          <w:bCs/>
          <w:lang w:val="en-US"/>
        </w:rPr>
      </w:pPr>
      <w:r>
        <w:rPr>
          <w:rFonts w:cs="Arial"/>
          <w:bCs/>
          <w:lang w:val="en-US"/>
        </w:rPr>
        <w:t xml:space="preserve">Information to assist schools to use the food and drink categories, including the classification of specific items, is contained in the </w:t>
      </w:r>
      <w:r w:rsidRPr="00AF2178">
        <w:t xml:space="preserve">School </w:t>
      </w:r>
      <w:r>
        <w:t>n</w:t>
      </w:r>
      <w:r w:rsidRPr="00AF2178">
        <w:t>utrition and</w:t>
      </w:r>
      <w:r>
        <w:t xml:space="preserve"> h</w:t>
      </w:r>
      <w:r w:rsidRPr="00AF2178">
        <w:t xml:space="preserve">ealthy </w:t>
      </w:r>
      <w:r>
        <w:t>e</w:t>
      </w:r>
      <w:r w:rsidRPr="00AF2178">
        <w:t xml:space="preserve">ating </w:t>
      </w:r>
      <w:r>
        <w:t>g</w:t>
      </w:r>
      <w:r w:rsidRPr="00AF2178">
        <w:t>uidelines</w:t>
      </w:r>
      <w:r w:rsidRPr="006120AE">
        <w:rPr>
          <w:rFonts w:cs="Arial"/>
          <w:bCs/>
        </w:rPr>
        <w:t>.</w:t>
      </w:r>
    </w:p>
    <w:p w14:paraId="0090EFF3" w14:textId="7CACC4A4" w:rsidR="00057458" w:rsidRPr="00AB65C6" w:rsidRDefault="00057458" w:rsidP="00AB65C6">
      <w:pPr>
        <w:pStyle w:val="Heading2"/>
      </w:pPr>
      <w:bookmarkStart w:id="5" w:name="_Toc144292881"/>
      <w:r w:rsidRPr="00AB65C6">
        <w:t>School nutrition and health</w:t>
      </w:r>
      <w:r w:rsidR="00814D4A">
        <w:t>y</w:t>
      </w:r>
      <w:r w:rsidRPr="00AB65C6">
        <w:t xml:space="preserve"> eating exemptions</w:t>
      </w:r>
      <w:bookmarkEnd w:id="5"/>
    </w:p>
    <w:p w14:paraId="19C0D2BE" w14:textId="3A005214" w:rsidR="007035FF" w:rsidRDefault="004D19C1" w:rsidP="00303120">
      <w:pPr>
        <w:tabs>
          <w:tab w:val="left" w:pos="6150"/>
        </w:tabs>
        <w:spacing w:after="120"/>
        <w:rPr>
          <w:lang w:val="en-US"/>
        </w:rPr>
      </w:pPr>
      <w:r>
        <w:rPr>
          <w:rFonts w:cs="Arial"/>
          <w:bCs/>
          <w:lang w:val="en-US"/>
        </w:rPr>
        <w:t>The following exemptions apply in this policy.</w:t>
      </w:r>
    </w:p>
    <w:tbl>
      <w:tblPr>
        <w:tblStyle w:val="NTGtable"/>
        <w:tblW w:w="0" w:type="auto"/>
        <w:tblLook w:val="04A0" w:firstRow="1" w:lastRow="0" w:firstColumn="1" w:lastColumn="0" w:noHBand="0" w:noVBand="1"/>
      </w:tblPr>
      <w:tblGrid>
        <w:gridCol w:w="2547"/>
        <w:gridCol w:w="7761"/>
      </w:tblGrid>
      <w:tr w:rsidR="002A552A" w14:paraId="4DFA5657" w14:textId="77777777" w:rsidTr="00A96709">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2547" w:type="dxa"/>
            <w:tcBorders>
              <w:top w:val="single" w:sz="4" w:space="0" w:color="1F1F5F" w:themeColor="text1"/>
              <w:bottom w:val="single" w:sz="4" w:space="0" w:color="auto"/>
            </w:tcBorders>
            <w:shd w:val="clear" w:color="auto" w:fill="002060"/>
            <w:tcMar>
              <w:top w:w="57" w:type="dxa"/>
              <w:bottom w:w="57" w:type="dxa"/>
            </w:tcMar>
            <w:vAlign w:val="center"/>
          </w:tcPr>
          <w:p w14:paraId="5BC79954" w14:textId="0E63F55A" w:rsidR="002A552A" w:rsidRPr="002A552A" w:rsidRDefault="002A552A" w:rsidP="004D19C1">
            <w:pPr>
              <w:spacing w:before="0" w:after="0"/>
            </w:pPr>
            <w:r w:rsidRPr="002A552A">
              <w:t>Exemption</w:t>
            </w:r>
          </w:p>
        </w:tc>
        <w:tc>
          <w:tcPr>
            <w:tcW w:w="7761" w:type="dxa"/>
            <w:tcBorders>
              <w:top w:val="single" w:sz="4" w:space="0" w:color="1F1F5F" w:themeColor="text1"/>
              <w:bottom w:val="single" w:sz="4" w:space="0" w:color="auto"/>
            </w:tcBorders>
            <w:shd w:val="clear" w:color="auto" w:fill="002060"/>
            <w:tcMar>
              <w:top w:w="57" w:type="dxa"/>
              <w:bottom w:w="57" w:type="dxa"/>
            </w:tcMar>
            <w:vAlign w:val="center"/>
          </w:tcPr>
          <w:p w14:paraId="13520E46" w14:textId="4654F093" w:rsidR="002A552A" w:rsidRPr="003D191C" w:rsidRDefault="002A552A" w:rsidP="004D19C1">
            <w:pPr>
              <w:spacing w:before="0" w:after="0"/>
              <w:cnfStyle w:val="100000000000" w:firstRow="1" w:lastRow="0" w:firstColumn="0" w:lastColumn="0" w:oddVBand="0" w:evenVBand="0" w:oddHBand="0" w:evenHBand="0" w:firstRowFirstColumn="0" w:firstRowLastColumn="0" w:lastRowFirstColumn="0" w:lastRowLastColumn="0"/>
            </w:pPr>
            <w:r w:rsidRPr="002A552A">
              <w:t>Description</w:t>
            </w:r>
          </w:p>
        </w:tc>
      </w:tr>
      <w:tr w:rsidR="007035FF" w14:paraId="7A5AE7BE" w14:textId="77777777" w:rsidTr="00A96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tcMar>
              <w:top w:w="57" w:type="dxa"/>
              <w:bottom w:w="57" w:type="dxa"/>
            </w:tcMar>
          </w:tcPr>
          <w:p w14:paraId="72FAD74E" w14:textId="77777777" w:rsidR="007035FF" w:rsidRDefault="007035FF" w:rsidP="004D19C1">
            <w:pPr>
              <w:spacing w:before="0" w:after="0"/>
              <w:rPr>
                <w:lang w:val="en-US"/>
              </w:rPr>
            </w:pPr>
            <w:r w:rsidRPr="003D191C">
              <w:t>Food and drinks supplied from home</w:t>
            </w:r>
          </w:p>
        </w:tc>
        <w:tc>
          <w:tcPr>
            <w:tcW w:w="7761" w:type="dxa"/>
            <w:tcBorders>
              <w:top w:val="single" w:sz="4" w:space="0" w:color="auto"/>
            </w:tcBorders>
            <w:tcMar>
              <w:top w:w="57" w:type="dxa"/>
              <w:bottom w:w="57" w:type="dxa"/>
            </w:tcMar>
          </w:tcPr>
          <w:p w14:paraId="1C22B3DD" w14:textId="3D494633" w:rsidR="007035FF" w:rsidRDefault="007035FF" w:rsidP="004D19C1">
            <w:pPr>
              <w:spacing w:before="0" w:after="0"/>
              <w:cnfStyle w:val="000000100000" w:firstRow="0" w:lastRow="0" w:firstColumn="0" w:lastColumn="0" w:oddVBand="0" w:evenVBand="0" w:oddHBand="1" w:evenHBand="0" w:firstRowFirstColumn="0" w:firstRowLastColumn="0" w:lastRowFirstColumn="0" w:lastRowLastColumn="0"/>
              <w:rPr>
                <w:lang w:val="en-US"/>
              </w:rPr>
            </w:pPr>
            <w:r w:rsidRPr="003D191C">
              <w:t>This can include birthday cakes. Schools can actively encourage the provision of healthy food</w:t>
            </w:r>
            <w:r>
              <w:t xml:space="preserve"> or </w:t>
            </w:r>
            <w:r w:rsidRPr="003D191C">
              <w:t>drink by parents, such as whole grain muffins.</w:t>
            </w:r>
          </w:p>
        </w:tc>
      </w:tr>
      <w:tr w:rsidR="007035FF" w14:paraId="13A937B5" w14:textId="77777777" w:rsidTr="00A967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0C7968A6" w14:textId="77777777" w:rsidR="007035FF" w:rsidRDefault="007035FF" w:rsidP="004D19C1">
            <w:pPr>
              <w:spacing w:before="0" w:after="0"/>
              <w:rPr>
                <w:lang w:val="en-US"/>
              </w:rPr>
            </w:pPr>
            <w:r w:rsidRPr="003D191C">
              <w:t>Whole school events</w:t>
            </w:r>
          </w:p>
        </w:tc>
        <w:tc>
          <w:tcPr>
            <w:tcW w:w="7761" w:type="dxa"/>
            <w:tcMar>
              <w:top w:w="57" w:type="dxa"/>
              <w:bottom w:w="57" w:type="dxa"/>
            </w:tcMar>
          </w:tcPr>
          <w:p w14:paraId="28B06F43" w14:textId="512711CE" w:rsidR="007035FF" w:rsidRDefault="007035FF" w:rsidP="009D4D8A">
            <w:pPr>
              <w:spacing w:before="0" w:after="0"/>
              <w:cnfStyle w:val="000000010000" w:firstRow="0" w:lastRow="0" w:firstColumn="0" w:lastColumn="0" w:oddVBand="0" w:evenVBand="0" w:oddHBand="0" w:evenHBand="1" w:firstRowFirstColumn="0" w:firstRowLastColumn="0" w:lastRowFirstColumn="0" w:lastRowLastColumn="0"/>
              <w:rPr>
                <w:lang w:val="en-US"/>
              </w:rPr>
            </w:pPr>
            <w:r w:rsidRPr="009D4D8A">
              <w:t>This can include a school fete, carnival or disco</w:t>
            </w:r>
            <w:r w:rsidR="004D19C1" w:rsidRPr="009D4D8A">
              <w:t>,</w:t>
            </w:r>
            <w:r w:rsidRPr="009D4D8A">
              <w:t xml:space="preserve"> however does not include fundraising activities. Schools should ensure that students are provided with a </w:t>
            </w:r>
            <w:r w:rsidRPr="00D16065">
              <w:t>range of</w:t>
            </w:r>
            <w:r w:rsidR="009D4D8A" w:rsidRPr="00D16065">
              <w:t xml:space="preserve"> </w:t>
            </w:r>
            <w:r w:rsidR="00794F4B" w:rsidRPr="00D16065">
              <w:t xml:space="preserve">green </w:t>
            </w:r>
            <w:r w:rsidR="00092B5F" w:rsidRPr="00D16065">
              <w:t>-</w:t>
            </w:r>
            <w:r w:rsidRPr="00D16065">
              <w:t xml:space="preserve"> </w:t>
            </w:r>
            <w:r w:rsidR="009D4D8A" w:rsidRPr="00D16065">
              <w:t xml:space="preserve">always </w:t>
            </w:r>
            <w:r w:rsidRPr="00D16065">
              <w:t xml:space="preserve">on the menu foods in addition to any </w:t>
            </w:r>
            <w:r w:rsidR="00794F4B" w:rsidRPr="00D16065">
              <w:t xml:space="preserve">red </w:t>
            </w:r>
            <w:r w:rsidR="00092B5F" w:rsidRPr="00D16065">
              <w:t>-</w:t>
            </w:r>
            <w:r w:rsidRPr="00D16065">
              <w:t xml:space="preserve"> </w:t>
            </w:r>
            <w:r w:rsidR="009D4D8A" w:rsidRPr="00D16065">
              <w:t xml:space="preserve">not </w:t>
            </w:r>
            <w:r w:rsidRPr="00D16065">
              <w:t>on the menu food choices.</w:t>
            </w:r>
          </w:p>
        </w:tc>
      </w:tr>
      <w:tr w:rsidR="007035FF" w14:paraId="3DD3C0D6" w14:textId="77777777" w:rsidTr="00A96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5DCAD07A" w14:textId="77777777" w:rsidR="007035FF" w:rsidRDefault="007035FF" w:rsidP="004D19C1">
            <w:pPr>
              <w:spacing w:before="0" w:after="0"/>
              <w:rPr>
                <w:lang w:val="en-US"/>
              </w:rPr>
            </w:pPr>
            <w:r w:rsidRPr="003D191C">
              <w:t>Preschool and early childhood settings</w:t>
            </w:r>
          </w:p>
        </w:tc>
        <w:tc>
          <w:tcPr>
            <w:tcW w:w="7761" w:type="dxa"/>
            <w:tcMar>
              <w:top w:w="57" w:type="dxa"/>
              <w:bottom w:w="57" w:type="dxa"/>
            </w:tcMar>
          </w:tcPr>
          <w:p w14:paraId="48ACBB3A" w14:textId="38C51BF6" w:rsidR="007035FF" w:rsidRPr="00D16065" w:rsidRDefault="007035FF" w:rsidP="009D4D8A">
            <w:pPr>
              <w:spacing w:before="0" w:after="200"/>
              <w:cnfStyle w:val="000000100000" w:firstRow="0" w:lastRow="0" w:firstColumn="0" w:lastColumn="0" w:oddVBand="0" w:evenVBand="0" w:oddHBand="1" w:evenHBand="0" w:firstRowFirstColumn="0" w:firstRowLastColumn="0" w:lastRowFirstColumn="0" w:lastRowLastColumn="0"/>
            </w:pPr>
            <w:r w:rsidRPr="009D4D8A">
              <w:t xml:space="preserve">Full fat dairy products are recommended for children aged birth to two years, </w:t>
            </w:r>
            <w:r w:rsidRPr="00D16065">
              <w:t xml:space="preserve">these products are classified as </w:t>
            </w:r>
            <w:r w:rsidR="00794F4B" w:rsidRPr="00D16065">
              <w:t xml:space="preserve">green </w:t>
            </w:r>
            <w:r w:rsidRPr="00D16065">
              <w:t xml:space="preserve">– </w:t>
            </w:r>
            <w:r w:rsidR="009D4D8A" w:rsidRPr="00D16065">
              <w:t xml:space="preserve">always </w:t>
            </w:r>
            <w:r w:rsidRPr="00D16065">
              <w:t>on the menu</w:t>
            </w:r>
            <w:r w:rsidR="00654478" w:rsidRPr="00D16065">
              <w:t>,</w:t>
            </w:r>
            <w:r w:rsidRPr="00D16065">
              <w:t xml:space="preserve"> for this age group.</w:t>
            </w:r>
          </w:p>
          <w:p w14:paraId="259770EB" w14:textId="371E9DAC" w:rsidR="007035FF" w:rsidRDefault="007035FF" w:rsidP="004D19C1">
            <w:pPr>
              <w:spacing w:before="0" w:after="0"/>
              <w:cnfStyle w:val="000000100000" w:firstRow="0" w:lastRow="0" w:firstColumn="0" w:lastColumn="0" w:oddVBand="0" w:evenVBand="0" w:oddHBand="1" w:evenHBand="0" w:firstRowFirstColumn="0" w:firstRowLastColumn="0" w:lastRowFirstColumn="0" w:lastRowLastColumn="0"/>
              <w:rPr>
                <w:lang w:val="en-US"/>
              </w:rPr>
            </w:pPr>
            <w:r w:rsidRPr="00D16065">
              <w:t>Reduced fat dairy products are suitable for children aged over two years</w:t>
            </w:r>
            <w:r w:rsidR="009D4D8A" w:rsidRPr="00D16065">
              <w:t>,</w:t>
            </w:r>
            <w:r w:rsidRPr="00D16065">
              <w:t xml:space="preserve"> full fat dairy products are classified as </w:t>
            </w:r>
            <w:r w:rsidR="00794F4B" w:rsidRPr="00D16065">
              <w:t xml:space="preserve">amber </w:t>
            </w:r>
            <w:r w:rsidR="00092B5F" w:rsidRPr="00D16065">
              <w:t>-</w:t>
            </w:r>
            <w:r w:rsidRPr="00D16065">
              <w:t xml:space="preserve"> </w:t>
            </w:r>
            <w:r w:rsidR="009D4D8A" w:rsidRPr="00D16065">
              <w:t xml:space="preserve">select </w:t>
            </w:r>
            <w:r w:rsidRPr="00D16065">
              <w:t>carefully</w:t>
            </w:r>
            <w:r w:rsidR="00654478" w:rsidRPr="00D16065">
              <w:t>,</w:t>
            </w:r>
            <w:r w:rsidRPr="00D16065">
              <w:t xml:space="preserve"> for children over two years.</w:t>
            </w:r>
          </w:p>
        </w:tc>
      </w:tr>
      <w:tr w:rsidR="007035FF" w14:paraId="3146A0A4" w14:textId="77777777" w:rsidTr="00A967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7F99A6EF" w14:textId="08A47CE7" w:rsidR="007035FF" w:rsidRDefault="007035FF" w:rsidP="004D19C1">
            <w:pPr>
              <w:spacing w:before="0" w:after="0"/>
              <w:rPr>
                <w:lang w:val="en-US"/>
              </w:rPr>
            </w:pPr>
            <w:r w:rsidRPr="001650FD">
              <w:t xml:space="preserve">Middle </w:t>
            </w:r>
            <w:r w:rsidR="00654478" w:rsidRPr="001650FD">
              <w:t>schools</w:t>
            </w:r>
          </w:p>
        </w:tc>
        <w:tc>
          <w:tcPr>
            <w:tcW w:w="7761" w:type="dxa"/>
            <w:tcMar>
              <w:top w:w="57" w:type="dxa"/>
              <w:bottom w:w="57" w:type="dxa"/>
            </w:tcMar>
          </w:tcPr>
          <w:p w14:paraId="44A60CD2" w14:textId="3F22A78A" w:rsidR="007035FF" w:rsidRDefault="007035FF" w:rsidP="004D19C1">
            <w:pPr>
              <w:spacing w:before="0" w:after="0"/>
              <w:cnfStyle w:val="000000010000" w:firstRow="0" w:lastRow="0" w:firstColumn="0" w:lastColumn="0" w:oddVBand="0" w:evenVBand="0" w:oddHBand="0" w:evenHBand="1" w:firstRowFirstColumn="0" w:firstRowLastColumn="0" w:lastRowFirstColumn="0" w:lastRowLastColumn="0"/>
              <w:rPr>
                <w:lang w:val="en-US"/>
              </w:rPr>
            </w:pPr>
            <w:r w:rsidRPr="001650FD">
              <w:t xml:space="preserve">Food </w:t>
            </w:r>
            <w:r>
              <w:t>t</w:t>
            </w:r>
            <w:r w:rsidRPr="001650FD">
              <w:t xml:space="preserve">echnologies </w:t>
            </w:r>
            <w:r w:rsidR="00D16065" w:rsidRPr="001650FD">
              <w:t>classes</w:t>
            </w:r>
            <w:r w:rsidR="00D16065">
              <w:t>. *</w:t>
            </w:r>
          </w:p>
        </w:tc>
      </w:tr>
      <w:tr w:rsidR="007035FF" w14:paraId="0EA33018" w14:textId="77777777" w:rsidTr="00A96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7D8D90EF" w14:textId="3F3A2F65" w:rsidR="007035FF" w:rsidRDefault="007035FF" w:rsidP="004D19C1">
            <w:pPr>
              <w:spacing w:before="0" w:after="0"/>
              <w:rPr>
                <w:lang w:val="en-US"/>
              </w:rPr>
            </w:pPr>
            <w:r w:rsidRPr="001650FD">
              <w:t xml:space="preserve">Senior </w:t>
            </w:r>
            <w:r w:rsidR="00654478" w:rsidRPr="001650FD">
              <w:t>school</w:t>
            </w:r>
          </w:p>
        </w:tc>
        <w:tc>
          <w:tcPr>
            <w:tcW w:w="7761" w:type="dxa"/>
            <w:tcMar>
              <w:top w:w="57" w:type="dxa"/>
              <w:bottom w:w="57" w:type="dxa"/>
            </w:tcMar>
          </w:tcPr>
          <w:p w14:paraId="3AFE2D77" w14:textId="1AB643DD" w:rsidR="007035FF" w:rsidRDefault="007035FF" w:rsidP="009D4D8A">
            <w:pPr>
              <w:spacing w:before="0" w:after="200"/>
              <w:cnfStyle w:val="000000100000" w:firstRow="0" w:lastRow="0" w:firstColumn="0" w:lastColumn="0" w:oddVBand="0" w:evenVBand="0" w:oddHBand="1" w:evenHBand="0" w:firstRowFirstColumn="0" w:firstRowLastColumn="0" w:lastRowFirstColumn="0" w:lastRowLastColumn="0"/>
            </w:pPr>
            <w:r w:rsidRPr="001650FD">
              <w:t xml:space="preserve">Food and </w:t>
            </w:r>
            <w:r>
              <w:t>h</w:t>
            </w:r>
            <w:r w:rsidRPr="001650FD">
              <w:t xml:space="preserve">ospitality </w:t>
            </w:r>
            <w:r w:rsidR="00D16065" w:rsidRPr="001650FD">
              <w:t>classes</w:t>
            </w:r>
            <w:r w:rsidR="00D16065">
              <w:t>. *</w:t>
            </w:r>
          </w:p>
          <w:p w14:paraId="442305D2" w14:textId="4F5ABC02" w:rsidR="007035FF" w:rsidRDefault="007035FF" w:rsidP="004D19C1">
            <w:pPr>
              <w:spacing w:before="0" w:after="0"/>
              <w:cnfStyle w:val="000000100000" w:firstRow="0" w:lastRow="0" w:firstColumn="0" w:lastColumn="0" w:oddVBand="0" w:evenVBand="0" w:oddHBand="1" w:evenHBand="0" w:firstRowFirstColumn="0" w:firstRowLastColumn="0" w:lastRowFirstColumn="0" w:lastRowLastColumn="0"/>
              <w:rPr>
                <w:lang w:val="en-US"/>
              </w:rPr>
            </w:pPr>
            <w:r w:rsidRPr="001650FD">
              <w:t xml:space="preserve">Senior </w:t>
            </w:r>
            <w:r w:rsidR="00654478" w:rsidRPr="001650FD">
              <w:t xml:space="preserve">school </w:t>
            </w:r>
            <w:r w:rsidRPr="001650FD">
              <w:t>only campuses</w:t>
            </w:r>
            <w:r>
              <w:t xml:space="preserve">, </w:t>
            </w:r>
            <w:r w:rsidRPr="001650FD">
              <w:t>years 10</w:t>
            </w:r>
            <w:r w:rsidR="00654478">
              <w:t xml:space="preserve"> to </w:t>
            </w:r>
            <w:r w:rsidRPr="001650FD">
              <w:t xml:space="preserve">12, in consultation with </w:t>
            </w:r>
            <w:r w:rsidR="00654478" w:rsidRPr="001650FD">
              <w:t xml:space="preserve">their </w:t>
            </w:r>
            <w:r w:rsidR="00654478" w:rsidRPr="00814D4A">
              <w:t>school representative bo</w:t>
            </w:r>
            <w:r w:rsidR="00AC19FD">
              <w:t>dies</w:t>
            </w:r>
            <w:r w:rsidR="00654478" w:rsidRPr="001650FD">
              <w:t>, students, can</w:t>
            </w:r>
            <w:r w:rsidRPr="001650FD">
              <w:t>teens and staff determine whether to comply with the policy in their respective school setting.</w:t>
            </w:r>
            <w:r w:rsidR="00D16065">
              <w:t xml:space="preserve"> </w:t>
            </w:r>
            <w:r w:rsidRPr="001650FD">
              <w:t>*</w:t>
            </w:r>
          </w:p>
        </w:tc>
      </w:tr>
      <w:tr w:rsidR="007035FF" w14:paraId="4D93E653" w14:textId="77777777" w:rsidTr="00A967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2578C44A" w14:textId="77777777" w:rsidR="007035FF" w:rsidRDefault="007035FF" w:rsidP="004D19C1">
            <w:pPr>
              <w:spacing w:before="0" w:after="0"/>
              <w:rPr>
                <w:lang w:val="en-US"/>
              </w:rPr>
            </w:pPr>
            <w:r w:rsidRPr="00017452">
              <w:rPr>
                <w:rFonts w:cs="Arial"/>
                <w:lang w:val="en-US"/>
              </w:rPr>
              <w:t>Vocational Education and Training (VET</w:t>
            </w:r>
            <w:r>
              <w:rPr>
                <w:rFonts w:cs="Arial"/>
                <w:lang w:val="en-US"/>
              </w:rPr>
              <w:t>)</w:t>
            </w:r>
          </w:p>
        </w:tc>
        <w:tc>
          <w:tcPr>
            <w:tcW w:w="7761" w:type="dxa"/>
            <w:tcMar>
              <w:top w:w="57" w:type="dxa"/>
              <w:bottom w:w="57" w:type="dxa"/>
            </w:tcMar>
          </w:tcPr>
          <w:p w14:paraId="250F0DDF" w14:textId="03C7EE0A" w:rsidR="007035FF" w:rsidRDefault="007035FF" w:rsidP="004D19C1">
            <w:pPr>
              <w:spacing w:before="0" w:after="0"/>
              <w:cnfStyle w:val="000000010000" w:firstRow="0" w:lastRow="0" w:firstColumn="0" w:lastColumn="0" w:oddVBand="0" w:evenVBand="0" w:oddHBand="0" w:evenHBand="1" w:firstRowFirstColumn="0" w:firstRowLastColumn="0" w:lastRowFirstColumn="0" w:lastRowLastColumn="0"/>
              <w:rPr>
                <w:lang w:val="en-US"/>
              </w:rPr>
            </w:pPr>
            <w:r w:rsidRPr="001650FD">
              <w:t xml:space="preserve">Hospitality </w:t>
            </w:r>
            <w:r w:rsidR="00D16065" w:rsidRPr="001650FD">
              <w:t>courses</w:t>
            </w:r>
            <w:r w:rsidR="00D16065">
              <w:t>.</w:t>
            </w:r>
            <w:r w:rsidR="00D16065" w:rsidRPr="001650FD">
              <w:t xml:space="preserve"> *</w:t>
            </w:r>
          </w:p>
        </w:tc>
      </w:tr>
      <w:tr w:rsidR="007035FF" w14:paraId="5F772130" w14:textId="77777777" w:rsidTr="00A96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tcPr>
          <w:p w14:paraId="3DF7CE7A" w14:textId="77777777" w:rsidR="007035FF" w:rsidRDefault="007035FF" w:rsidP="004D19C1">
            <w:pPr>
              <w:spacing w:before="0" w:after="0"/>
              <w:rPr>
                <w:lang w:val="en-US"/>
              </w:rPr>
            </w:pPr>
            <w:r w:rsidRPr="00A349E7">
              <w:t>Staff vending machines</w:t>
            </w:r>
            <w:r>
              <w:t xml:space="preserve"> and </w:t>
            </w:r>
            <w:r w:rsidRPr="00A349E7">
              <w:t>fridges</w:t>
            </w:r>
          </w:p>
        </w:tc>
        <w:tc>
          <w:tcPr>
            <w:tcW w:w="7761" w:type="dxa"/>
            <w:tcMar>
              <w:top w:w="57" w:type="dxa"/>
              <w:bottom w:w="57" w:type="dxa"/>
            </w:tcMar>
          </w:tcPr>
          <w:p w14:paraId="66B8ED5E" w14:textId="19CBB342" w:rsidR="007035FF" w:rsidRDefault="007035FF" w:rsidP="004D19C1">
            <w:pPr>
              <w:spacing w:before="0" w:after="0"/>
              <w:cnfStyle w:val="000000100000" w:firstRow="0" w:lastRow="0" w:firstColumn="0" w:lastColumn="0" w:oddVBand="0" w:evenVBand="0" w:oddHBand="1" w:evenHBand="0" w:firstRowFirstColumn="0" w:firstRowLastColumn="0" w:lastRowFirstColumn="0" w:lastRowLastColumn="0"/>
              <w:rPr>
                <w:lang w:val="en-US"/>
              </w:rPr>
            </w:pPr>
            <w:r w:rsidRPr="00E63FC9">
              <w:t xml:space="preserve">School staff are encouraged to support the policy by not </w:t>
            </w:r>
            <w:r w:rsidRPr="00D16065">
              <w:t xml:space="preserve">consuming </w:t>
            </w:r>
            <w:r w:rsidR="00794F4B" w:rsidRPr="00D16065">
              <w:t xml:space="preserve">red </w:t>
            </w:r>
            <w:r w:rsidR="00092B5F" w:rsidRPr="00D16065">
              <w:t>-</w:t>
            </w:r>
            <w:r w:rsidRPr="00D16065">
              <w:t xml:space="preserve"> </w:t>
            </w:r>
            <w:r w:rsidR="00E63FC9" w:rsidRPr="00D16065">
              <w:t xml:space="preserve">not </w:t>
            </w:r>
            <w:r w:rsidRPr="00D16065">
              <w:t xml:space="preserve">on the menu foods </w:t>
            </w:r>
            <w:r w:rsidRPr="00A349E7">
              <w:t>and drinks in front of students.</w:t>
            </w:r>
          </w:p>
        </w:tc>
      </w:tr>
    </w:tbl>
    <w:p w14:paraId="784119CE" w14:textId="7D609EFB" w:rsidR="007035FF" w:rsidRPr="00D16065" w:rsidRDefault="007035FF" w:rsidP="009D4D8A">
      <w:pPr>
        <w:spacing w:before="200" w:after="0"/>
        <w:rPr>
          <w:rFonts w:cs="Arial"/>
          <w:bCs/>
          <w:szCs w:val="20"/>
          <w:lang w:val="en-US"/>
        </w:rPr>
      </w:pPr>
      <w:r w:rsidRPr="00D74939">
        <w:rPr>
          <w:rFonts w:cs="Arial"/>
          <w:bCs/>
          <w:szCs w:val="20"/>
          <w:lang w:val="en-US"/>
        </w:rPr>
        <w:t xml:space="preserve">*Although these activities are exempt, schools are encouraged to provide </w:t>
      </w:r>
      <w:r w:rsidRPr="00D16065">
        <w:rPr>
          <w:rFonts w:cs="Arial"/>
          <w:bCs/>
          <w:szCs w:val="20"/>
          <w:lang w:val="en-US"/>
        </w:rPr>
        <w:t xml:space="preserve">and use </w:t>
      </w:r>
      <w:r w:rsidR="00794F4B" w:rsidRPr="00D16065">
        <w:rPr>
          <w:rFonts w:cs="Arial"/>
          <w:bCs/>
          <w:lang w:val="en-US"/>
        </w:rPr>
        <w:t xml:space="preserve">green </w:t>
      </w:r>
      <w:r w:rsidRPr="00D16065">
        <w:rPr>
          <w:rFonts w:cs="Arial"/>
          <w:bCs/>
          <w:lang w:val="en-US"/>
        </w:rPr>
        <w:t xml:space="preserve">– </w:t>
      </w:r>
      <w:r w:rsidR="00D00FB4" w:rsidRPr="00D16065">
        <w:rPr>
          <w:rFonts w:cs="Arial"/>
          <w:bCs/>
          <w:lang w:val="en-US"/>
        </w:rPr>
        <w:t xml:space="preserve">always </w:t>
      </w:r>
      <w:r w:rsidRPr="00D16065">
        <w:rPr>
          <w:rFonts w:cs="Arial"/>
          <w:bCs/>
          <w:lang w:val="en-US"/>
        </w:rPr>
        <w:t>on the menu</w:t>
      </w:r>
      <w:r w:rsidRPr="00D16065" w:rsidDel="005404BE">
        <w:rPr>
          <w:rFonts w:cs="Arial"/>
          <w:bCs/>
          <w:szCs w:val="20"/>
          <w:lang w:val="en-US"/>
        </w:rPr>
        <w:t xml:space="preserve"> </w:t>
      </w:r>
      <w:r w:rsidRPr="00D16065">
        <w:rPr>
          <w:rFonts w:cs="Arial"/>
          <w:bCs/>
          <w:szCs w:val="20"/>
          <w:lang w:val="en-US"/>
        </w:rPr>
        <w:t>foods and drinks wherever possible.</w:t>
      </w:r>
    </w:p>
    <w:p w14:paraId="183E2268" w14:textId="6134F2B2" w:rsidR="00A04A87" w:rsidRDefault="007035FF" w:rsidP="0036577F">
      <w:pPr>
        <w:spacing w:before="120"/>
        <w:rPr>
          <w:rFonts w:cs="Arial"/>
          <w:bCs/>
          <w:szCs w:val="20"/>
          <w:lang w:val="en-US"/>
        </w:rPr>
      </w:pPr>
      <w:r w:rsidRPr="00D74939">
        <w:rPr>
          <w:rFonts w:cs="Arial"/>
          <w:bCs/>
          <w:szCs w:val="20"/>
          <w:lang w:val="en-US"/>
        </w:rPr>
        <w:t>*An outside of school hours care service or afterschool program run by an external provider</w:t>
      </w:r>
      <w:r>
        <w:rPr>
          <w:rFonts w:cs="Arial"/>
          <w:bCs/>
          <w:szCs w:val="20"/>
          <w:lang w:val="en-US"/>
        </w:rPr>
        <w:t xml:space="preserve">, </w:t>
      </w:r>
      <w:r w:rsidRPr="00D74939">
        <w:rPr>
          <w:rFonts w:cs="Arial"/>
          <w:bCs/>
          <w:szCs w:val="20"/>
          <w:lang w:val="en-US"/>
        </w:rPr>
        <w:t xml:space="preserve">which includes school </w:t>
      </w:r>
      <w:r w:rsidR="00F217CF">
        <w:rPr>
          <w:rFonts w:cs="Arial"/>
          <w:bCs/>
          <w:szCs w:val="20"/>
          <w:lang w:val="en-US"/>
        </w:rPr>
        <w:t>representative bodies</w:t>
      </w:r>
      <w:r w:rsidRPr="00D74939">
        <w:rPr>
          <w:rFonts w:cs="Arial"/>
          <w:bCs/>
          <w:szCs w:val="20"/>
          <w:lang w:val="en-US"/>
        </w:rPr>
        <w:t xml:space="preserve"> registered as provider</w:t>
      </w:r>
      <w:r>
        <w:rPr>
          <w:rFonts w:cs="Arial"/>
          <w:bCs/>
          <w:szCs w:val="20"/>
          <w:lang w:val="en-US"/>
        </w:rPr>
        <w:t xml:space="preserve">s </w:t>
      </w:r>
      <w:r w:rsidRPr="00D74939">
        <w:rPr>
          <w:rFonts w:cs="Arial"/>
          <w:bCs/>
          <w:szCs w:val="20"/>
          <w:lang w:val="en-US"/>
        </w:rPr>
        <w:t>is required to have policie</w:t>
      </w:r>
      <w:r>
        <w:rPr>
          <w:rFonts w:cs="Arial"/>
          <w:bCs/>
          <w:szCs w:val="20"/>
          <w:lang w:val="en-US"/>
        </w:rPr>
        <w:t xml:space="preserve">s or </w:t>
      </w:r>
      <w:r w:rsidRPr="00D74939">
        <w:rPr>
          <w:rFonts w:cs="Arial"/>
          <w:bCs/>
          <w:szCs w:val="20"/>
          <w:lang w:val="en-US"/>
        </w:rPr>
        <w:t>guidelines in place regarding nutri</w:t>
      </w:r>
      <w:r>
        <w:rPr>
          <w:rFonts w:cs="Arial"/>
          <w:bCs/>
          <w:szCs w:val="20"/>
          <w:lang w:val="en-US"/>
        </w:rPr>
        <w:t xml:space="preserve">tion for students in their care in accordance with the </w:t>
      </w:r>
      <w:r w:rsidRPr="00AF2178">
        <w:rPr>
          <w:iCs/>
        </w:rPr>
        <w:t>Education and Care Services National Regulations 201</w:t>
      </w:r>
      <w:r w:rsidR="00654478">
        <w:rPr>
          <w:iCs/>
        </w:rPr>
        <w:t>1</w:t>
      </w:r>
      <w:r w:rsidRPr="00AF2178">
        <w:rPr>
          <w:i/>
          <w:iCs/>
        </w:rPr>
        <w:t xml:space="preserve"> </w:t>
      </w:r>
      <w:r w:rsidRPr="00AF2178">
        <w:t>(NSW)</w:t>
      </w:r>
      <w:r>
        <w:rPr>
          <w:rFonts w:cs="Arial"/>
          <w:bCs/>
          <w:szCs w:val="20"/>
          <w:lang w:val="en-US"/>
        </w:rPr>
        <w:t>.</w:t>
      </w:r>
    </w:p>
    <w:p w14:paraId="2EDA7016" w14:textId="0D0AD5FC" w:rsidR="00D16065" w:rsidRDefault="00D16065">
      <w:pPr>
        <w:rPr>
          <w:rFonts w:cs="Arial"/>
          <w:bCs/>
          <w:szCs w:val="20"/>
          <w:lang w:val="en-US"/>
        </w:rPr>
      </w:pPr>
      <w:r>
        <w:rPr>
          <w:rFonts w:cs="Arial"/>
          <w:bCs/>
          <w:szCs w:val="20"/>
          <w:lang w:val="en-US"/>
        </w:rPr>
        <w:br w:type="page"/>
      </w:r>
    </w:p>
    <w:p w14:paraId="2056420A" w14:textId="77777777" w:rsidR="007035FF" w:rsidRPr="00017452" w:rsidRDefault="007035FF" w:rsidP="007035FF">
      <w:pPr>
        <w:pStyle w:val="Heading1"/>
        <w:rPr>
          <w:lang w:val="en-US"/>
        </w:rPr>
      </w:pPr>
      <w:bookmarkStart w:id="6" w:name="_Toc144292882"/>
      <w:r w:rsidRPr="00195D9D">
        <w:rPr>
          <w:lang w:val="en-US"/>
        </w:rPr>
        <w:lastRenderedPageBreak/>
        <w:t>D</w:t>
      </w:r>
      <w:r>
        <w:rPr>
          <w:lang w:val="en-US"/>
        </w:rPr>
        <w:t>efinitions</w:t>
      </w:r>
      <w:bookmarkEnd w:id="6"/>
    </w:p>
    <w:tbl>
      <w:tblPr>
        <w:tblStyle w:val="NTGtable1"/>
        <w:tblW w:w="0" w:type="auto"/>
        <w:tblInd w:w="-5" w:type="dxa"/>
        <w:tblLook w:val="04A0" w:firstRow="1" w:lastRow="0" w:firstColumn="1" w:lastColumn="0" w:noHBand="0" w:noVBand="1"/>
      </w:tblPr>
      <w:tblGrid>
        <w:gridCol w:w="2268"/>
        <w:gridCol w:w="8045"/>
      </w:tblGrid>
      <w:tr w:rsidR="007035FF" w:rsidRPr="00832EDE" w14:paraId="36A654BC" w14:textId="77777777" w:rsidTr="00E028A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1F1F5F" w:themeColor="text1"/>
              <w:bottom w:val="single" w:sz="4" w:space="0" w:color="auto"/>
            </w:tcBorders>
            <w:tcMar>
              <w:top w:w="85" w:type="dxa"/>
              <w:bottom w:w="85" w:type="dxa"/>
            </w:tcMar>
            <w:vAlign w:val="top"/>
          </w:tcPr>
          <w:p w14:paraId="28302C83" w14:textId="77777777" w:rsidR="007035FF" w:rsidRPr="00832EDE" w:rsidRDefault="007035FF" w:rsidP="00832EDE">
            <w:pPr>
              <w:spacing w:before="0" w:after="0"/>
              <w:rPr>
                <w:rFonts w:cs="Arial"/>
                <w:bCs/>
                <w:color w:val="FFFFFF" w:themeColor="background1"/>
              </w:rPr>
            </w:pPr>
            <w:bookmarkStart w:id="7" w:name="_Hlk128650553"/>
            <w:r w:rsidRPr="00832EDE">
              <w:rPr>
                <w:rFonts w:cs="Arial"/>
                <w:bCs/>
                <w:color w:val="FFFFFF" w:themeColor="background1"/>
              </w:rPr>
              <w:t>Term</w:t>
            </w:r>
          </w:p>
        </w:tc>
        <w:tc>
          <w:tcPr>
            <w:tcW w:w="8045" w:type="dxa"/>
            <w:tcBorders>
              <w:top w:val="single" w:sz="4" w:space="0" w:color="1F1F5F" w:themeColor="text1"/>
              <w:bottom w:val="single" w:sz="4" w:space="0" w:color="auto"/>
            </w:tcBorders>
            <w:tcMar>
              <w:top w:w="85" w:type="dxa"/>
              <w:bottom w:w="85" w:type="dxa"/>
            </w:tcMar>
            <w:vAlign w:val="top"/>
          </w:tcPr>
          <w:p w14:paraId="5B285DE1" w14:textId="77777777" w:rsidR="007035FF" w:rsidRPr="00832EDE" w:rsidRDefault="007035FF" w:rsidP="00832EDE">
            <w:pPr>
              <w:spacing w:before="0" w:after="0"/>
              <w:cnfStyle w:val="100000000000" w:firstRow="1" w:lastRow="0" w:firstColumn="0" w:lastColumn="0" w:oddVBand="0" w:evenVBand="0" w:oddHBand="0" w:evenHBand="0" w:firstRowFirstColumn="0" w:firstRowLastColumn="0" w:lastRowFirstColumn="0" w:lastRowLastColumn="0"/>
              <w:rPr>
                <w:rFonts w:cs="Arial"/>
                <w:bCs/>
                <w:color w:val="FFFFFF" w:themeColor="background1"/>
              </w:rPr>
            </w:pPr>
            <w:r w:rsidRPr="00832EDE">
              <w:rPr>
                <w:rFonts w:cs="Arial"/>
                <w:bCs/>
                <w:color w:val="FFFFFF" w:themeColor="background1"/>
              </w:rPr>
              <w:t>Definition</w:t>
            </w:r>
          </w:p>
        </w:tc>
      </w:tr>
      <w:tr w:rsidR="007035FF" w14:paraId="74EC30AC" w14:textId="77777777" w:rsidTr="00E028AE">
        <w:trPr>
          <w:trHeight w:val="227"/>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Mar>
              <w:top w:w="85" w:type="dxa"/>
              <w:bottom w:w="85" w:type="dxa"/>
            </w:tcMar>
            <w:vAlign w:val="top"/>
          </w:tcPr>
          <w:p w14:paraId="260D7B87" w14:textId="77777777" w:rsidR="007035FF" w:rsidRPr="00026FE4" w:rsidRDefault="007035FF" w:rsidP="00832EDE">
            <w:pPr>
              <w:spacing w:before="0" w:after="0"/>
              <w:rPr>
                <w:rFonts w:cs="Arial"/>
                <w:bCs/>
              </w:rPr>
            </w:pPr>
            <w:r w:rsidRPr="00026FE4">
              <w:rPr>
                <w:rFonts w:cs="Arial"/>
                <w:bCs/>
                <w:lang w:val="en-US"/>
              </w:rPr>
              <w:t>Afterschool programs</w:t>
            </w:r>
          </w:p>
        </w:tc>
        <w:tc>
          <w:tcPr>
            <w:tcW w:w="8045" w:type="dxa"/>
            <w:tcBorders>
              <w:top w:val="single" w:sz="4" w:space="0" w:color="auto"/>
            </w:tcBorders>
            <w:tcMar>
              <w:top w:w="85" w:type="dxa"/>
              <w:bottom w:w="85" w:type="dxa"/>
            </w:tcMar>
            <w:vAlign w:val="top"/>
          </w:tcPr>
          <w:p w14:paraId="6E48AB9A" w14:textId="5A799AA7" w:rsidR="007035FF" w:rsidRPr="00026FE4" w:rsidRDefault="007035FF" w:rsidP="00832EDE">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sidRPr="00026FE4">
              <w:rPr>
                <w:rFonts w:cs="Arial"/>
                <w:lang w:val="en-US"/>
              </w:rPr>
              <w:t xml:space="preserve">Programs such as homework centres and sporting programs which are coordinated by a school or an external service provider such as a school </w:t>
            </w:r>
            <w:r w:rsidR="00DE1DA2">
              <w:rPr>
                <w:rFonts w:cs="Arial"/>
                <w:lang w:val="en-US"/>
              </w:rPr>
              <w:t>representative body</w:t>
            </w:r>
            <w:r w:rsidRPr="00026FE4">
              <w:rPr>
                <w:rFonts w:cs="Arial"/>
                <w:lang w:val="en-US"/>
              </w:rPr>
              <w:t xml:space="preserve"> on school grounds.</w:t>
            </w:r>
          </w:p>
        </w:tc>
      </w:tr>
      <w:tr w:rsidR="007035FF" w14:paraId="06CB484F" w14:textId="77777777" w:rsidTr="00DA0F8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vAlign w:val="top"/>
          </w:tcPr>
          <w:p w14:paraId="24142EE5" w14:textId="77777777" w:rsidR="007035FF" w:rsidRPr="00026FE4" w:rsidRDefault="007035FF" w:rsidP="00832EDE">
            <w:pPr>
              <w:spacing w:before="0" w:after="0"/>
              <w:rPr>
                <w:rFonts w:cs="Arial"/>
                <w:bCs/>
              </w:rPr>
            </w:pPr>
            <w:r w:rsidRPr="00026FE4">
              <w:rPr>
                <w:rFonts w:cs="Arial"/>
                <w:bCs/>
                <w:lang w:val="en-US"/>
              </w:rPr>
              <w:t>Classroom rewards</w:t>
            </w:r>
          </w:p>
        </w:tc>
        <w:tc>
          <w:tcPr>
            <w:tcW w:w="8045" w:type="dxa"/>
            <w:tcMar>
              <w:top w:w="85" w:type="dxa"/>
              <w:bottom w:w="85" w:type="dxa"/>
            </w:tcMar>
            <w:vAlign w:val="top"/>
          </w:tcPr>
          <w:p w14:paraId="3557DD23" w14:textId="77777777" w:rsidR="007035FF" w:rsidRPr="00026FE4" w:rsidRDefault="007035FF" w:rsidP="00832EDE">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rsidRPr="00026FE4">
              <w:rPr>
                <w:rFonts w:cs="Arial"/>
                <w:lang w:val="en-US"/>
              </w:rPr>
              <w:t>Incentives provided to whole classes or individual students as a form of positive reinforcement.</w:t>
            </w:r>
          </w:p>
        </w:tc>
      </w:tr>
      <w:tr w:rsidR="007035FF" w14:paraId="14F17F0B" w14:textId="77777777" w:rsidTr="00DA0F82">
        <w:trPr>
          <w:trHeight w:val="227"/>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Mar>
              <w:top w:w="85" w:type="dxa"/>
              <w:bottom w:w="85" w:type="dxa"/>
            </w:tcMar>
            <w:vAlign w:val="top"/>
          </w:tcPr>
          <w:p w14:paraId="3FA1A1D7" w14:textId="77777777" w:rsidR="007035FF" w:rsidRPr="00026FE4" w:rsidRDefault="007035FF" w:rsidP="00832EDE">
            <w:pPr>
              <w:spacing w:before="0" w:after="0"/>
              <w:rPr>
                <w:bCs/>
                <w:noProof/>
                <w:lang w:eastAsia="en-AU"/>
              </w:rPr>
            </w:pPr>
            <w:r w:rsidRPr="00026FE4">
              <w:rPr>
                <w:bCs/>
                <w:lang w:val="en-US"/>
              </w:rPr>
              <w:t>Dietary requirements</w:t>
            </w:r>
          </w:p>
        </w:tc>
        <w:tc>
          <w:tcPr>
            <w:tcW w:w="8045" w:type="dxa"/>
            <w:shd w:val="clear" w:color="auto" w:fill="auto"/>
            <w:tcMar>
              <w:top w:w="85" w:type="dxa"/>
              <w:bottom w:w="85" w:type="dxa"/>
            </w:tcMar>
            <w:vAlign w:val="top"/>
          </w:tcPr>
          <w:p w14:paraId="36CA9637" w14:textId="55CE9ABD" w:rsidR="007035FF" w:rsidRPr="00026FE4" w:rsidRDefault="007035FF" w:rsidP="00832EDE">
            <w:pPr>
              <w:spacing w:before="0" w:after="0"/>
              <w:cnfStyle w:val="000000000000" w:firstRow="0" w:lastRow="0" w:firstColumn="0" w:lastColumn="0" w:oddVBand="0" w:evenVBand="0" w:oddHBand="0" w:evenHBand="0" w:firstRowFirstColumn="0" w:firstRowLastColumn="0" w:lastRowFirstColumn="0" w:lastRowLastColumn="0"/>
              <w:rPr>
                <w:lang w:val="en-US"/>
              </w:rPr>
            </w:pPr>
            <w:r w:rsidRPr="00026FE4">
              <w:rPr>
                <w:lang w:val="en-US"/>
              </w:rPr>
              <w:t xml:space="preserve">Refers to a </w:t>
            </w:r>
            <w:r w:rsidR="000F2CFB" w:rsidRPr="00026FE4">
              <w:rPr>
                <w:lang w:val="en-US"/>
              </w:rPr>
              <w:t>child’s</w:t>
            </w:r>
            <w:r w:rsidRPr="00026FE4">
              <w:rPr>
                <w:lang w:val="en-US"/>
              </w:rPr>
              <w:t xml:space="preserve"> allergy, cultural, religious or medical condition that requires special consideration in planning and providing food and beverages.</w:t>
            </w:r>
          </w:p>
        </w:tc>
      </w:tr>
      <w:tr w:rsidR="007035FF" w14:paraId="6567FB0F" w14:textId="77777777" w:rsidTr="00DA0F8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vAlign w:val="top"/>
          </w:tcPr>
          <w:p w14:paraId="0FA39247" w14:textId="77777777" w:rsidR="007035FF" w:rsidRPr="00026FE4" w:rsidRDefault="007035FF" w:rsidP="00832EDE">
            <w:pPr>
              <w:spacing w:before="0" w:after="0"/>
              <w:rPr>
                <w:bCs/>
                <w:noProof/>
                <w:lang w:eastAsia="en-AU"/>
              </w:rPr>
            </w:pPr>
            <w:r w:rsidRPr="00026FE4">
              <w:rPr>
                <w:rFonts w:cs="Arial"/>
                <w:bCs/>
                <w:lang w:val="en-US"/>
              </w:rPr>
              <w:t>Excursion</w:t>
            </w:r>
          </w:p>
        </w:tc>
        <w:tc>
          <w:tcPr>
            <w:tcW w:w="8045" w:type="dxa"/>
            <w:tcMar>
              <w:top w:w="85" w:type="dxa"/>
              <w:bottom w:w="85" w:type="dxa"/>
            </w:tcMar>
            <w:vAlign w:val="top"/>
          </w:tcPr>
          <w:p w14:paraId="112F7A00" w14:textId="77777777" w:rsidR="007035FF" w:rsidRPr="00026FE4" w:rsidRDefault="007035FF" w:rsidP="00832EDE">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rsidRPr="00026FE4">
              <w:t>An educational, sporting or cultural trip by students within or outside the Northern Territory, under the direction of teachers and activity leaders authorised by the department.</w:t>
            </w:r>
          </w:p>
        </w:tc>
      </w:tr>
      <w:tr w:rsidR="007035FF" w14:paraId="069B1ACD" w14:textId="77777777" w:rsidTr="00DA0F82">
        <w:trPr>
          <w:trHeight w:val="227"/>
        </w:trPr>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vAlign w:val="top"/>
          </w:tcPr>
          <w:p w14:paraId="61175CF7" w14:textId="77777777" w:rsidR="007035FF" w:rsidRPr="00026FE4" w:rsidRDefault="007035FF" w:rsidP="00832EDE">
            <w:pPr>
              <w:spacing w:before="0" w:after="0"/>
              <w:rPr>
                <w:rFonts w:cs="Arial"/>
                <w:bCs/>
                <w:lang w:val="en-US"/>
              </w:rPr>
            </w:pPr>
            <w:r w:rsidRPr="00026FE4">
              <w:rPr>
                <w:rFonts w:cs="Arial"/>
                <w:bCs/>
                <w:lang w:val="en-US"/>
              </w:rPr>
              <w:t>Fundraising</w:t>
            </w:r>
          </w:p>
        </w:tc>
        <w:tc>
          <w:tcPr>
            <w:tcW w:w="8045" w:type="dxa"/>
            <w:tcMar>
              <w:top w:w="85" w:type="dxa"/>
              <w:bottom w:w="85" w:type="dxa"/>
            </w:tcMar>
            <w:vAlign w:val="top"/>
          </w:tcPr>
          <w:p w14:paraId="58566CDC" w14:textId="4625DF05" w:rsidR="007035FF" w:rsidRPr="00026FE4" w:rsidRDefault="007035FF" w:rsidP="00832EDE">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sidRPr="00026FE4">
              <w:rPr>
                <w:rFonts w:cs="Arial"/>
                <w:lang w:val="en-US"/>
              </w:rPr>
              <w:t>An activity that staff, students or the school community coordinate inside or outside school hours to raise funds for the school.</w:t>
            </w:r>
          </w:p>
        </w:tc>
      </w:tr>
      <w:tr w:rsidR="007035FF" w14:paraId="538C5BB0" w14:textId="77777777" w:rsidTr="00026FE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vAlign w:val="top"/>
          </w:tcPr>
          <w:p w14:paraId="075FED03" w14:textId="77777777" w:rsidR="007035FF" w:rsidRPr="00026FE4" w:rsidRDefault="007035FF" w:rsidP="00832EDE">
            <w:pPr>
              <w:spacing w:before="0" w:after="0"/>
              <w:rPr>
                <w:rFonts w:cs="Arial"/>
                <w:bCs/>
                <w:lang w:val="en-US"/>
              </w:rPr>
            </w:pPr>
            <w:r w:rsidRPr="00026FE4">
              <w:rPr>
                <w:rFonts w:cs="Arial"/>
                <w:bCs/>
                <w:lang w:eastAsia="en-AU"/>
              </w:rPr>
              <w:t>Health</w:t>
            </w:r>
          </w:p>
        </w:tc>
        <w:tc>
          <w:tcPr>
            <w:tcW w:w="8045" w:type="dxa"/>
            <w:tcMar>
              <w:top w:w="85" w:type="dxa"/>
              <w:bottom w:w="85" w:type="dxa"/>
            </w:tcMar>
            <w:vAlign w:val="top"/>
          </w:tcPr>
          <w:p w14:paraId="06144AF5" w14:textId="473CD151" w:rsidR="007035FF" w:rsidRPr="00026FE4" w:rsidRDefault="007035FF" w:rsidP="00832EDE">
            <w:pPr>
              <w:spacing w:before="0" w:after="0"/>
              <w:cnfStyle w:val="000000010000" w:firstRow="0" w:lastRow="0" w:firstColumn="0" w:lastColumn="0" w:oddVBand="0" w:evenVBand="0" w:oddHBand="0" w:evenHBand="1" w:firstRowFirstColumn="0" w:firstRowLastColumn="0" w:lastRowFirstColumn="0" w:lastRowLastColumn="0"/>
            </w:pPr>
            <w:r w:rsidRPr="00026FE4">
              <w:t>A state of complete physical, mental and social wellbeing and not merely the absence of disease or infirmity</w:t>
            </w:r>
            <w:r w:rsidR="00814D4A">
              <w:t>, a</w:t>
            </w:r>
            <w:r w:rsidRPr="00026FE4">
              <w:t>ccording to World Health Organisation, 1946</w:t>
            </w:r>
            <w:r w:rsidR="0036577F">
              <w:rPr>
                <w:rStyle w:val="FootnoteReference"/>
              </w:rPr>
              <w:footnoteReference w:id="6"/>
            </w:r>
            <w:r w:rsidR="00B56D76">
              <w:t>.</w:t>
            </w:r>
          </w:p>
        </w:tc>
      </w:tr>
      <w:tr w:rsidR="007035FF" w14:paraId="7E8F6B29" w14:textId="77777777" w:rsidTr="00DA0F82">
        <w:trPr>
          <w:trHeight w:val="227"/>
        </w:trPr>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vAlign w:val="top"/>
          </w:tcPr>
          <w:p w14:paraId="4AA6621A" w14:textId="35E98CFF" w:rsidR="007035FF" w:rsidRPr="00026FE4" w:rsidRDefault="007035FF" w:rsidP="00832EDE">
            <w:pPr>
              <w:spacing w:before="0" w:after="0"/>
              <w:rPr>
                <w:rFonts w:cs="Arial"/>
                <w:bCs/>
                <w:lang w:val="en-US"/>
              </w:rPr>
            </w:pPr>
            <w:r w:rsidRPr="00026FE4">
              <w:rPr>
                <w:rFonts w:cs="Arial"/>
                <w:bCs/>
                <w:lang w:val="en-US"/>
              </w:rPr>
              <w:t>Outside of School Hours Care services (OSHC)</w:t>
            </w:r>
          </w:p>
        </w:tc>
        <w:tc>
          <w:tcPr>
            <w:tcW w:w="8045" w:type="dxa"/>
            <w:tcMar>
              <w:top w:w="85" w:type="dxa"/>
              <w:bottom w:w="85" w:type="dxa"/>
            </w:tcMar>
            <w:vAlign w:val="top"/>
          </w:tcPr>
          <w:p w14:paraId="6C0E6040" w14:textId="7ED836D8" w:rsidR="007035FF" w:rsidRPr="00026FE4" w:rsidRDefault="007035FF" w:rsidP="00832EDE">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sidRPr="00026FE4">
              <w:rPr>
                <w:rFonts w:cs="Arial"/>
                <w:lang w:val="en-US"/>
              </w:rPr>
              <w:t>Provided for pre and school</w:t>
            </w:r>
            <w:r w:rsidR="00832EDE">
              <w:rPr>
                <w:rFonts w:cs="Arial"/>
                <w:lang w:val="en-US"/>
              </w:rPr>
              <w:t xml:space="preserve"> </w:t>
            </w:r>
            <w:r w:rsidRPr="00026FE4">
              <w:rPr>
                <w:rFonts w:cs="Arial"/>
                <w:lang w:val="en-US"/>
              </w:rPr>
              <w:t xml:space="preserve">age children outside of school hours which are coordinated by the school, </w:t>
            </w:r>
            <w:r w:rsidR="00DE1DA2" w:rsidRPr="00026FE4">
              <w:rPr>
                <w:rFonts w:cs="Arial"/>
                <w:lang w:val="en-US"/>
              </w:rPr>
              <w:t xml:space="preserve">school </w:t>
            </w:r>
            <w:r w:rsidR="00DE1DA2">
              <w:rPr>
                <w:rFonts w:cs="Arial"/>
                <w:lang w:val="en-US"/>
              </w:rPr>
              <w:t>representative body</w:t>
            </w:r>
            <w:r w:rsidR="00DE1DA2" w:rsidRPr="00026FE4">
              <w:rPr>
                <w:rFonts w:cs="Arial"/>
                <w:lang w:val="en-US"/>
              </w:rPr>
              <w:t xml:space="preserve"> </w:t>
            </w:r>
            <w:r w:rsidRPr="00026FE4">
              <w:rPr>
                <w:rFonts w:cs="Arial"/>
                <w:lang w:val="en-US"/>
              </w:rPr>
              <w:t>or operated by an external service provider on school grounds.</w:t>
            </w:r>
          </w:p>
        </w:tc>
      </w:tr>
      <w:tr w:rsidR="007035FF" w14:paraId="1A4F1960" w14:textId="77777777" w:rsidTr="00DA0F8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vAlign w:val="top"/>
          </w:tcPr>
          <w:p w14:paraId="5F0F0418" w14:textId="77777777" w:rsidR="007035FF" w:rsidRPr="00026FE4" w:rsidRDefault="007035FF" w:rsidP="00832EDE">
            <w:pPr>
              <w:spacing w:before="0" w:after="0"/>
              <w:rPr>
                <w:rFonts w:cs="Arial"/>
                <w:bCs/>
                <w:lang w:val="en-US"/>
              </w:rPr>
            </w:pPr>
            <w:r w:rsidRPr="00026FE4">
              <w:rPr>
                <w:rFonts w:cs="Arial"/>
                <w:bCs/>
                <w:lang w:val="en-US"/>
              </w:rPr>
              <w:t>School canteen</w:t>
            </w:r>
          </w:p>
        </w:tc>
        <w:tc>
          <w:tcPr>
            <w:tcW w:w="8045" w:type="dxa"/>
            <w:tcMar>
              <w:top w:w="85" w:type="dxa"/>
              <w:bottom w:w="85" w:type="dxa"/>
            </w:tcMar>
            <w:vAlign w:val="top"/>
          </w:tcPr>
          <w:p w14:paraId="5E1D04D4" w14:textId="77777777" w:rsidR="007035FF" w:rsidRPr="00026FE4" w:rsidRDefault="007035FF" w:rsidP="00832EDE">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rsidRPr="00026FE4">
              <w:rPr>
                <w:rFonts w:cs="Arial"/>
                <w:lang w:val="en-US"/>
              </w:rPr>
              <w:t>The facility that provides food and drinks to students and staff. This includes traditional school canteens in urban settings, rural and remote provision of breakfast, snacks, lunches, and private providers supplying food and drink to school students.</w:t>
            </w:r>
          </w:p>
        </w:tc>
      </w:tr>
      <w:tr w:rsidR="00457E3F" w14:paraId="3DD2343F" w14:textId="77777777" w:rsidTr="00DA0F82">
        <w:trPr>
          <w:trHeight w:val="227"/>
        </w:trPr>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vAlign w:val="top"/>
          </w:tcPr>
          <w:p w14:paraId="24398F7C" w14:textId="1DF12D3F" w:rsidR="00457E3F" w:rsidRPr="00026FE4" w:rsidRDefault="00457E3F" w:rsidP="00457E3F">
            <w:pPr>
              <w:spacing w:after="0"/>
              <w:rPr>
                <w:rFonts w:cs="Arial"/>
                <w:bCs/>
                <w:lang w:val="en-US"/>
              </w:rPr>
            </w:pPr>
            <w:r w:rsidRPr="00CC724A">
              <w:rPr>
                <w:rFonts w:cs="Arial"/>
                <w:lang w:val="en-US"/>
              </w:rPr>
              <w:t>School representative bodies</w:t>
            </w:r>
          </w:p>
        </w:tc>
        <w:tc>
          <w:tcPr>
            <w:tcW w:w="8045" w:type="dxa"/>
            <w:tcMar>
              <w:top w:w="85" w:type="dxa"/>
              <w:bottom w:w="85" w:type="dxa"/>
            </w:tcMar>
            <w:vAlign w:val="top"/>
          </w:tcPr>
          <w:p w14:paraId="4F424EB4" w14:textId="486183A8" w:rsidR="00457E3F" w:rsidRPr="00026FE4" w:rsidRDefault="00457E3F" w:rsidP="00457E3F">
            <w:pPr>
              <w:spacing w:after="0"/>
              <w:cnfStyle w:val="000000000000" w:firstRow="0" w:lastRow="0" w:firstColumn="0" w:lastColumn="0" w:oddVBand="0" w:evenVBand="0" w:oddHBand="0" w:evenHBand="0" w:firstRowFirstColumn="0" w:firstRowLastColumn="0" w:lastRowFirstColumn="0" w:lastRowLastColumn="0"/>
              <w:rPr>
                <w:rFonts w:cs="Arial"/>
                <w:lang w:val="en-US"/>
              </w:rPr>
            </w:pPr>
            <w:r w:rsidRPr="00CC724A">
              <w:rPr>
                <w:rFonts w:cs="Arial"/>
                <w:lang w:val="en-US"/>
              </w:rPr>
              <w:t>An incorporated body under the Education Act 2015 and includes independent public school boards, school councils and joint school representative bodies.</w:t>
            </w:r>
          </w:p>
        </w:tc>
      </w:tr>
      <w:tr w:rsidR="00FE72CE" w14:paraId="1840B12D" w14:textId="77777777" w:rsidTr="00DA0F8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vAlign w:val="top"/>
          </w:tcPr>
          <w:p w14:paraId="6103DF68" w14:textId="091E6BEB" w:rsidR="00FE72CE" w:rsidRPr="00026FE4" w:rsidRDefault="00FE72CE" w:rsidP="00FE72CE">
            <w:pPr>
              <w:spacing w:after="0"/>
              <w:rPr>
                <w:rFonts w:cs="Arial"/>
                <w:bCs/>
                <w:lang w:val="en-US"/>
              </w:rPr>
            </w:pPr>
            <w:r w:rsidRPr="00026FE4">
              <w:rPr>
                <w:rFonts w:cs="Arial"/>
                <w:bCs/>
                <w:lang w:val="en-US"/>
              </w:rPr>
              <w:t>School nutrition and breakfast programs</w:t>
            </w:r>
          </w:p>
        </w:tc>
        <w:tc>
          <w:tcPr>
            <w:tcW w:w="8045" w:type="dxa"/>
            <w:tcMar>
              <w:top w:w="85" w:type="dxa"/>
              <w:bottom w:w="85" w:type="dxa"/>
            </w:tcMar>
            <w:vAlign w:val="top"/>
          </w:tcPr>
          <w:p w14:paraId="6C9E8427" w14:textId="6F1EBCCF" w:rsidR="00FE72CE" w:rsidRPr="00026FE4" w:rsidRDefault="00FE72CE" w:rsidP="00FE72CE">
            <w:pPr>
              <w:spacing w:after="0"/>
              <w:cnfStyle w:val="000000010000" w:firstRow="0" w:lastRow="0" w:firstColumn="0" w:lastColumn="0" w:oddVBand="0" w:evenVBand="0" w:oddHBand="0" w:evenHBand="1" w:firstRowFirstColumn="0" w:firstRowLastColumn="0" w:lastRowFirstColumn="0" w:lastRowLastColumn="0"/>
              <w:rPr>
                <w:rFonts w:cs="Arial"/>
                <w:lang w:val="en-US"/>
              </w:rPr>
            </w:pPr>
            <w:r w:rsidRPr="00026FE4">
              <w:rPr>
                <w:rFonts w:cs="Arial"/>
                <w:lang w:val="en-US"/>
              </w:rPr>
              <w:t>Breakfast or lunch services for students which support improved attendance and contribute to learning and engagement in education.</w:t>
            </w:r>
          </w:p>
        </w:tc>
      </w:tr>
      <w:tr w:rsidR="007035FF" w14:paraId="0DE3F386" w14:textId="77777777" w:rsidTr="00DA0F82">
        <w:trPr>
          <w:trHeight w:val="227"/>
        </w:trPr>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vAlign w:val="top"/>
          </w:tcPr>
          <w:p w14:paraId="678D41FA" w14:textId="77777777" w:rsidR="007035FF" w:rsidRPr="00026FE4" w:rsidRDefault="007035FF" w:rsidP="00832EDE">
            <w:pPr>
              <w:spacing w:before="0" w:after="0"/>
              <w:rPr>
                <w:rFonts w:cs="Arial"/>
                <w:bCs/>
                <w:lang w:val="en-US"/>
              </w:rPr>
            </w:pPr>
            <w:r w:rsidRPr="00026FE4">
              <w:rPr>
                <w:rFonts w:cs="Arial"/>
                <w:bCs/>
                <w:lang w:val="en-US"/>
              </w:rPr>
              <w:t>School sport event</w:t>
            </w:r>
          </w:p>
        </w:tc>
        <w:tc>
          <w:tcPr>
            <w:tcW w:w="8045" w:type="dxa"/>
            <w:tcMar>
              <w:top w:w="85" w:type="dxa"/>
              <w:bottom w:w="85" w:type="dxa"/>
            </w:tcMar>
            <w:vAlign w:val="top"/>
          </w:tcPr>
          <w:p w14:paraId="31290650" w14:textId="20EB25EA" w:rsidR="007035FF" w:rsidRPr="00026FE4" w:rsidRDefault="007035FF" w:rsidP="00832EDE">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sidRPr="00026FE4">
              <w:rPr>
                <w:rFonts w:cs="Arial"/>
                <w:lang w:val="en-US"/>
              </w:rPr>
              <w:t xml:space="preserve">Any sporting event that staff, </w:t>
            </w:r>
            <w:r w:rsidR="00814D4A" w:rsidRPr="00026FE4">
              <w:rPr>
                <w:rFonts w:cs="Arial"/>
                <w:lang w:val="en-US"/>
              </w:rPr>
              <w:t xml:space="preserve">school </w:t>
            </w:r>
            <w:r w:rsidR="00832EDE" w:rsidRPr="00026FE4">
              <w:rPr>
                <w:rFonts w:cs="Arial"/>
                <w:lang w:val="en-US"/>
              </w:rPr>
              <w:t>sport coordinators</w:t>
            </w:r>
            <w:r w:rsidRPr="00026FE4">
              <w:rPr>
                <w:rFonts w:cs="Arial"/>
                <w:lang w:val="en-US"/>
              </w:rPr>
              <w:t>, School Sport NT or the school community coordinate inside or outside school hours.</w:t>
            </w:r>
          </w:p>
        </w:tc>
      </w:tr>
      <w:tr w:rsidR="007035FF" w14:paraId="63945F3F" w14:textId="77777777" w:rsidTr="00DA0F8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vAlign w:val="top"/>
          </w:tcPr>
          <w:p w14:paraId="6C14F28D" w14:textId="77777777" w:rsidR="007035FF" w:rsidRPr="00026FE4" w:rsidRDefault="007035FF" w:rsidP="00832EDE">
            <w:pPr>
              <w:spacing w:before="0" w:after="0"/>
              <w:rPr>
                <w:rFonts w:cs="Arial"/>
                <w:bCs/>
                <w:lang w:val="en-US"/>
              </w:rPr>
            </w:pPr>
            <w:r w:rsidRPr="00026FE4">
              <w:rPr>
                <w:rFonts w:cs="Arial"/>
                <w:bCs/>
                <w:lang w:val="en-US"/>
              </w:rPr>
              <w:t>Whole school events</w:t>
            </w:r>
          </w:p>
        </w:tc>
        <w:tc>
          <w:tcPr>
            <w:tcW w:w="8045" w:type="dxa"/>
            <w:tcMar>
              <w:top w:w="85" w:type="dxa"/>
              <w:bottom w:w="85" w:type="dxa"/>
            </w:tcMar>
            <w:vAlign w:val="top"/>
          </w:tcPr>
          <w:p w14:paraId="7AA9EA74" w14:textId="6DDE95A8" w:rsidR="007035FF" w:rsidRPr="00026FE4" w:rsidRDefault="007035FF" w:rsidP="00832EDE">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rsidRPr="00026FE4">
              <w:rPr>
                <w:rFonts w:cs="Arial"/>
                <w:lang w:val="en-US"/>
              </w:rPr>
              <w:t>Instances where a suspension of normal school activities or classes occur for celebration or commemorative purposes and involve all students and the broader school community</w:t>
            </w:r>
            <w:r w:rsidR="00814D4A">
              <w:rPr>
                <w:rFonts w:cs="Arial"/>
                <w:lang w:val="en-US"/>
              </w:rPr>
              <w:t>, for example</w:t>
            </w:r>
            <w:r w:rsidRPr="00026FE4">
              <w:rPr>
                <w:rFonts w:cs="Arial"/>
                <w:lang w:val="en-US"/>
              </w:rPr>
              <w:t xml:space="preserve"> a school fete or disco.</w:t>
            </w:r>
          </w:p>
        </w:tc>
      </w:tr>
      <w:bookmarkEnd w:id="7"/>
    </w:tbl>
    <w:p w14:paraId="504546E6" w14:textId="77777777" w:rsidR="00D16065" w:rsidRDefault="00D16065" w:rsidP="00D16065"/>
    <w:p w14:paraId="686B1B32" w14:textId="77777777" w:rsidR="00D16065" w:rsidRDefault="00D16065" w:rsidP="00D16065"/>
    <w:p w14:paraId="586CBDA7" w14:textId="6FFF4832" w:rsidR="007035FF" w:rsidRPr="00CA5566" w:rsidRDefault="007035FF" w:rsidP="00CA5566">
      <w:pPr>
        <w:pStyle w:val="Heading1"/>
      </w:pPr>
      <w:bookmarkStart w:id="8" w:name="_Toc144292883"/>
      <w:r w:rsidRPr="00CA5566">
        <w:lastRenderedPageBreak/>
        <w:t xml:space="preserve">Related </w:t>
      </w:r>
      <w:r w:rsidR="005C3FB5" w:rsidRPr="00CA5566">
        <w:t xml:space="preserve">documents, </w:t>
      </w:r>
      <w:r w:rsidRPr="00CA5566">
        <w:t xml:space="preserve">legislation, </w:t>
      </w:r>
      <w:r w:rsidR="004F2CB5">
        <w:t>guidelines</w:t>
      </w:r>
      <w:r w:rsidRPr="00CA5566">
        <w:t>, resources and references</w:t>
      </w:r>
      <w:bookmarkEnd w:id="8"/>
    </w:p>
    <w:p w14:paraId="5EB48C34" w14:textId="15E7226E" w:rsidR="007035FF" w:rsidRPr="007C7841" w:rsidRDefault="007035FF" w:rsidP="007C7841">
      <w:pPr>
        <w:pStyle w:val="Heading2"/>
      </w:pPr>
      <w:bookmarkStart w:id="9" w:name="_Toc144292884"/>
      <w:r w:rsidRPr="007C7841">
        <w:t>Supporting documents</w:t>
      </w:r>
      <w:bookmarkEnd w:id="9"/>
    </w:p>
    <w:p w14:paraId="0A932119" w14:textId="25430946" w:rsidR="006B1D6D" w:rsidRDefault="006B1D6D" w:rsidP="005B2645">
      <w:r>
        <w:t xml:space="preserve">The following supporting documents can be located on </w:t>
      </w:r>
      <w:r w:rsidR="00643014">
        <w:t xml:space="preserve">the </w:t>
      </w:r>
      <w:r>
        <w:t xml:space="preserve">School nutrition and healthy eating </w:t>
      </w:r>
      <w:r w:rsidR="00643014">
        <w:t xml:space="preserve">page </w:t>
      </w:r>
      <w:r>
        <w:t xml:space="preserve">– </w:t>
      </w:r>
      <w:hyperlink r:id="rId14" w:history="1">
        <w:r w:rsidRPr="00470AF1">
          <w:rPr>
            <w:rStyle w:val="Hyperlink"/>
          </w:rPr>
          <w:t>https://education.nt.gov.au/policies/health-safety/school-nutrition-and-healthy-eating</w:t>
        </w:r>
      </w:hyperlink>
    </w:p>
    <w:p w14:paraId="4F738D3E" w14:textId="7FE5F978" w:rsidR="007035FF" w:rsidRPr="005B2645" w:rsidRDefault="007035FF" w:rsidP="005B2645">
      <w:pPr>
        <w:pStyle w:val="ListParagraph"/>
        <w:numPr>
          <w:ilvl w:val="0"/>
          <w:numId w:val="44"/>
        </w:numPr>
        <w:rPr>
          <w:rFonts w:cs="Arial"/>
          <w:bCs/>
          <w:szCs w:val="28"/>
          <w:lang w:val="en-US"/>
        </w:rPr>
      </w:pPr>
      <w:r w:rsidRPr="00AF2178">
        <w:t>Creating a healthier</w:t>
      </w:r>
      <w:r w:rsidR="00994296">
        <w:t xml:space="preserve"> canteen</w:t>
      </w:r>
      <w:r w:rsidRPr="00AF2178">
        <w:t xml:space="preserve"> menu</w:t>
      </w:r>
      <w:r w:rsidR="002D140C">
        <w:t xml:space="preserve"> </w:t>
      </w:r>
      <w:r w:rsidR="00994296">
        <w:t>information sheet</w:t>
      </w:r>
    </w:p>
    <w:p w14:paraId="1EFE6203" w14:textId="09509CA7" w:rsidR="007035FF" w:rsidRPr="005B2645" w:rsidRDefault="00692554" w:rsidP="005B2645">
      <w:pPr>
        <w:pStyle w:val="ListParagraph"/>
        <w:numPr>
          <w:ilvl w:val="0"/>
          <w:numId w:val="44"/>
        </w:numPr>
        <w:rPr>
          <w:rFonts w:cs="Arial"/>
          <w:bCs/>
          <w:szCs w:val="28"/>
          <w:lang w:val="en-US"/>
        </w:rPr>
      </w:pPr>
      <w:r>
        <w:t>Food and drink categories information sheet</w:t>
      </w:r>
    </w:p>
    <w:p w14:paraId="24EA291E" w14:textId="4B93EBB0" w:rsidR="007035FF" w:rsidRPr="005B2645" w:rsidRDefault="007035FF" w:rsidP="005B2645">
      <w:pPr>
        <w:pStyle w:val="ListParagraph"/>
        <w:numPr>
          <w:ilvl w:val="0"/>
          <w:numId w:val="44"/>
        </w:numPr>
        <w:rPr>
          <w:rFonts w:cs="Arial"/>
          <w:bCs/>
          <w:szCs w:val="28"/>
          <w:lang w:val="en-US"/>
        </w:rPr>
      </w:pPr>
      <w:r w:rsidRPr="00AF2178">
        <w:t>H</w:t>
      </w:r>
      <w:bookmarkStart w:id="10" w:name="_Hlk130385881"/>
      <w:r w:rsidRPr="00AF2178">
        <w:t>ealth</w:t>
      </w:r>
      <w:r w:rsidR="00994296">
        <w:t>y</w:t>
      </w:r>
      <w:r w:rsidRPr="00AF2178">
        <w:t xml:space="preserve"> alternative to sausage sizzles</w:t>
      </w:r>
      <w:bookmarkEnd w:id="10"/>
      <w:r w:rsidR="002D140C">
        <w:t xml:space="preserve"> </w:t>
      </w:r>
      <w:r w:rsidR="00994296">
        <w:t>information sheet</w:t>
      </w:r>
    </w:p>
    <w:p w14:paraId="16C24399" w14:textId="61343456" w:rsidR="00E3639A" w:rsidRPr="005B2645" w:rsidRDefault="00E3639A" w:rsidP="005B2645">
      <w:pPr>
        <w:pStyle w:val="ListParagraph"/>
        <w:numPr>
          <w:ilvl w:val="0"/>
          <w:numId w:val="44"/>
        </w:numPr>
        <w:rPr>
          <w:rFonts w:cs="Arial"/>
          <w:bCs/>
          <w:szCs w:val="28"/>
          <w:lang w:val="en-US"/>
        </w:rPr>
      </w:pPr>
      <w:r w:rsidRPr="00AF2178">
        <w:t>Ideas for fundraising</w:t>
      </w:r>
      <w:r w:rsidR="002D140C">
        <w:t xml:space="preserve"> </w:t>
      </w:r>
      <w:r w:rsidR="00B47278">
        <w:t>information sheet</w:t>
      </w:r>
    </w:p>
    <w:p w14:paraId="05DCB064" w14:textId="71452CDB" w:rsidR="00984936" w:rsidRPr="005B2645" w:rsidRDefault="00984936" w:rsidP="005B2645">
      <w:pPr>
        <w:pStyle w:val="ListParagraph"/>
        <w:numPr>
          <w:ilvl w:val="0"/>
          <w:numId w:val="44"/>
        </w:numPr>
        <w:rPr>
          <w:rFonts w:cs="Arial"/>
          <w:bCs/>
          <w:szCs w:val="28"/>
          <w:lang w:val="en-US"/>
        </w:rPr>
      </w:pPr>
      <w:r>
        <w:t>Ideas for h</w:t>
      </w:r>
      <w:r w:rsidRPr="00AF2178">
        <w:t>ealth</w:t>
      </w:r>
      <w:r>
        <w:t>y</w:t>
      </w:r>
      <w:r w:rsidRPr="00AF2178">
        <w:t xml:space="preserve"> food based fundraising</w:t>
      </w:r>
      <w:r>
        <w:t xml:space="preserve"> information sheet</w:t>
      </w:r>
    </w:p>
    <w:p w14:paraId="7662E44C" w14:textId="182B5702" w:rsidR="007035FF" w:rsidRPr="005B2645" w:rsidRDefault="007035FF" w:rsidP="005B2645">
      <w:pPr>
        <w:pStyle w:val="ListParagraph"/>
        <w:numPr>
          <w:ilvl w:val="0"/>
          <w:numId w:val="44"/>
        </w:numPr>
        <w:rPr>
          <w:rFonts w:cs="Arial"/>
          <w:bCs/>
          <w:szCs w:val="28"/>
          <w:lang w:val="en-US"/>
        </w:rPr>
      </w:pPr>
      <w:r w:rsidRPr="00AF2178">
        <w:t>Newsletter inserts</w:t>
      </w:r>
      <w:r w:rsidR="00191A18">
        <w:t xml:space="preserve"> for healthy eating</w:t>
      </w:r>
      <w:r w:rsidR="002D140C">
        <w:t xml:space="preserve"> </w:t>
      </w:r>
      <w:r w:rsidR="005D6325">
        <w:t>information sheet</w:t>
      </w:r>
    </w:p>
    <w:p w14:paraId="4ADD3FE7" w14:textId="3F0D0BB1" w:rsidR="007035FF" w:rsidRPr="005B2645" w:rsidRDefault="007035FF" w:rsidP="005B2645">
      <w:pPr>
        <w:pStyle w:val="ListParagraph"/>
        <w:numPr>
          <w:ilvl w:val="0"/>
          <w:numId w:val="44"/>
        </w:numPr>
        <w:rPr>
          <w:rFonts w:cs="Arial"/>
          <w:bCs/>
          <w:szCs w:val="28"/>
          <w:lang w:val="en-US"/>
        </w:rPr>
      </w:pPr>
      <w:r w:rsidRPr="00AF2178">
        <w:t>Recipe checklist</w:t>
      </w:r>
      <w:r w:rsidR="00FC7C79">
        <w:t xml:space="preserve"> for canteen managers and teachers</w:t>
      </w:r>
      <w:r w:rsidR="002D140C">
        <w:t xml:space="preserve"> </w:t>
      </w:r>
      <w:r w:rsidR="00FC7C79">
        <w:t>information sheet</w:t>
      </w:r>
    </w:p>
    <w:p w14:paraId="29A17B40" w14:textId="2889936A" w:rsidR="007035FF" w:rsidRPr="005B2645" w:rsidRDefault="007035FF" w:rsidP="005B2645">
      <w:pPr>
        <w:pStyle w:val="ListParagraph"/>
        <w:numPr>
          <w:ilvl w:val="0"/>
          <w:numId w:val="44"/>
        </w:numPr>
        <w:rPr>
          <w:rFonts w:cs="Arial"/>
          <w:bCs/>
          <w:szCs w:val="28"/>
          <w:lang w:val="en-US"/>
        </w:rPr>
      </w:pPr>
      <w:r w:rsidRPr="00AF2178">
        <w:t>School camp and barbe</w:t>
      </w:r>
      <w:r w:rsidR="002553C3">
        <w:t>q</w:t>
      </w:r>
      <w:r w:rsidRPr="00AF2178">
        <w:t xml:space="preserve">ue catering </w:t>
      </w:r>
      <w:r w:rsidR="002553C3">
        <w:t>ideas</w:t>
      </w:r>
      <w:r w:rsidR="002D140C">
        <w:t xml:space="preserve"> </w:t>
      </w:r>
      <w:r w:rsidR="002553C3">
        <w:t>information sheet</w:t>
      </w:r>
    </w:p>
    <w:p w14:paraId="3E6CAA37" w14:textId="178FA7DF" w:rsidR="00984936" w:rsidRPr="005B2645" w:rsidRDefault="00984936" w:rsidP="005B2645">
      <w:pPr>
        <w:pStyle w:val="ListParagraph"/>
        <w:numPr>
          <w:ilvl w:val="0"/>
          <w:numId w:val="44"/>
        </w:numPr>
        <w:rPr>
          <w:rFonts w:cs="Arial"/>
          <w:bCs/>
          <w:szCs w:val="28"/>
          <w:lang w:val="en-US"/>
        </w:rPr>
      </w:pPr>
      <w:r w:rsidRPr="00AF2178">
        <w:t xml:space="preserve">Sporting events, fundraising and </w:t>
      </w:r>
      <w:r w:rsidR="00D16065" w:rsidRPr="00AF2178">
        <w:t>non</w:t>
      </w:r>
      <w:r w:rsidR="00D16065">
        <w:t>-</w:t>
      </w:r>
      <w:r w:rsidR="00D16065" w:rsidRPr="00AF2178">
        <w:t>food</w:t>
      </w:r>
      <w:r w:rsidRPr="00AF2178">
        <w:t xml:space="preserve"> reward </w:t>
      </w:r>
      <w:r>
        <w:t>ideas information sheet</w:t>
      </w:r>
    </w:p>
    <w:p w14:paraId="0F611F04" w14:textId="3EF797F4" w:rsidR="00984936" w:rsidRPr="005B2645" w:rsidRDefault="00984936" w:rsidP="005B2645">
      <w:pPr>
        <w:pStyle w:val="ListParagraph"/>
        <w:numPr>
          <w:ilvl w:val="0"/>
          <w:numId w:val="44"/>
        </w:numPr>
        <w:rPr>
          <w:rFonts w:cs="Arial"/>
          <w:bCs/>
          <w:szCs w:val="28"/>
          <w:lang w:val="en-US"/>
        </w:rPr>
      </w:pPr>
      <w:r>
        <w:t>S</w:t>
      </w:r>
      <w:r w:rsidRPr="00AF2178">
        <w:t xml:space="preserve">uitable </w:t>
      </w:r>
      <w:r>
        <w:t>foods and drinks in school information sheet</w:t>
      </w:r>
    </w:p>
    <w:p w14:paraId="62AF1C79" w14:textId="32B87380" w:rsidR="006B1D6D" w:rsidRDefault="007035FF" w:rsidP="005B2645">
      <w:pPr>
        <w:pStyle w:val="ListParagraph"/>
        <w:numPr>
          <w:ilvl w:val="0"/>
          <w:numId w:val="44"/>
        </w:numPr>
      </w:pPr>
      <w:r w:rsidRPr="00AF2178">
        <w:t xml:space="preserve">Tips for parents </w:t>
      </w:r>
      <w:r w:rsidR="0082384C">
        <w:t>to promote healthy eating</w:t>
      </w:r>
      <w:r w:rsidR="002D140C">
        <w:t xml:space="preserve"> </w:t>
      </w:r>
      <w:r w:rsidR="0082384C">
        <w:t>information sheet</w:t>
      </w:r>
    </w:p>
    <w:p w14:paraId="02C59CB4" w14:textId="7CE47024" w:rsidR="005C3FB5" w:rsidRPr="007C7841" w:rsidRDefault="00947F3C" w:rsidP="007C7841">
      <w:pPr>
        <w:pStyle w:val="Heading2"/>
      </w:pPr>
      <w:bookmarkStart w:id="11" w:name="_Toc144292885"/>
      <w:r w:rsidRPr="007C7841">
        <w:t>Legislation</w:t>
      </w:r>
      <w:bookmarkEnd w:id="11"/>
    </w:p>
    <w:p w14:paraId="7E988EF3" w14:textId="3F2949AC" w:rsidR="00947F3C" w:rsidRPr="0036577F" w:rsidRDefault="00947F3C" w:rsidP="0036577F">
      <w:pPr>
        <w:pStyle w:val="ListParagraph"/>
        <w:numPr>
          <w:ilvl w:val="0"/>
          <w:numId w:val="47"/>
        </w:numPr>
      </w:pPr>
      <w:r w:rsidRPr="0036577F">
        <w:t>Education and Care Services National Regulations 2011</w:t>
      </w:r>
      <w:r w:rsidRPr="0036577F">
        <w:rPr>
          <w:i/>
        </w:rPr>
        <w:t xml:space="preserve"> </w:t>
      </w:r>
      <w:r w:rsidRPr="00AF2178">
        <w:t>(NSW)</w:t>
      </w:r>
      <w:r>
        <w:t xml:space="preserve"> - </w:t>
      </w:r>
      <w:hyperlink r:id="rId15" w:history="1">
        <w:r w:rsidRPr="00470AF1">
          <w:rPr>
            <w:rStyle w:val="Hyperlink"/>
          </w:rPr>
          <w:t>https://legislation.nsw.gov.au/view/html/inforce/current/sl-2011-0653</w:t>
        </w:r>
      </w:hyperlink>
    </w:p>
    <w:p w14:paraId="3EEBA363" w14:textId="65D02E99" w:rsidR="00947F3C" w:rsidRDefault="00947F3C" w:rsidP="0036577F">
      <w:pPr>
        <w:pStyle w:val="ListParagraph"/>
        <w:numPr>
          <w:ilvl w:val="0"/>
          <w:numId w:val="47"/>
        </w:numPr>
      </w:pPr>
      <w:r w:rsidRPr="0036577F">
        <w:rPr>
          <w:i/>
        </w:rPr>
        <w:t>Education and Care Services (National Uniform Legislation) Act 2011</w:t>
      </w:r>
      <w:r w:rsidRPr="0036577F">
        <w:t xml:space="preserve"> - </w:t>
      </w:r>
      <w:hyperlink r:id="rId16" w:history="1">
        <w:r w:rsidRPr="0036577F">
          <w:rPr>
            <w:rStyle w:val="Hyperlink"/>
          </w:rPr>
          <w:t>https://legislation.nt.gov.au/Legislation/EDUCATION-AND-CARE-SERVICES-NATIONAL-UNIFORM-LEGISLATION-ACT-2011</w:t>
        </w:r>
      </w:hyperlink>
    </w:p>
    <w:p w14:paraId="105AEAE7" w14:textId="1C06B2D3" w:rsidR="00947F3C" w:rsidRPr="007C7841" w:rsidRDefault="004F2CB5" w:rsidP="007C7841">
      <w:pPr>
        <w:pStyle w:val="Heading2"/>
      </w:pPr>
      <w:bookmarkStart w:id="12" w:name="_Toc144292886"/>
      <w:r>
        <w:t>Guidelines</w:t>
      </w:r>
      <w:bookmarkEnd w:id="12"/>
    </w:p>
    <w:p w14:paraId="53EE7FA9" w14:textId="72194A54" w:rsidR="005C3FB5" w:rsidRPr="0036577F" w:rsidRDefault="005C3FB5" w:rsidP="0036577F">
      <w:pPr>
        <w:pStyle w:val="ListParagraph"/>
        <w:numPr>
          <w:ilvl w:val="0"/>
          <w:numId w:val="48"/>
        </w:numPr>
        <w:rPr>
          <w:lang w:val="en-US" w:eastAsia="en-AU"/>
        </w:rPr>
      </w:pPr>
      <w:r w:rsidRPr="00AF2178">
        <w:t xml:space="preserve">National </w:t>
      </w:r>
      <w:r w:rsidRPr="00B06249">
        <w:t>healthy</w:t>
      </w:r>
      <w:r w:rsidRPr="00AF2178">
        <w:t xml:space="preserve"> </w:t>
      </w:r>
      <w:r w:rsidRPr="00B06249">
        <w:t>school</w:t>
      </w:r>
      <w:r w:rsidRPr="00AF2178">
        <w:t xml:space="preserve"> canteen guidelines</w:t>
      </w:r>
      <w:r>
        <w:t xml:space="preserve"> - </w:t>
      </w:r>
      <w:hyperlink r:id="rId17" w:history="1">
        <w:r w:rsidRPr="00412C93">
          <w:rPr>
            <w:rStyle w:val="Hyperlink"/>
          </w:rPr>
          <w:t>https://www.health.gov.au/resources/publications/national-healthy-school-canteens-guidelines-for-healthy-foods-and-drinks-supplied-in-school-canteens</w:t>
        </w:r>
      </w:hyperlink>
    </w:p>
    <w:p w14:paraId="3D0D277A" w14:textId="0D280AC5" w:rsidR="005C3FB5" w:rsidRPr="0036577F" w:rsidRDefault="005C3FB5" w:rsidP="0036577F">
      <w:pPr>
        <w:pStyle w:val="ListParagraph"/>
        <w:numPr>
          <w:ilvl w:val="0"/>
          <w:numId w:val="48"/>
        </w:numPr>
        <w:rPr>
          <w:lang w:val="en-US" w:eastAsia="en-AU"/>
        </w:rPr>
      </w:pPr>
      <w:r w:rsidRPr="00AF2178">
        <w:t xml:space="preserve">School </w:t>
      </w:r>
      <w:r>
        <w:t>n</w:t>
      </w:r>
      <w:r w:rsidRPr="00AF2178">
        <w:t>utrition and</w:t>
      </w:r>
      <w:r>
        <w:t xml:space="preserve"> h</w:t>
      </w:r>
      <w:r w:rsidRPr="00AF2178">
        <w:t xml:space="preserve">ealthy </w:t>
      </w:r>
      <w:r>
        <w:t>e</w:t>
      </w:r>
      <w:r w:rsidRPr="00AF2178">
        <w:t xml:space="preserve">ating </w:t>
      </w:r>
      <w:r>
        <w:t>g</w:t>
      </w:r>
      <w:r w:rsidRPr="00AF2178">
        <w:t>uidelines</w:t>
      </w:r>
      <w:r>
        <w:t xml:space="preserve"> - </w:t>
      </w:r>
      <w:hyperlink r:id="rId18" w:history="1">
        <w:r w:rsidRPr="00412C93">
          <w:rPr>
            <w:rStyle w:val="Hyperlink"/>
          </w:rPr>
          <w:t>https://education.nt.gov.au/policies/health-safety/school-nutrition-and-healthy-eating</w:t>
        </w:r>
      </w:hyperlink>
    </w:p>
    <w:p w14:paraId="546AD068" w14:textId="5E06A92F" w:rsidR="005C3FB5" w:rsidRPr="007C7841" w:rsidRDefault="005C3FB5" w:rsidP="00457E3F">
      <w:pPr>
        <w:pStyle w:val="Heading2"/>
        <w:keepNext/>
      </w:pPr>
      <w:bookmarkStart w:id="13" w:name="_Toc144292887"/>
      <w:r w:rsidRPr="007C7841">
        <w:t>Resources</w:t>
      </w:r>
      <w:bookmarkEnd w:id="13"/>
    </w:p>
    <w:p w14:paraId="03CFE0DD" w14:textId="536A89C8" w:rsidR="005C3FB5" w:rsidRDefault="005C3FB5" w:rsidP="00457E3F">
      <w:pPr>
        <w:pStyle w:val="ListParagraph"/>
        <w:keepNext/>
        <w:numPr>
          <w:ilvl w:val="0"/>
          <w:numId w:val="49"/>
        </w:numPr>
      </w:pPr>
      <w:r w:rsidRPr="00AF2178">
        <w:t xml:space="preserve">Australian guide to healthy </w:t>
      </w:r>
      <w:r w:rsidRPr="0036577F">
        <w:rPr>
          <w:rFonts w:cs="Arial"/>
          <w:bCs/>
          <w:lang w:val="en-US"/>
        </w:rPr>
        <w:t>eating</w:t>
      </w:r>
      <w:r>
        <w:t xml:space="preserve"> - </w:t>
      </w:r>
      <w:hyperlink r:id="rId19" w:history="1">
        <w:r w:rsidRPr="00412C93">
          <w:rPr>
            <w:rStyle w:val="Hyperlink"/>
          </w:rPr>
          <w:t>https://www.eatforhealth.gov.au/guidelines/australian-guide-healthy-eating</w:t>
        </w:r>
      </w:hyperlink>
    </w:p>
    <w:p w14:paraId="72379ADE" w14:textId="15FDE89E" w:rsidR="005C3FB5" w:rsidRDefault="005C3FB5" w:rsidP="0036577F">
      <w:pPr>
        <w:pStyle w:val="ListParagraph"/>
        <w:numPr>
          <w:ilvl w:val="0"/>
          <w:numId w:val="49"/>
        </w:numPr>
      </w:pPr>
      <w:r>
        <w:t>F</w:t>
      </w:r>
      <w:r w:rsidRPr="00AF2178">
        <w:t xml:space="preserve">amilies as </w:t>
      </w:r>
      <w:r w:rsidR="00132B77">
        <w:t>F</w:t>
      </w:r>
      <w:r w:rsidR="00132B77" w:rsidRPr="00AF2178">
        <w:t xml:space="preserve">irst </w:t>
      </w:r>
      <w:r w:rsidR="00132B77">
        <w:t>T</w:t>
      </w:r>
      <w:r w:rsidR="00132B77" w:rsidRPr="00AF2178">
        <w:t xml:space="preserve">eachers </w:t>
      </w:r>
      <w:r w:rsidRPr="00AF2178">
        <w:t>programs</w:t>
      </w:r>
      <w:r>
        <w:t xml:space="preserve"> - </w:t>
      </w:r>
      <w:hyperlink r:id="rId20" w:history="1">
        <w:r w:rsidR="00947F3C" w:rsidRPr="00470AF1">
          <w:rPr>
            <w:rStyle w:val="Hyperlink"/>
          </w:rPr>
          <w:t>https://education.nt.gov.au/support-for-teachers/faft</w:t>
        </w:r>
      </w:hyperlink>
    </w:p>
    <w:p w14:paraId="549E140E" w14:textId="77777777" w:rsidR="005C3FB5" w:rsidRPr="00D16065" w:rsidRDefault="005C3FB5" w:rsidP="0036577F">
      <w:pPr>
        <w:pStyle w:val="ListParagraph"/>
        <w:numPr>
          <w:ilvl w:val="0"/>
          <w:numId w:val="49"/>
        </w:numPr>
        <w:rPr>
          <w:rStyle w:val="Hyperlink"/>
          <w:color w:val="auto"/>
          <w:u w:val="none"/>
        </w:rPr>
      </w:pPr>
      <w:r w:rsidRPr="00AF2178">
        <w:t xml:space="preserve">Federation of canteens in </w:t>
      </w:r>
      <w:r>
        <w:t>s</w:t>
      </w:r>
      <w:r w:rsidRPr="00AF2178">
        <w:t>chools</w:t>
      </w:r>
      <w:r>
        <w:t xml:space="preserve"> - </w:t>
      </w:r>
      <w:hyperlink r:id="rId21" w:history="1">
        <w:r w:rsidRPr="00412C93">
          <w:rPr>
            <w:rStyle w:val="Hyperlink"/>
          </w:rPr>
          <w:t>https://www.focis.com.au/</w:t>
        </w:r>
      </w:hyperlink>
    </w:p>
    <w:p w14:paraId="7E7D0322" w14:textId="77777777" w:rsidR="00D16065" w:rsidRDefault="00D16065" w:rsidP="00D16065"/>
    <w:p w14:paraId="718ABB90" w14:textId="34967D0D" w:rsidR="007035FF" w:rsidRPr="007C7841" w:rsidRDefault="007035FF" w:rsidP="007C7841">
      <w:pPr>
        <w:pStyle w:val="Heading2"/>
      </w:pPr>
      <w:bookmarkStart w:id="14" w:name="_Toc144292888"/>
      <w:r w:rsidRPr="007C7841">
        <w:lastRenderedPageBreak/>
        <w:t>References</w:t>
      </w:r>
      <w:bookmarkEnd w:id="14"/>
    </w:p>
    <w:p w14:paraId="724A71D4" w14:textId="577674C4" w:rsidR="007035FF" w:rsidRPr="0036577F" w:rsidRDefault="007035FF" w:rsidP="0036577F">
      <w:pPr>
        <w:pStyle w:val="ListParagraph"/>
        <w:numPr>
          <w:ilvl w:val="0"/>
          <w:numId w:val="50"/>
        </w:numPr>
        <w:rPr>
          <w:rStyle w:val="Hyperlink"/>
          <w:color w:val="auto"/>
        </w:rPr>
      </w:pPr>
      <w:r w:rsidRPr="00E371FE">
        <w:t xml:space="preserve">National Centre for Chronic Disease Prevention – Division of Population Health. </w:t>
      </w:r>
      <w:r w:rsidRPr="0036577F">
        <w:rPr>
          <w:i/>
        </w:rPr>
        <w:t xml:space="preserve">Health and Academic Achievement. </w:t>
      </w:r>
      <w:r w:rsidRPr="00596760">
        <w:t>May 2014</w:t>
      </w:r>
      <w:r>
        <w:t xml:space="preserve"> - </w:t>
      </w:r>
      <w:hyperlink r:id="rId22" w:history="1">
        <w:r w:rsidRPr="00892598">
          <w:rPr>
            <w:rStyle w:val="Hyperlink"/>
          </w:rPr>
          <w:t>https://www.cdc.gov/about/organization/cio-orgcharts/nccdphp.html</w:t>
        </w:r>
      </w:hyperlink>
    </w:p>
    <w:p w14:paraId="2CFDCF39" w14:textId="48D1B922" w:rsidR="007035FF" w:rsidRPr="0036577F" w:rsidRDefault="007035FF" w:rsidP="0036577F">
      <w:pPr>
        <w:pStyle w:val="ListParagraph"/>
        <w:numPr>
          <w:ilvl w:val="0"/>
          <w:numId w:val="50"/>
        </w:numPr>
        <w:rPr>
          <w:lang w:val="en-US"/>
        </w:rPr>
      </w:pPr>
      <w:r w:rsidRPr="00596760">
        <w:t xml:space="preserve">Lawlis, T, Knox, M and Jamieson, M. Dietitians Association of Australia. 2016. </w:t>
      </w:r>
      <w:r w:rsidRPr="0036577F">
        <w:rPr>
          <w:i/>
        </w:rPr>
        <w:t>School Canteens: A systematic review of the policy, perceptions and use from an Australian Perspective</w:t>
      </w:r>
      <w:r w:rsidRPr="00596760">
        <w:t>.</w:t>
      </w:r>
      <w:r w:rsidR="00132B77">
        <w:t xml:space="preserve"> </w:t>
      </w:r>
      <w:r w:rsidRPr="00596760">
        <w:t>73:389-398 10.1111/1747-0080.12279</w:t>
      </w:r>
      <w:r w:rsidR="00127579">
        <w:t xml:space="preserve"> - </w:t>
      </w:r>
      <w:hyperlink r:id="rId23" w:history="1">
        <w:r w:rsidR="007F10AD" w:rsidRPr="000F6775">
          <w:rPr>
            <w:rStyle w:val="Hyperlink"/>
          </w:rPr>
          <w:t>https://researchprofiles.canberra.edu.au/en/publications/school-canteens-a-systematic-review-of-the-policy-perceptions-and</w:t>
        </w:r>
      </w:hyperlink>
    </w:p>
    <w:p w14:paraId="20038544" w14:textId="5DEA00EF" w:rsidR="007035FF" w:rsidRPr="0036577F" w:rsidRDefault="007035FF" w:rsidP="0036577F">
      <w:pPr>
        <w:pStyle w:val="ListParagraph"/>
        <w:numPr>
          <w:ilvl w:val="0"/>
          <w:numId w:val="50"/>
        </w:numPr>
        <w:rPr>
          <w:lang w:val="en-US"/>
        </w:rPr>
      </w:pPr>
      <w:r w:rsidRPr="00596760">
        <w:t>Australian Institute of Health and Welfare Overview. 2015</w:t>
      </w:r>
      <w:r>
        <w:t xml:space="preserve"> - </w:t>
      </w:r>
      <w:hyperlink r:id="rId24" w:history="1">
        <w:r w:rsidRPr="00892598">
          <w:rPr>
            <w:rStyle w:val="Hyperlink"/>
          </w:rPr>
          <w:t>https://www.aihw.gov.au/reports-statistics/behaviours-risk-factors/overweight-obesity/overview</w:t>
        </w:r>
      </w:hyperlink>
    </w:p>
    <w:p w14:paraId="26E5F5F7" w14:textId="1D3C63FF" w:rsidR="00265493" w:rsidRPr="00265493" w:rsidRDefault="007035FF" w:rsidP="00265493">
      <w:pPr>
        <w:pStyle w:val="ListParagraph"/>
        <w:numPr>
          <w:ilvl w:val="0"/>
          <w:numId w:val="50"/>
        </w:numPr>
        <w:rPr>
          <w:rStyle w:val="Hyperlink"/>
          <w:color w:val="auto"/>
        </w:rPr>
      </w:pPr>
      <w:r w:rsidRPr="00596760">
        <w:t xml:space="preserve">University of Adelaide. 2015 </w:t>
      </w:r>
      <w:r w:rsidRPr="0036577F">
        <w:rPr>
          <w:i/>
        </w:rPr>
        <w:t>Oral health and dental care in Australia: facts and figures 2015.</w:t>
      </w:r>
      <w:r w:rsidRPr="00596760">
        <w:t xml:space="preserve"> DEN 229. Accessed on 28 October 2016</w:t>
      </w:r>
      <w:r>
        <w:t xml:space="preserve"> - </w:t>
      </w:r>
      <w:hyperlink r:id="rId25" w:history="1">
        <w:r w:rsidR="00132B77" w:rsidRPr="00122062">
          <w:rPr>
            <w:rStyle w:val="Hyperlink"/>
          </w:rPr>
          <w:t>https://www.aihw.gov.au/reports/dental-oral-health/oral-health-and-dental-care-in-australia/contents/introduction</w:t>
        </w:r>
      </w:hyperlink>
    </w:p>
    <w:p w14:paraId="5B6758E4" w14:textId="232AF893" w:rsidR="00265493" w:rsidRPr="00265493" w:rsidRDefault="00265493" w:rsidP="00265493">
      <w:pPr>
        <w:pStyle w:val="ListParagraph"/>
        <w:numPr>
          <w:ilvl w:val="0"/>
          <w:numId w:val="50"/>
        </w:numPr>
        <w:rPr>
          <w:rStyle w:val="Hyperlink"/>
          <w:rFonts w:eastAsia="Calibri" w:cs="Lao UI"/>
          <w:iCs w:val="0"/>
          <w:color w:val="auto"/>
          <w:u w:val="none"/>
        </w:rPr>
      </w:pPr>
      <w:r w:rsidRPr="00265493">
        <w:rPr>
          <w:rStyle w:val="Hyperlink"/>
          <w:rFonts w:eastAsia="Calibri" w:cs="Lao UI"/>
          <w:iCs w:val="0"/>
          <w:color w:val="auto"/>
          <w:u w:val="none"/>
        </w:rPr>
        <w:t xml:space="preserve">World Health Organisation (1946) Preamble to the Constitution of the World Health Organization as adopted by the International Health Conference, New York, 19-22 </w:t>
      </w:r>
      <w:proofErr w:type="gramStart"/>
      <w:r w:rsidRPr="00265493">
        <w:rPr>
          <w:rStyle w:val="Hyperlink"/>
          <w:rFonts w:eastAsia="Calibri" w:cs="Lao UI"/>
          <w:iCs w:val="0"/>
          <w:color w:val="auto"/>
          <w:u w:val="none"/>
        </w:rPr>
        <w:t>June,</w:t>
      </w:r>
      <w:proofErr w:type="gramEnd"/>
      <w:r w:rsidRPr="00265493">
        <w:rPr>
          <w:rStyle w:val="Hyperlink"/>
          <w:rFonts w:eastAsia="Calibri" w:cs="Lao UI"/>
          <w:iCs w:val="0"/>
          <w:color w:val="auto"/>
          <w:u w:val="none"/>
        </w:rPr>
        <w:t xml:space="preserve"> 1946; signed on 22 July 1946 by the representatives of 61 States (Official Records of the World Health Organization, no. 2, p. 100) and entered into force on 7 April 1948 - </w:t>
      </w:r>
      <w:hyperlink r:id="rId26" w:history="1">
        <w:r w:rsidRPr="008609A5">
          <w:rPr>
            <w:rStyle w:val="Hyperlink"/>
            <w:rFonts w:eastAsia="Calibri" w:cs="Lao UI"/>
            <w:iCs w:val="0"/>
          </w:rPr>
          <w:t>https://www.scirp.org/index.aspx</w:t>
        </w:r>
      </w:hyperlink>
      <w:r>
        <w:rPr>
          <w:rStyle w:val="Hyperlink"/>
          <w:rFonts w:eastAsia="Calibri" w:cs="Lao UI"/>
          <w:iCs w:val="0"/>
          <w:color w:val="auto"/>
          <w:u w:val="none"/>
        </w:rPr>
        <w:t xml:space="preserve"> </w:t>
      </w:r>
    </w:p>
    <w:p w14:paraId="7C4BD1ED" w14:textId="77777777" w:rsidR="00265493" w:rsidRPr="00265493" w:rsidRDefault="00265493" w:rsidP="00265493">
      <w:pPr>
        <w:pStyle w:val="EndnoteText"/>
        <w:spacing w:after="200"/>
        <w:ind w:left="720"/>
        <w:rPr>
          <w:rStyle w:val="Hyperlink"/>
          <w:rFonts w:cs="Lao UI"/>
          <w:color w:val="auto"/>
          <w:sz w:val="22"/>
          <w:szCs w:val="22"/>
          <w:u w:val="none"/>
        </w:rPr>
      </w:pPr>
    </w:p>
    <w:p w14:paraId="74545C8F" w14:textId="20F4AA0E" w:rsidR="00737942" w:rsidRDefault="00737942">
      <w:r>
        <w:br w:type="page"/>
      </w:r>
    </w:p>
    <w:tbl>
      <w:tblPr>
        <w:tblStyle w:val="NTGtable1"/>
        <w:tblW w:w="10343" w:type="dxa"/>
        <w:tblLayout w:type="fixed"/>
        <w:tblLook w:val="0120" w:firstRow="1" w:lastRow="0" w:firstColumn="0" w:lastColumn="1" w:noHBand="0" w:noVBand="0"/>
      </w:tblPr>
      <w:tblGrid>
        <w:gridCol w:w="1980"/>
        <w:gridCol w:w="8363"/>
      </w:tblGrid>
      <w:tr w:rsidR="00DA0F82" w:rsidRPr="00E87DE1" w14:paraId="4C9A7EAE" w14:textId="77777777" w:rsidTr="0038176D">
        <w:trPr>
          <w:cnfStyle w:val="100000000000" w:firstRow="1" w:lastRow="0" w:firstColumn="0" w:lastColumn="0" w:oddVBand="0" w:evenVBand="0" w:oddHBand="0" w:evenHBand="0" w:firstRowFirstColumn="0" w:firstRowLastColumn="0" w:lastRowFirstColumn="0" w:lastRowLastColumn="0"/>
          <w:trHeight w:val="227"/>
        </w:trPr>
        <w:tc>
          <w:tcPr>
            <w:tcW w:w="1980" w:type="dxa"/>
            <w:tcBorders>
              <w:top w:val="single" w:sz="4" w:space="0" w:color="auto"/>
              <w:left w:val="single" w:sz="4" w:space="0" w:color="auto"/>
              <w:bottom w:val="single" w:sz="4" w:space="0" w:color="auto"/>
              <w:right w:val="single" w:sz="4" w:space="0" w:color="auto"/>
            </w:tcBorders>
            <w:tcMar>
              <w:top w:w="57" w:type="dxa"/>
              <w:bottom w:w="57" w:type="dxa"/>
            </w:tcMar>
          </w:tcPr>
          <w:p w14:paraId="028900D8" w14:textId="0E83D164" w:rsidR="00DA0F82" w:rsidRPr="00E87DE1" w:rsidRDefault="00DA0F82" w:rsidP="008612ED">
            <w:pPr>
              <w:spacing w:before="0" w:after="0"/>
            </w:pPr>
            <w:r w:rsidRPr="00E87DE1">
              <w:rPr>
                <w:w w:val="105"/>
              </w:rPr>
              <w:lastRenderedPageBreak/>
              <w:t>Acronyms</w:t>
            </w:r>
          </w:p>
        </w:tc>
        <w:tc>
          <w:tcPr>
            <w:tcW w:w="8363" w:type="dxa"/>
            <w:tcBorders>
              <w:top w:val="single" w:sz="4" w:space="0" w:color="auto"/>
              <w:left w:val="single" w:sz="4" w:space="0" w:color="auto"/>
              <w:bottom w:val="single" w:sz="4" w:space="0" w:color="auto"/>
              <w:right w:val="single" w:sz="4" w:space="0" w:color="auto"/>
            </w:tcBorders>
            <w:tcMar>
              <w:top w:w="57" w:type="dxa"/>
              <w:bottom w:w="57" w:type="dxa"/>
            </w:tcMar>
          </w:tcPr>
          <w:p w14:paraId="5CF20AF0" w14:textId="377EAB4F" w:rsidR="00DA0F82" w:rsidRPr="00E87DE1" w:rsidRDefault="00DA0F82" w:rsidP="008612ED">
            <w:pPr>
              <w:spacing w:before="0" w:after="0"/>
            </w:pPr>
            <w:r w:rsidRPr="00E87DE1">
              <w:rPr>
                <w:w w:val="105"/>
              </w:rPr>
              <w:t>Full</w:t>
            </w:r>
            <w:r w:rsidRPr="00E87DE1">
              <w:rPr>
                <w:spacing w:val="-17"/>
                <w:w w:val="105"/>
              </w:rPr>
              <w:t xml:space="preserve"> </w:t>
            </w:r>
            <w:r w:rsidRPr="00E87DE1">
              <w:rPr>
                <w:w w:val="105"/>
              </w:rPr>
              <w:t>form</w:t>
            </w:r>
          </w:p>
        </w:tc>
      </w:tr>
      <w:tr w:rsidR="00DA0F82" w:rsidRPr="00E87DE1" w14:paraId="69FC71C1" w14:textId="77777777" w:rsidTr="0038176D">
        <w:trPr>
          <w:trHeight w:val="227"/>
        </w:trPr>
        <w:tc>
          <w:tcPr>
            <w:tcW w:w="1980" w:type="dxa"/>
            <w:tcBorders>
              <w:top w:val="single" w:sz="4" w:space="0" w:color="auto"/>
              <w:left w:val="single" w:sz="4" w:space="0" w:color="auto"/>
            </w:tcBorders>
            <w:tcMar>
              <w:top w:w="57" w:type="dxa"/>
              <w:bottom w:w="57" w:type="dxa"/>
            </w:tcMar>
          </w:tcPr>
          <w:p w14:paraId="5DFAB812" w14:textId="4737C676" w:rsidR="00DA0F82" w:rsidRPr="006145BB" w:rsidRDefault="00DA0F82" w:rsidP="008612ED">
            <w:pPr>
              <w:spacing w:before="0" w:after="0"/>
            </w:pPr>
            <w:r w:rsidRPr="00017452">
              <w:rPr>
                <w:rFonts w:cs="Arial"/>
                <w:bCs/>
                <w:lang w:val="en-US"/>
              </w:rPr>
              <w:t>OSHC</w:t>
            </w:r>
          </w:p>
        </w:tc>
        <w:tc>
          <w:tcPr>
            <w:tcW w:w="8363" w:type="dxa"/>
            <w:tcBorders>
              <w:top w:val="single" w:sz="4" w:space="0" w:color="auto"/>
              <w:right w:val="single" w:sz="4" w:space="0" w:color="auto"/>
            </w:tcBorders>
            <w:tcMar>
              <w:top w:w="57" w:type="dxa"/>
              <w:bottom w:w="57" w:type="dxa"/>
            </w:tcMar>
          </w:tcPr>
          <w:p w14:paraId="767462BA" w14:textId="51397A79" w:rsidR="00DA0F82" w:rsidRPr="006145BB" w:rsidRDefault="00DA0F82" w:rsidP="008612ED">
            <w:pPr>
              <w:spacing w:before="0" w:after="0"/>
            </w:pPr>
            <w:r w:rsidRPr="00017452">
              <w:rPr>
                <w:rFonts w:cs="Arial"/>
                <w:bCs/>
                <w:lang w:val="en-US"/>
              </w:rPr>
              <w:t>Outside of School Hours Care services</w:t>
            </w:r>
          </w:p>
        </w:tc>
      </w:tr>
      <w:tr w:rsidR="00DA0F82" w:rsidRPr="00E87DE1" w14:paraId="6C8AC6C5" w14:textId="77777777" w:rsidTr="0038176D">
        <w:trPr>
          <w:cnfStyle w:val="000000010000" w:firstRow="0" w:lastRow="0" w:firstColumn="0" w:lastColumn="0" w:oddVBand="0" w:evenVBand="0" w:oddHBand="0" w:evenHBand="1" w:firstRowFirstColumn="0" w:firstRowLastColumn="0" w:lastRowFirstColumn="0" w:lastRowLastColumn="0"/>
          <w:trHeight w:val="227"/>
        </w:trPr>
        <w:tc>
          <w:tcPr>
            <w:tcW w:w="1980" w:type="dxa"/>
            <w:tcBorders>
              <w:left w:val="single" w:sz="4" w:space="0" w:color="auto"/>
              <w:bottom w:val="single" w:sz="4" w:space="0" w:color="auto"/>
            </w:tcBorders>
            <w:tcMar>
              <w:top w:w="57" w:type="dxa"/>
              <w:bottom w:w="57" w:type="dxa"/>
            </w:tcMar>
          </w:tcPr>
          <w:p w14:paraId="14A4E071" w14:textId="251C6447" w:rsidR="00DA0F82" w:rsidRPr="006145BB" w:rsidRDefault="00DA0F82" w:rsidP="008612ED">
            <w:pPr>
              <w:spacing w:before="0" w:after="0"/>
            </w:pPr>
            <w:r>
              <w:rPr>
                <w:rFonts w:cs="Arial"/>
                <w:bCs/>
                <w:lang w:val="en-US"/>
              </w:rPr>
              <w:t>VET</w:t>
            </w:r>
          </w:p>
        </w:tc>
        <w:tc>
          <w:tcPr>
            <w:tcW w:w="8363" w:type="dxa"/>
            <w:tcBorders>
              <w:bottom w:val="single" w:sz="4" w:space="0" w:color="auto"/>
              <w:right w:val="single" w:sz="4" w:space="0" w:color="auto"/>
            </w:tcBorders>
            <w:tcMar>
              <w:top w:w="57" w:type="dxa"/>
              <w:bottom w:w="57" w:type="dxa"/>
            </w:tcMar>
          </w:tcPr>
          <w:p w14:paraId="14431509" w14:textId="4D3FB5FC" w:rsidR="00DA0F82" w:rsidRPr="006145BB" w:rsidRDefault="00DA0F82" w:rsidP="008612ED">
            <w:pPr>
              <w:spacing w:before="0" w:after="0"/>
            </w:pPr>
            <w:r w:rsidRPr="00017452">
              <w:rPr>
                <w:rFonts w:cs="Arial"/>
                <w:lang w:val="en-US"/>
              </w:rPr>
              <w:t>Vocational Education and Training</w:t>
            </w:r>
          </w:p>
        </w:tc>
      </w:tr>
    </w:tbl>
    <w:p w14:paraId="0C821C29" w14:textId="77777777" w:rsidR="00FE5B5A" w:rsidRDefault="00FE5B5A" w:rsidP="00FE5B5A">
      <w:pPr>
        <w:rPr>
          <w:lang w:eastAsia="en-AU"/>
        </w:rPr>
      </w:pPr>
    </w:p>
    <w:tbl>
      <w:tblPr>
        <w:tblStyle w:val="NTGtable1"/>
        <w:tblW w:w="10348" w:type="dxa"/>
        <w:tblBorders>
          <w:top w:val="single" w:sz="4" w:space="0" w:color="auto"/>
          <w:left w:val="single" w:sz="4" w:space="0" w:color="auto"/>
          <w:bottom w:val="single" w:sz="4" w:space="0" w:color="auto"/>
          <w:right w:val="single" w:sz="4" w:space="0" w:color="auto"/>
        </w:tblBorders>
        <w:tblLook w:val="0480" w:firstRow="0" w:lastRow="0" w:firstColumn="1" w:lastColumn="0" w:noHBand="0" w:noVBand="1"/>
      </w:tblPr>
      <w:tblGrid>
        <w:gridCol w:w="2410"/>
        <w:gridCol w:w="7938"/>
      </w:tblGrid>
      <w:tr w:rsidR="00DA0F82" w14:paraId="3047DE95" w14:textId="77777777" w:rsidTr="00FE72CE">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767EF801" w14:textId="77777777" w:rsidR="00DA0F82" w:rsidRPr="0054507C" w:rsidRDefault="00DA0F82" w:rsidP="008612ED">
            <w:pPr>
              <w:spacing w:before="0" w:after="0"/>
              <w:rPr>
                <w:b/>
              </w:rPr>
            </w:pPr>
            <w:r w:rsidRPr="0054507C">
              <w:rPr>
                <w:b/>
              </w:rPr>
              <w:t>Document title</w:t>
            </w:r>
          </w:p>
        </w:tc>
        <w:tc>
          <w:tcPr>
            <w:tcW w:w="7938" w:type="dxa"/>
            <w:tcMar>
              <w:top w:w="57" w:type="dxa"/>
              <w:bottom w:w="57" w:type="dxa"/>
            </w:tcMar>
          </w:tcPr>
          <w:p w14:paraId="59B51EF2" w14:textId="5C8D886C" w:rsidR="00DA0F82" w:rsidRDefault="007A7E5D" w:rsidP="008612ED">
            <w:pPr>
              <w:spacing w:before="0" w:after="0"/>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2D3DEEA54CB94109A89E4F116745DFC8"/>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D0378">
                  <w:t>School nutrition and healthy eating – policy</w:t>
                </w:r>
              </w:sdtContent>
            </w:sdt>
          </w:p>
        </w:tc>
      </w:tr>
      <w:tr w:rsidR="00DA0F82" w14:paraId="37645F7C" w14:textId="77777777" w:rsidTr="00FE72C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5032B7F2" w14:textId="77777777" w:rsidR="00DA0F82" w:rsidRPr="0054507C" w:rsidRDefault="00DA0F82" w:rsidP="008612ED">
            <w:pPr>
              <w:spacing w:before="0" w:after="0"/>
              <w:rPr>
                <w:b/>
              </w:rPr>
            </w:pPr>
            <w:r w:rsidRPr="0054507C">
              <w:rPr>
                <w:b/>
              </w:rPr>
              <w:t>Contact details</w:t>
            </w:r>
          </w:p>
        </w:tc>
        <w:tc>
          <w:tcPr>
            <w:tcW w:w="7938" w:type="dxa"/>
            <w:tcMar>
              <w:top w:w="57" w:type="dxa"/>
              <w:bottom w:w="57" w:type="dxa"/>
            </w:tcMar>
          </w:tcPr>
          <w:p w14:paraId="4E9B80E5" w14:textId="1C4A1904" w:rsidR="00DA0F82" w:rsidRPr="006145BB" w:rsidRDefault="00DA0F82" w:rsidP="008612ED">
            <w:pPr>
              <w:spacing w:before="0" w:after="0"/>
              <w:cnfStyle w:val="000000010000" w:firstRow="0" w:lastRow="0" w:firstColumn="0" w:lastColumn="0" w:oddVBand="0" w:evenVBand="0" w:oddHBand="0" w:evenHBand="1" w:firstRowFirstColumn="0" w:firstRowLastColumn="0" w:lastRowFirstColumn="0" w:lastRowLastColumn="0"/>
            </w:pPr>
            <w:r>
              <w:t xml:space="preserve">Inclusion and Engagement Services, </w:t>
            </w:r>
            <w:r w:rsidR="001D6D0E">
              <w:t>Inclusion, Wellbeing Programs and Services</w:t>
            </w:r>
            <w:r>
              <w:t xml:space="preserve"> </w:t>
            </w:r>
            <w:hyperlink r:id="rId27" w:history="1">
              <w:r w:rsidRPr="00164680">
                <w:rPr>
                  <w:rStyle w:val="Hyperlink"/>
                </w:rPr>
                <w:t>s</w:t>
              </w:r>
              <w:r w:rsidRPr="0017175A">
                <w:rPr>
                  <w:rStyle w:val="Hyperlink"/>
                </w:rPr>
                <w:t>wipolicy.doe@education.nt.gov.au</w:t>
              </w:r>
            </w:hyperlink>
          </w:p>
        </w:tc>
      </w:tr>
      <w:tr w:rsidR="00DA0F82" w14:paraId="353E9297" w14:textId="77777777" w:rsidTr="00FE72CE">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0AFF39D" w14:textId="77777777" w:rsidR="00DA0F82" w:rsidRPr="0054507C" w:rsidRDefault="00DA0F82" w:rsidP="008612ED">
            <w:pPr>
              <w:spacing w:before="0" w:after="0"/>
              <w:rPr>
                <w:b/>
              </w:rPr>
            </w:pPr>
            <w:r w:rsidRPr="0054507C">
              <w:rPr>
                <w:b/>
              </w:rPr>
              <w:t>Approved by</w:t>
            </w:r>
          </w:p>
        </w:tc>
        <w:tc>
          <w:tcPr>
            <w:tcW w:w="7938" w:type="dxa"/>
            <w:tcMar>
              <w:top w:w="57" w:type="dxa"/>
              <w:bottom w:w="57" w:type="dxa"/>
            </w:tcMar>
          </w:tcPr>
          <w:p w14:paraId="02FBCEA2" w14:textId="7C80AAD1" w:rsidR="00DA0F82" w:rsidRPr="006145BB" w:rsidRDefault="00DA0F82" w:rsidP="008612ED">
            <w:pPr>
              <w:spacing w:before="0" w:after="0"/>
              <w:cnfStyle w:val="000000000000" w:firstRow="0" w:lastRow="0" w:firstColumn="0" w:lastColumn="0" w:oddVBand="0" w:evenVBand="0" w:oddHBand="0" w:evenHBand="0" w:firstRowFirstColumn="0" w:firstRowLastColumn="0" w:lastRowFirstColumn="0" w:lastRowLastColumn="0"/>
            </w:pPr>
            <w:r>
              <w:t>Executive Director Inclusion and Engagement Services</w:t>
            </w:r>
          </w:p>
        </w:tc>
      </w:tr>
      <w:tr w:rsidR="00DA0F82" w14:paraId="625B9B01" w14:textId="77777777" w:rsidTr="00FE72C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3C8A81B3" w14:textId="77777777" w:rsidR="00DA0F82" w:rsidRPr="0054507C" w:rsidRDefault="00DA0F82" w:rsidP="008612ED">
            <w:pPr>
              <w:spacing w:before="0" w:after="0"/>
              <w:rPr>
                <w:b/>
              </w:rPr>
            </w:pPr>
            <w:r w:rsidRPr="0054507C">
              <w:rPr>
                <w:b/>
              </w:rPr>
              <w:t>Date approved</w:t>
            </w:r>
          </w:p>
        </w:tc>
        <w:tc>
          <w:tcPr>
            <w:tcW w:w="7938" w:type="dxa"/>
            <w:tcMar>
              <w:top w:w="57" w:type="dxa"/>
              <w:bottom w:w="57" w:type="dxa"/>
            </w:tcMar>
          </w:tcPr>
          <w:p w14:paraId="630D939B" w14:textId="34A903A0" w:rsidR="00DA0F82" w:rsidRPr="006145BB" w:rsidRDefault="002F2C41" w:rsidP="008612ED">
            <w:pPr>
              <w:spacing w:before="0" w:after="0"/>
              <w:cnfStyle w:val="000000010000" w:firstRow="0" w:lastRow="0" w:firstColumn="0" w:lastColumn="0" w:oddVBand="0" w:evenVBand="0" w:oddHBand="0" w:evenHBand="1" w:firstRowFirstColumn="0" w:firstRowLastColumn="0" w:lastRowFirstColumn="0" w:lastRowLastColumn="0"/>
            </w:pPr>
            <w:r>
              <w:t>18 September 2023</w:t>
            </w:r>
          </w:p>
        </w:tc>
      </w:tr>
      <w:tr w:rsidR="00DA0F82" w14:paraId="45C8D0A9" w14:textId="77777777" w:rsidTr="00FE72CE">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E697752" w14:textId="77777777" w:rsidR="00DA0F82" w:rsidRPr="0054507C" w:rsidRDefault="00DA0F82" w:rsidP="008612ED">
            <w:pPr>
              <w:spacing w:before="0" w:after="0"/>
              <w:rPr>
                <w:b/>
              </w:rPr>
            </w:pPr>
            <w:r w:rsidRPr="0054507C">
              <w:rPr>
                <w:b/>
              </w:rPr>
              <w:t>TRM number</w:t>
            </w:r>
          </w:p>
        </w:tc>
        <w:tc>
          <w:tcPr>
            <w:tcW w:w="7938" w:type="dxa"/>
            <w:tcMar>
              <w:top w:w="57" w:type="dxa"/>
              <w:bottom w:w="57" w:type="dxa"/>
            </w:tcMar>
          </w:tcPr>
          <w:p w14:paraId="4C68FA8D" w14:textId="76B95BFE" w:rsidR="00DA0F82" w:rsidRPr="006145BB" w:rsidRDefault="00DA0F82" w:rsidP="008612ED">
            <w:pPr>
              <w:spacing w:before="0" w:after="0"/>
              <w:cnfStyle w:val="000000000000" w:firstRow="0" w:lastRow="0" w:firstColumn="0" w:lastColumn="0" w:oddVBand="0" w:evenVBand="0" w:oddHBand="0" w:evenHBand="0" w:firstRowFirstColumn="0" w:firstRowLastColumn="0" w:lastRowFirstColumn="0" w:lastRowLastColumn="0"/>
            </w:pPr>
            <w:proofErr w:type="gramStart"/>
            <w:r>
              <w:t>50:D</w:t>
            </w:r>
            <w:proofErr w:type="gramEnd"/>
            <w:r>
              <w:t>22:</w:t>
            </w:r>
            <w:r w:rsidRPr="008465A1">
              <w:t>108946</w:t>
            </w:r>
          </w:p>
        </w:tc>
      </w:tr>
    </w:tbl>
    <w:p w14:paraId="43F9B3F1"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5B5A" w:rsidRPr="00E87DE1" w14:paraId="7BC7CD39" w14:textId="77777777" w:rsidTr="00FE72CE">
        <w:trPr>
          <w:cnfStyle w:val="100000000000" w:firstRow="1" w:lastRow="0" w:firstColumn="0" w:lastColumn="0" w:oddVBand="0" w:evenVBand="0" w:oddHBand="0" w:evenHBand="0" w:firstRowFirstColumn="0" w:firstRowLastColumn="0" w:lastRowFirstColumn="0" w:lastRowLastColumn="0"/>
          <w:trHeight w:val="227"/>
        </w:trPr>
        <w:tc>
          <w:tcPr>
            <w:tcW w:w="1129" w:type="dxa"/>
            <w:tcBorders>
              <w:top w:val="single" w:sz="4" w:space="0" w:color="auto"/>
              <w:left w:val="single" w:sz="4" w:space="0" w:color="auto"/>
              <w:bottom w:val="single" w:sz="4" w:space="0" w:color="auto"/>
            </w:tcBorders>
            <w:tcMar>
              <w:top w:w="57" w:type="dxa"/>
              <w:bottom w:w="57" w:type="dxa"/>
            </w:tcMar>
          </w:tcPr>
          <w:p w14:paraId="5D790881" w14:textId="77777777" w:rsidR="00FE5B5A" w:rsidRPr="00E87DE1" w:rsidRDefault="00FE5B5A" w:rsidP="008612ED">
            <w:pPr>
              <w:spacing w:before="0" w:after="0"/>
            </w:pPr>
            <w:r w:rsidRPr="00E87DE1">
              <w:rPr>
                <w:w w:val="105"/>
              </w:rPr>
              <w:t>Version</w:t>
            </w:r>
          </w:p>
        </w:tc>
        <w:tc>
          <w:tcPr>
            <w:tcW w:w="2268" w:type="dxa"/>
            <w:tcBorders>
              <w:top w:val="single" w:sz="4" w:space="0" w:color="auto"/>
              <w:bottom w:val="single" w:sz="4" w:space="0" w:color="auto"/>
            </w:tcBorders>
            <w:tcMar>
              <w:top w:w="57" w:type="dxa"/>
              <w:bottom w:w="57" w:type="dxa"/>
            </w:tcMar>
          </w:tcPr>
          <w:p w14:paraId="0748228B" w14:textId="77777777" w:rsidR="00FE5B5A" w:rsidRPr="00E87DE1" w:rsidRDefault="00FE5B5A" w:rsidP="008612ED">
            <w:pPr>
              <w:spacing w:before="0" w:after="0"/>
            </w:pPr>
            <w:r w:rsidRPr="00E87DE1">
              <w:rPr>
                <w:w w:val="105"/>
              </w:rPr>
              <w:t>Date</w:t>
            </w:r>
          </w:p>
        </w:tc>
        <w:tc>
          <w:tcPr>
            <w:tcW w:w="2552" w:type="dxa"/>
            <w:tcBorders>
              <w:top w:val="single" w:sz="4" w:space="0" w:color="auto"/>
              <w:bottom w:val="single" w:sz="4" w:space="0" w:color="auto"/>
            </w:tcBorders>
            <w:tcMar>
              <w:top w:w="57" w:type="dxa"/>
              <w:bottom w:w="57" w:type="dxa"/>
            </w:tcMar>
          </w:tcPr>
          <w:p w14:paraId="7561F4A0" w14:textId="77777777" w:rsidR="00FE5B5A" w:rsidRPr="00E87DE1" w:rsidRDefault="00FE5B5A" w:rsidP="008612ED">
            <w:pPr>
              <w:spacing w:before="0" w:after="0"/>
            </w:pPr>
            <w:r w:rsidRPr="00E87DE1">
              <w:rPr>
                <w:w w:val="105"/>
              </w:rPr>
              <w:t>Author</w:t>
            </w:r>
          </w:p>
        </w:tc>
        <w:tc>
          <w:tcPr>
            <w:tcW w:w="4394" w:type="dxa"/>
            <w:tcBorders>
              <w:top w:val="single" w:sz="4" w:space="0" w:color="auto"/>
              <w:bottom w:val="single" w:sz="4" w:space="0" w:color="auto"/>
              <w:right w:val="single" w:sz="4" w:space="0" w:color="auto"/>
            </w:tcBorders>
            <w:tcMar>
              <w:top w:w="57" w:type="dxa"/>
              <w:bottom w:w="57" w:type="dxa"/>
            </w:tcMar>
          </w:tcPr>
          <w:p w14:paraId="49F29EED" w14:textId="77777777" w:rsidR="00FE5B5A" w:rsidRPr="00E87DE1" w:rsidRDefault="00FE5B5A" w:rsidP="008612ED">
            <w:pPr>
              <w:spacing w:before="0" w:after="0"/>
            </w:pPr>
            <w:r w:rsidRPr="00E87DE1">
              <w:t>Changes made</w:t>
            </w:r>
          </w:p>
        </w:tc>
      </w:tr>
      <w:tr w:rsidR="00DA0F82" w:rsidRPr="00E87DE1" w14:paraId="5E71A2FF" w14:textId="77777777" w:rsidTr="00FE72CE">
        <w:trPr>
          <w:trHeight w:val="227"/>
        </w:trPr>
        <w:tc>
          <w:tcPr>
            <w:tcW w:w="1129" w:type="dxa"/>
            <w:tcBorders>
              <w:top w:val="single" w:sz="4" w:space="0" w:color="auto"/>
            </w:tcBorders>
            <w:tcMar>
              <w:top w:w="57" w:type="dxa"/>
              <w:bottom w:w="57" w:type="dxa"/>
            </w:tcMar>
          </w:tcPr>
          <w:p w14:paraId="3B190FD3" w14:textId="0FDBE3A1" w:rsidR="00DA0F82" w:rsidRPr="006145BB" w:rsidRDefault="00DA0F82" w:rsidP="008612ED">
            <w:pPr>
              <w:spacing w:before="0" w:after="0"/>
            </w:pPr>
            <w:r w:rsidRPr="005E199C">
              <w:t>1</w:t>
            </w:r>
          </w:p>
        </w:tc>
        <w:tc>
          <w:tcPr>
            <w:tcW w:w="2268" w:type="dxa"/>
            <w:tcBorders>
              <w:top w:val="single" w:sz="4" w:space="0" w:color="auto"/>
            </w:tcBorders>
            <w:tcMar>
              <w:top w:w="57" w:type="dxa"/>
              <w:bottom w:w="57" w:type="dxa"/>
            </w:tcMar>
          </w:tcPr>
          <w:p w14:paraId="4B80DEE7" w14:textId="14AB0838" w:rsidR="00DA0F82" w:rsidRPr="006145BB" w:rsidRDefault="00DA0F82" w:rsidP="008612ED">
            <w:pPr>
              <w:spacing w:before="0" w:after="0"/>
            </w:pPr>
            <w:r w:rsidRPr="005E199C">
              <w:t>July 2009</w:t>
            </w:r>
          </w:p>
        </w:tc>
        <w:tc>
          <w:tcPr>
            <w:tcW w:w="2552" w:type="dxa"/>
            <w:tcBorders>
              <w:top w:val="single" w:sz="4" w:space="0" w:color="auto"/>
            </w:tcBorders>
            <w:tcMar>
              <w:top w:w="57" w:type="dxa"/>
              <w:bottom w:w="57" w:type="dxa"/>
            </w:tcMar>
          </w:tcPr>
          <w:p w14:paraId="29F4282C" w14:textId="0A2C0712" w:rsidR="00DA0F82" w:rsidRPr="006145BB" w:rsidRDefault="00DA0F82" w:rsidP="008612ED">
            <w:pPr>
              <w:spacing w:before="0" w:after="0"/>
            </w:pPr>
            <w:r>
              <w:t>Student Services Division</w:t>
            </w:r>
          </w:p>
        </w:tc>
        <w:tc>
          <w:tcPr>
            <w:tcW w:w="4394" w:type="dxa"/>
            <w:tcBorders>
              <w:top w:val="single" w:sz="4" w:space="0" w:color="auto"/>
            </w:tcBorders>
            <w:tcMar>
              <w:top w:w="57" w:type="dxa"/>
              <w:bottom w:w="57" w:type="dxa"/>
            </w:tcMar>
          </w:tcPr>
          <w:p w14:paraId="16B5FB2D" w14:textId="716BD0A5" w:rsidR="00DA0F82" w:rsidRPr="006145BB" w:rsidRDefault="00DA0F82" w:rsidP="008612ED">
            <w:pPr>
              <w:spacing w:before="0" w:after="0"/>
            </w:pPr>
            <w:r w:rsidRPr="006145BB">
              <w:t>First version</w:t>
            </w:r>
          </w:p>
        </w:tc>
      </w:tr>
      <w:tr w:rsidR="00DA0F82" w:rsidRPr="00E87DE1" w14:paraId="54AB4080" w14:textId="77777777" w:rsidTr="00FE72CE">
        <w:trPr>
          <w:cnfStyle w:val="000000010000" w:firstRow="0" w:lastRow="0" w:firstColumn="0" w:lastColumn="0" w:oddVBand="0" w:evenVBand="0" w:oddHBand="0" w:evenHBand="1" w:firstRowFirstColumn="0" w:firstRowLastColumn="0" w:lastRowFirstColumn="0" w:lastRowLastColumn="0"/>
          <w:trHeight w:val="227"/>
        </w:trPr>
        <w:tc>
          <w:tcPr>
            <w:tcW w:w="1129" w:type="dxa"/>
            <w:tcBorders>
              <w:bottom w:val="nil"/>
            </w:tcBorders>
            <w:tcMar>
              <w:top w:w="57" w:type="dxa"/>
              <w:bottom w:w="57" w:type="dxa"/>
            </w:tcMar>
          </w:tcPr>
          <w:p w14:paraId="4886EC93" w14:textId="50302FB2" w:rsidR="00DA0F82" w:rsidRPr="006145BB" w:rsidRDefault="00DA0F82" w:rsidP="008612ED">
            <w:pPr>
              <w:spacing w:before="0" w:after="0"/>
            </w:pPr>
            <w:r>
              <w:t>2</w:t>
            </w:r>
          </w:p>
        </w:tc>
        <w:tc>
          <w:tcPr>
            <w:tcW w:w="2268" w:type="dxa"/>
            <w:tcBorders>
              <w:bottom w:val="nil"/>
            </w:tcBorders>
            <w:tcMar>
              <w:top w:w="57" w:type="dxa"/>
              <w:bottom w:w="57" w:type="dxa"/>
            </w:tcMar>
          </w:tcPr>
          <w:p w14:paraId="7B2E985E" w14:textId="63A28CEA" w:rsidR="00DA0F82" w:rsidRPr="006145BB" w:rsidRDefault="00DA0F82" w:rsidP="008612ED">
            <w:pPr>
              <w:spacing w:before="0" w:after="0"/>
            </w:pPr>
            <w:r>
              <w:t>October 2011</w:t>
            </w:r>
          </w:p>
        </w:tc>
        <w:tc>
          <w:tcPr>
            <w:tcW w:w="2552" w:type="dxa"/>
            <w:tcBorders>
              <w:bottom w:val="nil"/>
            </w:tcBorders>
            <w:tcMar>
              <w:top w:w="57" w:type="dxa"/>
              <w:bottom w:w="57" w:type="dxa"/>
            </w:tcMar>
          </w:tcPr>
          <w:p w14:paraId="45984D9A" w14:textId="6E04D142" w:rsidR="00DA0F82" w:rsidRPr="006145BB" w:rsidRDefault="00DA0F82" w:rsidP="008612ED">
            <w:pPr>
              <w:spacing w:before="0" w:after="0"/>
            </w:pPr>
            <w:r>
              <w:t>Student Services Division</w:t>
            </w:r>
          </w:p>
        </w:tc>
        <w:tc>
          <w:tcPr>
            <w:tcW w:w="4394" w:type="dxa"/>
            <w:tcBorders>
              <w:bottom w:val="nil"/>
            </w:tcBorders>
            <w:tcMar>
              <w:top w:w="57" w:type="dxa"/>
              <w:bottom w:w="57" w:type="dxa"/>
            </w:tcMar>
          </w:tcPr>
          <w:p w14:paraId="7EE5E5BB" w14:textId="49DCD287" w:rsidR="00DA0F82" w:rsidRPr="006145BB" w:rsidRDefault="00DA0F82" w:rsidP="008612ED">
            <w:pPr>
              <w:spacing w:before="0" w:after="0"/>
            </w:pPr>
            <w:r>
              <w:t>Updated to reflect National healthy school canteen guidelines</w:t>
            </w:r>
          </w:p>
        </w:tc>
      </w:tr>
      <w:tr w:rsidR="00DA0F82" w:rsidRPr="00E87DE1" w14:paraId="33145FB7" w14:textId="77777777" w:rsidTr="00FE72CE">
        <w:trPr>
          <w:trHeight w:val="227"/>
        </w:trPr>
        <w:tc>
          <w:tcPr>
            <w:tcW w:w="1129" w:type="dxa"/>
            <w:tcMar>
              <w:top w:w="57" w:type="dxa"/>
              <w:bottom w:w="57" w:type="dxa"/>
            </w:tcMar>
          </w:tcPr>
          <w:p w14:paraId="48D65B39" w14:textId="37856121" w:rsidR="00DA0F82" w:rsidRPr="006145BB" w:rsidRDefault="00DA0F82" w:rsidP="008612ED">
            <w:pPr>
              <w:spacing w:before="0" w:after="0"/>
            </w:pPr>
            <w:r>
              <w:t>3</w:t>
            </w:r>
          </w:p>
        </w:tc>
        <w:tc>
          <w:tcPr>
            <w:tcW w:w="2268" w:type="dxa"/>
            <w:tcMar>
              <w:top w:w="57" w:type="dxa"/>
              <w:bottom w:w="57" w:type="dxa"/>
            </w:tcMar>
          </w:tcPr>
          <w:p w14:paraId="627662AF" w14:textId="12EC11E6" w:rsidR="00DA0F82" w:rsidRPr="006145BB" w:rsidRDefault="00DA0F82" w:rsidP="008612ED">
            <w:pPr>
              <w:spacing w:before="0" w:after="0"/>
            </w:pPr>
            <w:r>
              <w:t>July 2013</w:t>
            </w:r>
          </w:p>
        </w:tc>
        <w:tc>
          <w:tcPr>
            <w:tcW w:w="2552" w:type="dxa"/>
            <w:tcMar>
              <w:top w:w="57" w:type="dxa"/>
              <w:bottom w:w="57" w:type="dxa"/>
            </w:tcMar>
          </w:tcPr>
          <w:p w14:paraId="72B4D0A0" w14:textId="05774F0B" w:rsidR="00DA0F82" w:rsidRPr="006145BB" w:rsidRDefault="00DA0F82" w:rsidP="008612ED">
            <w:pPr>
              <w:spacing w:before="0" w:after="0"/>
            </w:pPr>
            <w:r>
              <w:t>School Support Services</w:t>
            </w:r>
          </w:p>
        </w:tc>
        <w:tc>
          <w:tcPr>
            <w:tcW w:w="4394" w:type="dxa"/>
            <w:tcMar>
              <w:top w:w="57" w:type="dxa"/>
              <w:bottom w:w="57" w:type="dxa"/>
            </w:tcMar>
          </w:tcPr>
          <w:p w14:paraId="1DB49066" w14:textId="4D200C19" w:rsidR="00DA0F82" w:rsidRPr="006145BB" w:rsidRDefault="00DA0F82" w:rsidP="008612ED">
            <w:pPr>
              <w:spacing w:before="0" w:after="0"/>
            </w:pPr>
            <w:r>
              <w:t>File 2017/545; EDOC: 2017/32452</w:t>
            </w:r>
          </w:p>
        </w:tc>
      </w:tr>
      <w:tr w:rsidR="00DA0F82" w:rsidRPr="00E87DE1" w14:paraId="65F2A53C" w14:textId="77777777" w:rsidTr="00FE72CE">
        <w:trPr>
          <w:cnfStyle w:val="000000010000" w:firstRow="0" w:lastRow="0" w:firstColumn="0" w:lastColumn="0" w:oddVBand="0" w:evenVBand="0" w:oddHBand="0" w:evenHBand="1" w:firstRowFirstColumn="0" w:firstRowLastColumn="0" w:lastRowFirstColumn="0" w:lastRowLastColumn="0"/>
          <w:trHeight w:val="227"/>
        </w:trPr>
        <w:tc>
          <w:tcPr>
            <w:tcW w:w="1129" w:type="dxa"/>
            <w:tcMar>
              <w:top w:w="57" w:type="dxa"/>
              <w:bottom w:w="57" w:type="dxa"/>
            </w:tcMar>
          </w:tcPr>
          <w:p w14:paraId="32129A53" w14:textId="60E7B967" w:rsidR="00DA0F82" w:rsidRPr="006145BB" w:rsidRDefault="00BC12ED" w:rsidP="008612ED">
            <w:pPr>
              <w:spacing w:before="0" w:after="0"/>
            </w:pPr>
            <w:r>
              <w:t>4</w:t>
            </w:r>
          </w:p>
        </w:tc>
        <w:tc>
          <w:tcPr>
            <w:tcW w:w="2268" w:type="dxa"/>
            <w:tcMar>
              <w:top w:w="57" w:type="dxa"/>
              <w:bottom w:w="57" w:type="dxa"/>
            </w:tcMar>
          </w:tcPr>
          <w:p w14:paraId="0EB71D93" w14:textId="111A9B6D" w:rsidR="00DA0F82" w:rsidRPr="006145BB" w:rsidRDefault="00DA0F82" w:rsidP="008612ED">
            <w:pPr>
              <w:spacing w:before="0" w:after="0"/>
            </w:pPr>
            <w:r>
              <w:t>October 2017</w:t>
            </w:r>
          </w:p>
        </w:tc>
        <w:tc>
          <w:tcPr>
            <w:tcW w:w="2552" w:type="dxa"/>
            <w:tcMar>
              <w:top w:w="57" w:type="dxa"/>
              <w:bottom w:w="57" w:type="dxa"/>
            </w:tcMar>
          </w:tcPr>
          <w:p w14:paraId="21F64574" w14:textId="44C970F3" w:rsidR="00DA0F82" w:rsidRPr="006145BB" w:rsidRDefault="00DA0F82" w:rsidP="008612ED">
            <w:pPr>
              <w:spacing w:before="0" w:after="0"/>
            </w:pPr>
            <w:r>
              <w:t>Student Wellbeing and Inclusion</w:t>
            </w:r>
          </w:p>
        </w:tc>
        <w:tc>
          <w:tcPr>
            <w:tcW w:w="4394" w:type="dxa"/>
            <w:tcMar>
              <w:top w:w="57" w:type="dxa"/>
              <w:bottom w:w="57" w:type="dxa"/>
            </w:tcMar>
          </w:tcPr>
          <w:p w14:paraId="7FD33DB1" w14:textId="7EFEF7A2" w:rsidR="00DA0F82" w:rsidRPr="006145BB" w:rsidRDefault="00DA0F82" w:rsidP="008612ED">
            <w:pPr>
              <w:spacing w:before="0" w:after="0"/>
            </w:pPr>
            <w:r>
              <w:t>File 2018/3857; EDOC: 2018/96643</w:t>
            </w:r>
          </w:p>
        </w:tc>
      </w:tr>
      <w:tr w:rsidR="00E25F56" w:rsidRPr="00E87DE1" w14:paraId="782F0A2D" w14:textId="77777777" w:rsidTr="00FE72CE">
        <w:trPr>
          <w:trHeight w:val="227"/>
        </w:trPr>
        <w:tc>
          <w:tcPr>
            <w:tcW w:w="1129" w:type="dxa"/>
            <w:tcBorders>
              <w:bottom w:val="single" w:sz="4" w:space="0" w:color="1F1F5F" w:themeColor="text1"/>
            </w:tcBorders>
            <w:tcMar>
              <w:top w:w="57" w:type="dxa"/>
              <w:bottom w:w="57" w:type="dxa"/>
            </w:tcMar>
          </w:tcPr>
          <w:p w14:paraId="31414981" w14:textId="3FA660F6" w:rsidR="00E25F56" w:rsidRDefault="00E25F56" w:rsidP="008612ED">
            <w:pPr>
              <w:spacing w:after="0"/>
            </w:pPr>
            <w:r>
              <w:t>5</w:t>
            </w:r>
          </w:p>
        </w:tc>
        <w:tc>
          <w:tcPr>
            <w:tcW w:w="2268" w:type="dxa"/>
            <w:tcBorders>
              <w:bottom w:val="single" w:sz="4" w:space="0" w:color="1F1F5F" w:themeColor="text1"/>
            </w:tcBorders>
            <w:tcMar>
              <w:top w:w="57" w:type="dxa"/>
              <w:bottom w:w="57" w:type="dxa"/>
            </w:tcMar>
          </w:tcPr>
          <w:p w14:paraId="30AD97A5" w14:textId="649257C3" w:rsidR="00E25F56" w:rsidRDefault="002F2C41" w:rsidP="008612ED">
            <w:pPr>
              <w:spacing w:after="0"/>
            </w:pPr>
            <w:r>
              <w:t>September</w:t>
            </w:r>
            <w:r w:rsidR="00E25F56">
              <w:t xml:space="preserve"> 2023</w:t>
            </w:r>
          </w:p>
        </w:tc>
        <w:tc>
          <w:tcPr>
            <w:tcW w:w="2552" w:type="dxa"/>
            <w:tcBorders>
              <w:bottom w:val="single" w:sz="4" w:space="0" w:color="1F1F5F" w:themeColor="text1"/>
            </w:tcBorders>
            <w:tcMar>
              <w:top w:w="57" w:type="dxa"/>
              <w:bottom w:w="57" w:type="dxa"/>
            </w:tcMar>
          </w:tcPr>
          <w:p w14:paraId="0E9F5280" w14:textId="61AE81B2" w:rsidR="00E25F56" w:rsidRDefault="001D6D0E" w:rsidP="008612ED">
            <w:pPr>
              <w:spacing w:after="0"/>
            </w:pPr>
            <w:r>
              <w:t xml:space="preserve">Inclusion, </w:t>
            </w:r>
            <w:r w:rsidR="00E25F56">
              <w:t>Wellbeing</w:t>
            </w:r>
            <w:r>
              <w:t xml:space="preserve"> Programs and Services</w:t>
            </w:r>
          </w:p>
        </w:tc>
        <w:tc>
          <w:tcPr>
            <w:tcW w:w="4394" w:type="dxa"/>
            <w:tcBorders>
              <w:bottom w:val="single" w:sz="4" w:space="0" w:color="1F1F5F" w:themeColor="text1"/>
            </w:tcBorders>
            <w:tcMar>
              <w:top w:w="57" w:type="dxa"/>
              <w:bottom w:w="57" w:type="dxa"/>
            </w:tcMar>
          </w:tcPr>
          <w:p w14:paraId="112CA127" w14:textId="6596CB8C" w:rsidR="00E25F56" w:rsidRDefault="00E24A6D" w:rsidP="008612ED">
            <w:pPr>
              <w:spacing w:after="0"/>
            </w:pPr>
            <w:r>
              <w:t>Administrative amendments made to align roles and responsibilities to the structural alignment in effect from 1 July 2022 including NTG template and minor formatting</w:t>
            </w:r>
          </w:p>
        </w:tc>
      </w:tr>
    </w:tbl>
    <w:p w14:paraId="2FA8ADF9" w14:textId="0263B0B5" w:rsidR="00FE5B5A" w:rsidRDefault="00FE5B5A" w:rsidP="0036577F">
      <w:pPr>
        <w:rPr>
          <w:lang w:eastAsia="en-AU"/>
        </w:rPr>
      </w:pPr>
    </w:p>
    <w:sectPr w:rsidR="00FE5B5A" w:rsidSect="00CD7B5D">
      <w:footerReference w:type="default" r:id="rId28"/>
      <w:headerReference w:type="first" r:id="rId29"/>
      <w:pgSz w:w="11906" w:h="16838" w:code="9"/>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AA51" w14:textId="77777777" w:rsidR="00EA4F4B" w:rsidRDefault="00EA4F4B">
      <w:r>
        <w:separator/>
      </w:r>
    </w:p>
  </w:endnote>
  <w:endnote w:type="continuationSeparator" w:id="0">
    <w:p w14:paraId="3B6F6A9B" w14:textId="77777777" w:rsidR="00EA4F4B" w:rsidRDefault="00EA4F4B">
      <w:r>
        <w:continuationSeparator/>
      </w:r>
    </w:p>
  </w:endnote>
  <w:endnote w:type="continuationNotice" w:id="1">
    <w:p w14:paraId="5274F1E6" w14:textId="77777777" w:rsidR="00EA4F4B" w:rsidRDefault="00EA4F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CA9" w14:textId="77777777" w:rsidR="00494C03" w:rsidRPr="00F538BD" w:rsidRDefault="00494C03"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5F1" w14:textId="77777777" w:rsidR="00494C03" w:rsidRPr="00F538BD" w:rsidRDefault="00494C03"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FF0" w14:textId="77777777" w:rsidR="00494C03" w:rsidRPr="00832EDE" w:rsidRDefault="00494C03" w:rsidP="001852AF">
    <w:pPr>
      <w:spacing w:after="0"/>
      <w:rPr>
        <w:sz w:val="16"/>
        <w:szCs w:val="16"/>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94C03" w:rsidRPr="00132658" w14:paraId="686C837F" w14:textId="77777777" w:rsidTr="00494C03">
      <w:trPr>
        <w:cantSplit/>
        <w:trHeight w:hRule="exact" w:val="850"/>
        <w:tblHeader/>
      </w:trPr>
      <w:tc>
        <w:tcPr>
          <w:tcW w:w="10318" w:type="dxa"/>
          <w:vAlign w:val="bottom"/>
        </w:tcPr>
        <w:p w14:paraId="50B5585F" w14:textId="4AF30CF2" w:rsidR="00494C03" w:rsidRDefault="00494C03"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Pr>
              <w:rStyle w:val="PageNumber"/>
              <w:b/>
            </w:rPr>
            <w:t xml:space="preserve"> </w:t>
          </w:r>
          <w:r w:rsidRPr="005C3FB5">
            <w:rPr>
              <w:rStyle w:val="PageNumber"/>
            </w:rPr>
            <w:t>– School nutrition and health</w:t>
          </w:r>
          <w:r w:rsidR="00CC6A7B">
            <w:rPr>
              <w:rStyle w:val="PageNumber"/>
            </w:rPr>
            <w:t>y</w:t>
          </w:r>
          <w:r w:rsidRPr="005C3FB5">
            <w:rPr>
              <w:rStyle w:val="PageNumber"/>
            </w:rPr>
            <w:t xml:space="preserve"> eating</w:t>
          </w:r>
        </w:p>
        <w:p w14:paraId="580C1AB6" w14:textId="14397740" w:rsidR="00494C03" w:rsidRPr="00CE6614" w:rsidRDefault="00494C03" w:rsidP="00CB6A67">
          <w:pPr>
            <w:spacing w:after="0"/>
            <w:rPr>
              <w:rStyle w:val="PageNumber"/>
            </w:rPr>
          </w:pPr>
          <w:r>
            <w:rPr>
              <w:rStyle w:val="PageNumber"/>
            </w:rPr>
            <w:t>Published</w:t>
          </w:r>
          <w:r w:rsidRPr="00CE6614">
            <w:rPr>
              <w:rStyle w:val="PageNumber"/>
            </w:rPr>
            <w:t xml:space="preserve"> </w:t>
          </w:r>
          <w:r w:rsidR="002F2C41">
            <w:rPr>
              <w:rStyle w:val="PageNumber"/>
            </w:rPr>
            <w:t>September 2023</w:t>
          </w:r>
        </w:p>
        <w:p w14:paraId="6369AF07" w14:textId="77777777" w:rsidR="00494C03" w:rsidRPr="00AC4488" w:rsidRDefault="00494C03"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25FD84D1" w14:textId="77777777" w:rsidR="00494C03" w:rsidRDefault="00494C03" w:rsidP="001852AF">
    <w:pPr>
      <w:pStyle w:val="Hidden"/>
      <w:ind w:firstLine="0"/>
    </w:pPr>
  </w:p>
  <w:p w14:paraId="09DD0C10" w14:textId="77777777" w:rsidR="00494C03" w:rsidRPr="001852AF" w:rsidRDefault="00494C03"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64FC" w14:textId="77777777" w:rsidR="00EA4F4B" w:rsidRDefault="00EA4F4B">
      <w:r>
        <w:separator/>
      </w:r>
    </w:p>
  </w:footnote>
  <w:footnote w:type="continuationSeparator" w:id="0">
    <w:p w14:paraId="29571168" w14:textId="77777777" w:rsidR="00EA4F4B" w:rsidRDefault="00EA4F4B">
      <w:r>
        <w:continuationSeparator/>
      </w:r>
    </w:p>
  </w:footnote>
  <w:footnote w:type="continuationNotice" w:id="1">
    <w:p w14:paraId="14DA1F9B" w14:textId="77777777" w:rsidR="00EA4F4B" w:rsidRDefault="00EA4F4B">
      <w:pPr>
        <w:spacing w:after="0"/>
      </w:pPr>
    </w:p>
  </w:footnote>
  <w:footnote w:id="2">
    <w:p w14:paraId="2B43A39F" w14:textId="0E1EC5DA" w:rsidR="005942C6" w:rsidRPr="005942C6" w:rsidRDefault="005942C6" w:rsidP="005942C6">
      <w:pPr>
        <w:pStyle w:val="EndnoteText"/>
        <w:rPr>
          <w:lang w:val="en-US"/>
        </w:rPr>
      </w:pPr>
      <w:r>
        <w:rPr>
          <w:rStyle w:val="FootnoteReference"/>
        </w:rPr>
        <w:footnoteRef/>
      </w:r>
      <w:r>
        <w:t xml:space="preserve"> </w:t>
      </w:r>
      <w:r w:rsidRPr="00E371FE">
        <w:rPr>
          <w:sz w:val="16"/>
          <w:szCs w:val="16"/>
        </w:rPr>
        <w:t xml:space="preserve">National Centre for Chronic Disease Prevention – Division of Population Health. </w:t>
      </w:r>
      <w:r w:rsidRPr="00E371FE">
        <w:rPr>
          <w:i/>
          <w:sz w:val="16"/>
          <w:szCs w:val="16"/>
        </w:rPr>
        <w:t xml:space="preserve">Health and Academic Achievement. </w:t>
      </w:r>
      <w:r w:rsidRPr="00E371FE">
        <w:rPr>
          <w:sz w:val="16"/>
          <w:szCs w:val="16"/>
        </w:rPr>
        <w:t>May 2014</w:t>
      </w:r>
      <w:r>
        <w:rPr>
          <w:sz w:val="16"/>
          <w:szCs w:val="16"/>
        </w:rPr>
        <w:t xml:space="preserve"> - </w:t>
      </w:r>
      <w:hyperlink r:id="rId1" w:history="1">
        <w:r>
          <w:rPr>
            <w:rStyle w:val="Hyperlink"/>
            <w:sz w:val="16"/>
            <w:szCs w:val="16"/>
          </w:rPr>
          <w:t>https://www.cdc.gov/about/organization/cio-orgcharts/nccdphp.html</w:t>
        </w:r>
      </w:hyperlink>
    </w:p>
  </w:footnote>
  <w:footnote w:id="3">
    <w:p w14:paraId="7EE4AE84" w14:textId="1A0AFC3B" w:rsidR="005942C6" w:rsidRDefault="005942C6">
      <w:pPr>
        <w:pStyle w:val="FootnoteText"/>
      </w:pPr>
      <w:r>
        <w:rPr>
          <w:rStyle w:val="FootnoteReference"/>
        </w:rPr>
        <w:footnoteRef/>
      </w:r>
      <w:r>
        <w:t xml:space="preserve"> </w:t>
      </w:r>
      <w:r w:rsidRPr="0016178B">
        <w:rPr>
          <w:sz w:val="16"/>
          <w:szCs w:val="16"/>
        </w:rPr>
        <w:t xml:space="preserve">Lawlis, T, Knox, M and Jamieson, M. Dietitians Association of Australia. 2016. </w:t>
      </w:r>
      <w:r w:rsidRPr="0016178B">
        <w:rPr>
          <w:i/>
          <w:sz w:val="16"/>
          <w:szCs w:val="16"/>
        </w:rPr>
        <w:t>School Canteens: A systematic review of the policy, perceptions and use from an Australian Perspective</w:t>
      </w:r>
      <w:r w:rsidRPr="0016178B">
        <w:rPr>
          <w:sz w:val="16"/>
          <w:szCs w:val="16"/>
        </w:rPr>
        <w:t>.73:389-398 10.1111/1747-0080.12279.</w:t>
      </w:r>
    </w:p>
  </w:footnote>
  <w:footnote w:id="4">
    <w:p w14:paraId="3B358BC2" w14:textId="7F5C0045" w:rsidR="005942C6" w:rsidRDefault="005942C6" w:rsidP="005942C6">
      <w:pPr>
        <w:pStyle w:val="EndnoteText"/>
        <w:contextualSpacing/>
      </w:pPr>
      <w:r>
        <w:rPr>
          <w:rStyle w:val="FootnoteReference"/>
        </w:rPr>
        <w:footnoteRef/>
      </w:r>
      <w:r>
        <w:t xml:space="preserve"> </w:t>
      </w:r>
      <w:r w:rsidRPr="00293BF6">
        <w:rPr>
          <w:sz w:val="16"/>
          <w:szCs w:val="16"/>
        </w:rPr>
        <w:t xml:space="preserve">Australian Institute of Health and Welfare </w:t>
      </w:r>
      <w:r>
        <w:rPr>
          <w:sz w:val="16"/>
          <w:szCs w:val="16"/>
        </w:rPr>
        <w:t xml:space="preserve">Overview. 2015 - </w:t>
      </w:r>
      <w:hyperlink r:id="rId2" w:history="1">
        <w:r w:rsidRPr="002228F1">
          <w:rPr>
            <w:rStyle w:val="Hyperlink"/>
            <w:sz w:val="16"/>
            <w:szCs w:val="16"/>
          </w:rPr>
          <w:t>https://www.aihw.gov.au/reports-statistics/behaviours-risk-factors/overweight-obesity/overview</w:t>
        </w:r>
      </w:hyperlink>
    </w:p>
  </w:footnote>
  <w:footnote w:id="5">
    <w:p w14:paraId="54F811CC" w14:textId="559519C7" w:rsidR="005942C6" w:rsidRDefault="005942C6">
      <w:pPr>
        <w:pStyle w:val="FootnoteText"/>
      </w:pPr>
      <w:r>
        <w:rPr>
          <w:rStyle w:val="FootnoteReference"/>
        </w:rPr>
        <w:footnoteRef/>
      </w:r>
      <w:r>
        <w:t xml:space="preserve"> </w:t>
      </w:r>
      <w:r w:rsidRPr="001A17B5">
        <w:rPr>
          <w:sz w:val="16"/>
          <w:szCs w:val="16"/>
        </w:rPr>
        <w:t xml:space="preserve">University of Adelaide. 2015 </w:t>
      </w:r>
      <w:r w:rsidRPr="001A17B5">
        <w:rPr>
          <w:i/>
          <w:sz w:val="16"/>
          <w:szCs w:val="16"/>
        </w:rPr>
        <w:t>Oral health and dental care in Australia: facts and figures 2015.</w:t>
      </w:r>
      <w:r w:rsidRPr="001A17B5">
        <w:rPr>
          <w:sz w:val="16"/>
          <w:szCs w:val="16"/>
        </w:rPr>
        <w:t xml:space="preserve"> DEN 229. Accessed on 28 October 2016 at </w:t>
      </w:r>
      <w:hyperlink r:id="rId3" w:history="1">
        <w:r w:rsidRPr="001A17B5">
          <w:rPr>
            <w:rStyle w:val="Hyperlink"/>
            <w:sz w:val="16"/>
            <w:szCs w:val="16"/>
          </w:rPr>
          <w:t>http://www.aihw.gov.au/WorkArea/DownloadAsset.aspx?id=60129554609</w:t>
        </w:r>
      </w:hyperlink>
    </w:p>
  </w:footnote>
  <w:footnote w:id="6">
    <w:p w14:paraId="20AB1B99" w14:textId="4E0FC284" w:rsidR="0036577F" w:rsidRDefault="0036577F" w:rsidP="0036577F">
      <w:pPr>
        <w:pStyle w:val="EndnoteText"/>
      </w:pPr>
      <w:r>
        <w:rPr>
          <w:rStyle w:val="FootnoteReference"/>
        </w:rPr>
        <w:footnoteRef/>
      </w:r>
      <w:r>
        <w:t xml:space="preserve"> </w:t>
      </w:r>
      <w:r w:rsidRPr="000E7C8C">
        <w:rPr>
          <w:rFonts w:cs="Lao UI"/>
          <w:sz w:val="16"/>
          <w:szCs w:val="16"/>
        </w:rPr>
        <w:t>Preamble to the Constitution of the World Health Organization as adopted by the International Health Conference, New York, 19-22 June, 1946; signed on 22 July 1946 by the representatives of 61 States (Official Records of the World Health Organization, no. 2, p. 100) and entered into force on 7 April 1948.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870" w14:textId="53BE6D6D" w:rsidR="00494C03" w:rsidRPr="008E0345" w:rsidRDefault="007A7E5D"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1D0378">
          <w:t>School nutrition and healthy eating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04E" w14:textId="77777777" w:rsidR="00494C03" w:rsidRDefault="00494C03"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CB5" w14:textId="77777777" w:rsidR="00494C03" w:rsidRPr="00274F1C" w:rsidRDefault="00494C03"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6266E9EB" w:rsidR="00494C03" w:rsidRPr="00964B22" w:rsidRDefault="001D0378" w:rsidP="008E0345">
        <w:pPr>
          <w:pStyle w:val="Header"/>
          <w:rPr>
            <w:b/>
          </w:rPr>
        </w:pPr>
        <w:r>
          <w:t>School nutrition and healthy eating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7C1"/>
    <w:multiLevelType w:val="hybridMultilevel"/>
    <w:tmpl w:val="DE727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DE64BA"/>
    <w:multiLevelType w:val="hybridMultilevel"/>
    <w:tmpl w:val="95AA375E"/>
    <w:lvl w:ilvl="0" w:tplc="0C090001">
      <w:start w:val="1"/>
      <w:numFmt w:val="bullet"/>
      <w:lvlText w:val=""/>
      <w:lvlJc w:val="left"/>
      <w:pPr>
        <w:ind w:left="1070" w:hanging="360"/>
      </w:pPr>
      <w:rPr>
        <w:rFonts w:ascii="Symbol" w:hAnsi="Symbol" w:hint="default"/>
      </w:rPr>
    </w:lvl>
    <w:lvl w:ilvl="1" w:tplc="0C090017">
      <w:start w:val="1"/>
      <w:numFmt w:val="lowerLetter"/>
      <w:lvlText w:val="%2)"/>
      <w:lvlJc w:val="left"/>
      <w:pPr>
        <w:ind w:left="1790" w:hanging="360"/>
      </w:pPr>
      <w:rPr>
        <w:rFonts w:hint="default"/>
      </w:rPr>
    </w:lvl>
    <w:lvl w:ilvl="2" w:tplc="0C090005">
      <w:start w:val="1"/>
      <w:numFmt w:val="bullet"/>
      <w:lvlText w:val=""/>
      <w:lvlJc w:val="left"/>
      <w:pPr>
        <w:ind w:left="2510" w:hanging="360"/>
      </w:pPr>
      <w:rPr>
        <w:rFonts w:ascii="Wingdings" w:hAnsi="Wingdings" w:hint="default"/>
      </w:rPr>
    </w:lvl>
    <w:lvl w:ilvl="3" w:tplc="0C090001">
      <w:start w:val="1"/>
      <w:numFmt w:val="bullet"/>
      <w:lvlText w:val=""/>
      <w:lvlJc w:val="left"/>
      <w:pPr>
        <w:ind w:left="3230" w:hanging="360"/>
      </w:pPr>
      <w:rPr>
        <w:rFonts w:ascii="Symbol" w:hAnsi="Symbol" w:hint="default"/>
      </w:rPr>
    </w:lvl>
    <w:lvl w:ilvl="4" w:tplc="0C090003">
      <w:start w:val="1"/>
      <w:numFmt w:val="bullet"/>
      <w:lvlText w:val="o"/>
      <w:lvlJc w:val="left"/>
      <w:pPr>
        <w:ind w:left="3950" w:hanging="360"/>
      </w:pPr>
      <w:rPr>
        <w:rFonts w:ascii="Courier New" w:hAnsi="Courier New" w:cs="Courier New" w:hint="default"/>
      </w:rPr>
    </w:lvl>
    <w:lvl w:ilvl="5" w:tplc="0C090005">
      <w:start w:val="1"/>
      <w:numFmt w:val="bullet"/>
      <w:lvlText w:val=""/>
      <w:lvlJc w:val="left"/>
      <w:pPr>
        <w:ind w:left="4670" w:hanging="360"/>
      </w:pPr>
      <w:rPr>
        <w:rFonts w:ascii="Wingdings" w:hAnsi="Wingdings" w:hint="default"/>
      </w:rPr>
    </w:lvl>
    <w:lvl w:ilvl="6" w:tplc="713A37FC">
      <w:numFmt w:val="bullet"/>
      <w:lvlText w:val="•"/>
      <w:lvlJc w:val="left"/>
      <w:pPr>
        <w:ind w:left="5390" w:hanging="360"/>
      </w:pPr>
      <w:rPr>
        <w:rFonts w:ascii="Lato" w:eastAsia="Calibri" w:hAnsi="Lato" w:cs="Times New Roman"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15:restartNumberingAfterBreak="0">
    <w:nsid w:val="14CF019A"/>
    <w:multiLevelType w:val="hybridMultilevel"/>
    <w:tmpl w:val="3B881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E66CA6"/>
    <w:multiLevelType w:val="hybridMultilevel"/>
    <w:tmpl w:val="F87EAA5E"/>
    <w:lvl w:ilvl="0" w:tplc="B5A2B6E6">
      <w:start w:val="1"/>
      <w:numFmt w:val="bullet"/>
      <w:lvlText w:val="-"/>
      <w:lvlJc w:val="left"/>
      <w:pPr>
        <w:ind w:left="1212" w:hanging="360"/>
      </w:pPr>
      <w:rPr>
        <w:rFonts w:ascii="Lato" w:hAnsi="Lato"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61D13E4"/>
    <w:multiLevelType w:val="hybridMultilevel"/>
    <w:tmpl w:val="CE46DF30"/>
    <w:lvl w:ilvl="0" w:tplc="0C090015">
      <w:start w:val="1"/>
      <w:numFmt w:val="upp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26C06"/>
    <w:multiLevelType w:val="multilevel"/>
    <w:tmpl w:val="3E5E177A"/>
    <w:name w:val="NTG Table Bullet List33222222222222222"/>
    <w:numStyleLink w:val="Tablenumberlist"/>
  </w:abstractNum>
  <w:abstractNum w:abstractNumId="17" w15:restartNumberingAfterBreak="0">
    <w:nsid w:val="19533A06"/>
    <w:multiLevelType w:val="multilevel"/>
    <w:tmpl w:val="3928FD02"/>
    <w:name w:val="NTG Table Bullet List3222"/>
    <w:numStyleLink w:val="Bulletlist"/>
  </w:abstractNum>
  <w:abstractNum w:abstractNumId="1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9" w15:restartNumberingAfterBreak="0">
    <w:nsid w:val="1B26429D"/>
    <w:multiLevelType w:val="multilevel"/>
    <w:tmpl w:val="3E5E177A"/>
    <w:name w:val="NTG Table Bullet List33222222222"/>
    <w:numStyleLink w:val="Tablenumberlist"/>
  </w:abstractNum>
  <w:abstractNum w:abstractNumId="20"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86276C"/>
    <w:multiLevelType w:val="multilevel"/>
    <w:tmpl w:val="3928FD02"/>
    <w:name w:val="NTG Table Bullet List32223"/>
    <w:numStyleLink w:val="Bulletlist"/>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08F5284"/>
    <w:multiLevelType w:val="hybridMultilevel"/>
    <w:tmpl w:val="9C34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A1520E7"/>
    <w:multiLevelType w:val="multilevel"/>
    <w:tmpl w:val="4E6AC8F6"/>
    <w:numStyleLink w:val="Numberlist"/>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5500566"/>
    <w:multiLevelType w:val="hybridMultilevel"/>
    <w:tmpl w:val="8CDE97E6"/>
    <w:lvl w:ilvl="0" w:tplc="B5A2B6E6">
      <w:start w:val="1"/>
      <w:numFmt w:val="bullet"/>
      <w:lvlText w:val="-"/>
      <w:lvlJc w:val="left"/>
      <w:pPr>
        <w:ind w:left="720" w:hanging="360"/>
      </w:pPr>
      <w:rPr>
        <w:rFonts w:ascii="Lato" w:hAnsi="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0"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3BE61945"/>
    <w:multiLevelType w:val="multilevel"/>
    <w:tmpl w:val="3928FD02"/>
    <w:name w:val="NTG Table Bullet List332222222222222222"/>
    <w:numStyleLink w:val="Bulletlist"/>
  </w:abstractNum>
  <w:abstractNum w:abstractNumId="42" w15:restartNumberingAfterBreak="0">
    <w:nsid w:val="400676E3"/>
    <w:multiLevelType w:val="multilevel"/>
    <w:tmpl w:val="FD1CD746"/>
    <w:numStyleLink w:val="Numberedlist"/>
  </w:abstractNum>
  <w:abstractNum w:abstractNumId="43"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47C21867"/>
    <w:multiLevelType w:val="hybridMultilevel"/>
    <w:tmpl w:val="6A78D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2CB786D"/>
    <w:multiLevelType w:val="multilevel"/>
    <w:tmpl w:val="FD1CD746"/>
    <w:numStyleLink w:val="Numberedlist"/>
  </w:abstractNum>
  <w:abstractNum w:abstractNumId="53" w15:restartNumberingAfterBreak="0">
    <w:nsid w:val="53842BC6"/>
    <w:multiLevelType w:val="multilevel"/>
    <w:tmpl w:val="0C78A7AC"/>
    <w:numStyleLink w:val="Tablebulletlist"/>
  </w:abstractNum>
  <w:abstractNum w:abstractNumId="5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6DA2CAE"/>
    <w:multiLevelType w:val="multilevel"/>
    <w:tmpl w:val="3E5E177A"/>
    <w:name w:val="NTG Table Bullet List332222222222222"/>
    <w:numStyleLink w:val="Tablenumberlist"/>
  </w:abstractNum>
  <w:abstractNum w:abstractNumId="57" w15:restartNumberingAfterBreak="0">
    <w:nsid w:val="583359D9"/>
    <w:multiLevelType w:val="multilevel"/>
    <w:tmpl w:val="3E5E177A"/>
    <w:name w:val="NTG Table Bullet List332222222"/>
    <w:numStyleLink w:val="Tablenumberlist"/>
  </w:abstractNum>
  <w:abstractNum w:abstractNumId="58"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8E21323"/>
    <w:multiLevelType w:val="multilevel"/>
    <w:tmpl w:val="4E6AC8F6"/>
    <w:numStyleLink w:val="Numberlist"/>
  </w:abstractNum>
  <w:abstractNum w:abstractNumId="61"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B9A5FFE"/>
    <w:multiLevelType w:val="multilevel"/>
    <w:tmpl w:val="0C78A7AC"/>
    <w:name w:val="NTG Table Bullet List33222222222222"/>
    <w:numStyleLink w:val="Tablebulletlist"/>
  </w:abstractNum>
  <w:abstractNum w:abstractNumId="63" w15:restartNumberingAfterBreak="0">
    <w:nsid w:val="5D444259"/>
    <w:multiLevelType w:val="multilevel"/>
    <w:tmpl w:val="0C78A7AC"/>
    <w:name w:val="NTG Table Bullet List332222"/>
    <w:numStyleLink w:val="Tablebulletlist"/>
  </w:abstractNum>
  <w:abstractNum w:abstractNumId="6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8" w15:restartNumberingAfterBreak="0">
    <w:nsid w:val="69262556"/>
    <w:multiLevelType w:val="multilevel"/>
    <w:tmpl w:val="3E5E177A"/>
    <w:name w:val="NTG Table Bullet List3322222222222222"/>
    <w:numStyleLink w:val="Tablenumberlist"/>
  </w:abstractNum>
  <w:abstractNum w:abstractNumId="69" w15:restartNumberingAfterBreak="0">
    <w:nsid w:val="709C5693"/>
    <w:multiLevelType w:val="hybridMultilevel"/>
    <w:tmpl w:val="07A46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37772506">
    <w:abstractNumId w:val="37"/>
  </w:num>
  <w:num w:numId="2" w16cid:durableId="409079169">
    <w:abstractNumId w:val="25"/>
  </w:num>
  <w:num w:numId="3" w16cid:durableId="360127270">
    <w:abstractNumId w:val="75"/>
  </w:num>
  <w:num w:numId="4" w16cid:durableId="2086145002">
    <w:abstractNumId w:val="48"/>
  </w:num>
  <w:num w:numId="5" w16cid:durableId="449590430">
    <w:abstractNumId w:val="30"/>
  </w:num>
  <w:num w:numId="6" w16cid:durableId="1980961692">
    <w:abstractNumId w:val="18"/>
  </w:num>
  <w:num w:numId="7" w16cid:durableId="1866164007">
    <w:abstractNumId w:val="53"/>
  </w:num>
  <w:num w:numId="8" w16cid:durableId="2096901954">
    <w:abstractNumId w:val="28"/>
  </w:num>
  <w:num w:numId="9" w16cid:durableId="2082562382">
    <w:abstractNumId w:val="60"/>
  </w:num>
  <w:num w:numId="10" w16cid:durableId="1559440215">
    <w:abstractNumId w:val="23"/>
  </w:num>
  <w:num w:numId="11" w16cid:durableId="1625040020">
    <w:abstractNumId w:val="66"/>
  </w:num>
  <w:num w:numId="12" w16cid:durableId="1400132240">
    <w:abstractNumId w:val="20"/>
  </w:num>
  <w:num w:numId="13" w16cid:durableId="775828632">
    <w:abstractNumId w:val="2"/>
  </w:num>
  <w:num w:numId="14" w16cid:durableId="1801848055">
    <w:abstractNumId w:val="64"/>
  </w:num>
  <w:num w:numId="15" w16cid:durableId="422653657">
    <w:abstractNumId w:val="29"/>
  </w:num>
  <w:num w:numId="16" w16cid:durableId="905336060">
    <w:abstractNumId w:val="65"/>
  </w:num>
  <w:num w:numId="17" w16cid:durableId="2097289728">
    <w:abstractNumId w:val="72"/>
  </w:num>
  <w:num w:numId="18" w16cid:durableId="331372973">
    <w:abstractNumId w:val="59"/>
  </w:num>
  <w:num w:numId="19" w16cid:durableId="1885175122">
    <w:abstractNumId w:val="51"/>
  </w:num>
  <w:num w:numId="20" w16cid:durableId="1411342239">
    <w:abstractNumId w:val="55"/>
  </w:num>
  <w:num w:numId="21" w16cid:durableId="2035156735">
    <w:abstractNumId w:val="43"/>
  </w:num>
  <w:num w:numId="22" w16cid:durableId="696739380">
    <w:abstractNumId w:val="58"/>
  </w:num>
  <w:num w:numId="23" w16cid:durableId="1203134775">
    <w:abstractNumId w:val="50"/>
  </w:num>
  <w:num w:numId="24" w16cid:durableId="739133152">
    <w:abstractNumId w:val="45"/>
  </w:num>
  <w:num w:numId="25" w16cid:durableId="1207527207">
    <w:abstractNumId w:val="40"/>
  </w:num>
  <w:num w:numId="26" w16cid:durableId="1565337910">
    <w:abstractNumId w:val="15"/>
  </w:num>
  <w:num w:numId="27" w16cid:durableId="659189087">
    <w:abstractNumId w:val="73"/>
  </w:num>
  <w:num w:numId="28" w16cid:durableId="1708335661">
    <w:abstractNumId w:val="39"/>
  </w:num>
  <w:num w:numId="29" w16cid:durableId="1793472395">
    <w:abstractNumId w:val="31"/>
  </w:num>
  <w:num w:numId="30" w16cid:durableId="1794901292">
    <w:abstractNumId w:val="1"/>
  </w:num>
  <w:num w:numId="31" w16cid:durableId="897545453">
    <w:abstractNumId w:val="44"/>
  </w:num>
  <w:num w:numId="32" w16cid:durableId="2128813216">
    <w:abstractNumId w:val="14"/>
  </w:num>
  <w:num w:numId="33" w16cid:durableId="445806566">
    <w:abstractNumId w:val="67"/>
  </w:num>
  <w:num w:numId="34" w16cid:durableId="1631935618">
    <w:abstractNumId w:val="34"/>
  </w:num>
  <w:num w:numId="35" w16cid:durableId="1458376322">
    <w:abstractNumId w:val="74"/>
  </w:num>
  <w:num w:numId="36" w16cid:durableId="557477003">
    <w:abstractNumId w:val="61"/>
  </w:num>
  <w:num w:numId="37" w16cid:durableId="924072513">
    <w:abstractNumId w:val="5"/>
  </w:num>
  <w:num w:numId="38" w16cid:durableId="222984136">
    <w:abstractNumId w:val="38"/>
  </w:num>
  <w:num w:numId="39" w16cid:durableId="1270164025">
    <w:abstractNumId w:val="52"/>
  </w:num>
  <w:num w:numId="40" w16cid:durableId="112407548">
    <w:abstractNumId w:val="42"/>
  </w:num>
  <w:num w:numId="41" w16cid:durableId="2027946385">
    <w:abstractNumId w:val="3"/>
  </w:num>
  <w:num w:numId="42" w16cid:durableId="1159345982">
    <w:abstractNumId w:val="9"/>
  </w:num>
  <w:num w:numId="43" w16cid:durableId="1689721237">
    <w:abstractNumId w:val="13"/>
  </w:num>
  <w:num w:numId="44" w16cid:durableId="1707942972">
    <w:abstractNumId w:val="46"/>
  </w:num>
  <w:num w:numId="45" w16cid:durableId="729382608">
    <w:abstractNumId w:val="11"/>
  </w:num>
  <w:num w:numId="46" w16cid:durableId="518082712">
    <w:abstractNumId w:val="36"/>
  </w:num>
  <w:num w:numId="47" w16cid:durableId="948779593">
    <w:abstractNumId w:val="10"/>
  </w:num>
  <w:num w:numId="48" w16cid:durableId="339504306">
    <w:abstractNumId w:val="24"/>
  </w:num>
  <w:num w:numId="49" w16cid:durableId="571625825">
    <w:abstractNumId w:val="69"/>
  </w:num>
  <w:num w:numId="50" w16cid:durableId="149869198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21AB"/>
    <w:rsid w:val="0000322D"/>
    <w:rsid w:val="00007670"/>
    <w:rsid w:val="00010036"/>
    <w:rsid w:val="00010665"/>
    <w:rsid w:val="0002393A"/>
    <w:rsid w:val="00026FE4"/>
    <w:rsid w:val="00027DB8"/>
    <w:rsid w:val="000307A7"/>
    <w:rsid w:val="00031A96"/>
    <w:rsid w:val="00040BF3"/>
    <w:rsid w:val="0004577F"/>
    <w:rsid w:val="00046C59"/>
    <w:rsid w:val="00051362"/>
    <w:rsid w:val="00051F45"/>
    <w:rsid w:val="00052953"/>
    <w:rsid w:val="0005341A"/>
    <w:rsid w:val="00056DEF"/>
    <w:rsid w:val="00057458"/>
    <w:rsid w:val="000720BE"/>
    <w:rsid w:val="0007259C"/>
    <w:rsid w:val="00074573"/>
    <w:rsid w:val="00080202"/>
    <w:rsid w:val="00080DCD"/>
    <w:rsid w:val="00080E22"/>
    <w:rsid w:val="00082573"/>
    <w:rsid w:val="000840A3"/>
    <w:rsid w:val="00085062"/>
    <w:rsid w:val="000865D0"/>
    <w:rsid w:val="00086A5F"/>
    <w:rsid w:val="000911EF"/>
    <w:rsid w:val="00092B5F"/>
    <w:rsid w:val="000962C5"/>
    <w:rsid w:val="000A04AF"/>
    <w:rsid w:val="000A385C"/>
    <w:rsid w:val="000A4317"/>
    <w:rsid w:val="000A559C"/>
    <w:rsid w:val="000A6505"/>
    <w:rsid w:val="000B2CA1"/>
    <w:rsid w:val="000C5B92"/>
    <w:rsid w:val="000D1F29"/>
    <w:rsid w:val="000D633D"/>
    <w:rsid w:val="000E0962"/>
    <w:rsid w:val="000E342B"/>
    <w:rsid w:val="000E38FB"/>
    <w:rsid w:val="000E4F03"/>
    <w:rsid w:val="000E5DD2"/>
    <w:rsid w:val="000F2958"/>
    <w:rsid w:val="000F2CFB"/>
    <w:rsid w:val="000F4805"/>
    <w:rsid w:val="000F6B8C"/>
    <w:rsid w:val="00104E7F"/>
    <w:rsid w:val="001117D8"/>
    <w:rsid w:val="001137EC"/>
    <w:rsid w:val="001152F5"/>
    <w:rsid w:val="00117743"/>
    <w:rsid w:val="00117F5B"/>
    <w:rsid w:val="00127579"/>
    <w:rsid w:val="00132658"/>
    <w:rsid w:val="00132B77"/>
    <w:rsid w:val="00147DED"/>
    <w:rsid w:val="00150DC0"/>
    <w:rsid w:val="00156CD4"/>
    <w:rsid w:val="00161CC6"/>
    <w:rsid w:val="00164A3E"/>
    <w:rsid w:val="00166FF6"/>
    <w:rsid w:val="0017175A"/>
    <w:rsid w:val="00172C77"/>
    <w:rsid w:val="00176123"/>
    <w:rsid w:val="00181620"/>
    <w:rsid w:val="001852AF"/>
    <w:rsid w:val="00191A18"/>
    <w:rsid w:val="001957AD"/>
    <w:rsid w:val="001A21F0"/>
    <w:rsid w:val="001A2B7F"/>
    <w:rsid w:val="001A3AFD"/>
    <w:rsid w:val="001A496C"/>
    <w:rsid w:val="001A6304"/>
    <w:rsid w:val="001B2B6C"/>
    <w:rsid w:val="001B49AD"/>
    <w:rsid w:val="001D01C4"/>
    <w:rsid w:val="001D0378"/>
    <w:rsid w:val="001D52B0"/>
    <w:rsid w:val="001D5A18"/>
    <w:rsid w:val="001D6D0E"/>
    <w:rsid w:val="001D7CA4"/>
    <w:rsid w:val="001E057F"/>
    <w:rsid w:val="001E0D1B"/>
    <w:rsid w:val="001E14EB"/>
    <w:rsid w:val="001E1982"/>
    <w:rsid w:val="001F2879"/>
    <w:rsid w:val="001F59E6"/>
    <w:rsid w:val="001F5C6E"/>
    <w:rsid w:val="00202014"/>
    <w:rsid w:val="00206936"/>
    <w:rsid w:val="00206C6F"/>
    <w:rsid w:val="00206FBD"/>
    <w:rsid w:val="00207746"/>
    <w:rsid w:val="0021111B"/>
    <w:rsid w:val="00221220"/>
    <w:rsid w:val="00230031"/>
    <w:rsid w:val="00231289"/>
    <w:rsid w:val="00235C01"/>
    <w:rsid w:val="00236878"/>
    <w:rsid w:val="00247343"/>
    <w:rsid w:val="00254346"/>
    <w:rsid w:val="002553A1"/>
    <w:rsid w:val="002553C3"/>
    <w:rsid w:val="002570A4"/>
    <w:rsid w:val="00265493"/>
    <w:rsid w:val="00265C56"/>
    <w:rsid w:val="002716CD"/>
    <w:rsid w:val="00274D4B"/>
    <w:rsid w:val="002806F5"/>
    <w:rsid w:val="00281577"/>
    <w:rsid w:val="002926BC"/>
    <w:rsid w:val="00293A72"/>
    <w:rsid w:val="002A0160"/>
    <w:rsid w:val="002A30C3"/>
    <w:rsid w:val="002A4C7F"/>
    <w:rsid w:val="002A552A"/>
    <w:rsid w:val="002A6F6A"/>
    <w:rsid w:val="002A7712"/>
    <w:rsid w:val="002B22A1"/>
    <w:rsid w:val="002B38F7"/>
    <w:rsid w:val="002B5591"/>
    <w:rsid w:val="002B6AA4"/>
    <w:rsid w:val="002B72C5"/>
    <w:rsid w:val="002C1FE9"/>
    <w:rsid w:val="002D140C"/>
    <w:rsid w:val="002D3A57"/>
    <w:rsid w:val="002D7D05"/>
    <w:rsid w:val="002E0F6E"/>
    <w:rsid w:val="002E20C8"/>
    <w:rsid w:val="002E4290"/>
    <w:rsid w:val="002E5B94"/>
    <w:rsid w:val="002E66A6"/>
    <w:rsid w:val="002F0DB1"/>
    <w:rsid w:val="002F2885"/>
    <w:rsid w:val="002F2C41"/>
    <w:rsid w:val="002F32D0"/>
    <w:rsid w:val="002F3887"/>
    <w:rsid w:val="002F3CF1"/>
    <w:rsid w:val="002F45A1"/>
    <w:rsid w:val="00303120"/>
    <w:rsid w:val="003037F9"/>
    <w:rsid w:val="0030583E"/>
    <w:rsid w:val="003078AF"/>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7F"/>
    <w:rsid w:val="003657E5"/>
    <w:rsid w:val="0036589C"/>
    <w:rsid w:val="00371312"/>
    <w:rsid w:val="00371DC7"/>
    <w:rsid w:val="003763BE"/>
    <w:rsid w:val="003765C6"/>
    <w:rsid w:val="00376BF0"/>
    <w:rsid w:val="00377B21"/>
    <w:rsid w:val="003812ED"/>
    <w:rsid w:val="0038176D"/>
    <w:rsid w:val="00382BE1"/>
    <w:rsid w:val="00390CE3"/>
    <w:rsid w:val="00394876"/>
    <w:rsid w:val="00394AAF"/>
    <w:rsid w:val="00394CE5"/>
    <w:rsid w:val="003A134B"/>
    <w:rsid w:val="003A3A70"/>
    <w:rsid w:val="003A6341"/>
    <w:rsid w:val="003B173F"/>
    <w:rsid w:val="003B67FD"/>
    <w:rsid w:val="003B6A61"/>
    <w:rsid w:val="003D29E2"/>
    <w:rsid w:val="003D42C0"/>
    <w:rsid w:val="003D5B29"/>
    <w:rsid w:val="003D7818"/>
    <w:rsid w:val="003E2445"/>
    <w:rsid w:val="003E2E02"/>
    <w:rsid w:val="003E3BB2"/>
    <w:rsid w:val="003F535C"/>
    <w:rsid w:val="003F5B4F"/>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57E3F"/>
    <w:rsid w:val="00461744"/>
    <w:rsid w:val="00464CA6"/>
    <w:rsid w:val="00466185"/>
    <w:rsid w:val="004668A7"/>
    <w:rsid w:val="00466D96"/>
    <w:rsid w:val="00467747"/>
    <w:rsid w:val="00473C98"/>
    <w:rsid w:val="00474965"/>
    <w:rsid w:val="00482DF8"/>
    <w:rsid w:val="004864DE"/>
    <w:rsid w:val="0049209D"/>
    <w:rsid w:val="00494BE5"/>
    <w:rsid w:val="00494C03"/>
    <w:rsid w:val="004A0EBA"/>
    <w:rsid w:val="004A2538"/>
    <w:rsid w:val="004A73A1"/>
    <w:rsid w:val="004B0C15"/>
    <w:rsid w:val="004B35EA"/>
    <w:rsid w:val="004B3704"/>
    <w:rsid w:val="004B69E4"/>
    <w:rsid w:val="004B7373"/>
    <w:rsid w:val="004C2BF4"/>
    <w:rsid w:val="004C6C39"/>
    <w:rsid w:val="004D075F"/>
    <w:rsid w:val="004D19C1"/>
    <w:rsid w:val="004D1B76"/>
    <w:rsid w:val="004D344E"/>
    <w:rsid w:val="004D6EE0"/>
    <w:rsid w:val="004E019E"/>
    <w:rsid w:val="004E06EC"/>
    <w:rsid w:val="004E2CB7"/>
    <w:rsid w:val="004F016A"/>
    <w:rsid w:val="004F2206"/>
    <w:rsid w:val="004F2CB5"/>
    <w:rsid w:val="004F65D9"/>
    <w:rsid w:val="00500F94"/>
    <w:rsid w:val="00502FB3"/>
    <w:rsid w:val="00503DE9"/>
    <w:rsid w:val="0050530C"/>
    <w:rsid w:val="00505DEA"/>
    <w:rsid w:val="00507782"/>
    <w:rsid w:val="00512A04"/>
    <w:rsid w:val="005249F5"/>
    <w:rsid w:val="00525A43"/>
    <w:rsid w:val="005260F7"/>
    <w:rsid w:val="00543BD1"/>
    <w:rsid w:val="0054507C"/>
    <w:rsid w:val="00546D7E"/>
    <w:rsid w:val="00551128"/>
    <w:rsid w:val="00556113"/>
    <w:rsid w:val="00564C12"/>
    <w:rsid w:val="005654B8"/>
    <w:rsid w:val="0057377F"/>
    <w:rsid w:val="005762CC"/>
    <w:rsid w:val="00582D3D"/>
    <w:rsid w:val="00590FA9"/>
    <w:rsid w:val="005942C6"/>
    <w:rsid w:val="00595386"/>
    <w:rsid w:val="005A3621"/>
    <w:rsid w:val="005A4AC0"/>
    <w:rsid w:val="005A5FDF"/>
    <w:rsid w:val="005B0FB7"/>
    <w:rsid w:val="005B122A"/>
    <w:rsid w:val="005B2645"/>
    <w:rsid w:val="005B32DF"/>
    <w:rsid w:val="005B5AC2"/>
    <w:rsid w:val="005C2833"/>
    <w:rsid w:val="005C3FB5"/>
    <w:rsid w:val="005D3964"/>
    <w:rsid w:val="005D6325"/>
    <w:rsid w:val="005E144D"/>
    <w:rsid w:val="005E1500"/>
    <w:rsid w:val="005E3A43"/>
    <w:rsid w:val="005E51A4"/>
    <w:rsid w:val="005F77C7"/>
    <w:rsid w:val="0060030B"/>
    <w:rsid w:val="006145BB"/>
    <w:rsid w:val="00620675"/>
    <w:rsid w:val="00622910"/>
    <w:rsid w:val="00643014"/>
    <w:rsid w:val="006433C3"/>
    <w:rsid w:val="00650F5B"/>
    <w:rsid w:val="00652DC0"/>
    <w:rsid w:val="00654478"/>
    <w:rsid w:val="00660584"/>
    <w:rsid w:val="00666DE0"/>
    <w:rsid w:val="006670D7"/>
    <w:rsid w:val="006719EA"/>
    <w:rsid w:val="00671F13"/>
    <w:rsid w:val="0067400A"/>
    <w:rsid w:val="006747E0"/>
    <w:rsid w:val="006847AD"/>
    <w:rsid w:val="00690862"/>
    <w:rsid w:val="00690B7D"/>
    <w:rsid w:val="0069114B"/>
    <w:rsid w:val="00692554"/>
    <w:rsid w:val="006A756A"/>
    <w:rsid w:val="006B1D6D"/>
    <w:rsid w:val="006C3488"/>
    <w:rsid w:val="006C396A"/>
    <w:rsid w:val="006C4E55"/>
    <w:rsid w:val="006C6A8C"/>
    <w:rsid w:val="006D1ADA"/>
    <w:rsid w:val="006D66F7"/>
    <w:rsid w:val="006D6723"/>
    <w:rsid w:val="006E3B5D"/>
    <w:rsid w:val="006F338F"/>
    <w:rsid w:val="00702D61"/>
    <w:rsid w:val="007035FF"/>
    <w:rsid w:val="00705C9D"/>
    <w:rsid w:val="00705F13"/>
    <w:rsid w:val="00714F1D"/>
    <w:rsid w:val="00715225"/>
    <w:rsid w:val="00720CC6"/>
    <w:rsid w:val="00722DDB"/>
    <w:rsid w:val="00724728"/>
    <w:rsid w:val="00724F98"/>
    <w:rsid w:val="007278DE"/>
    <w:rsid w:val="00730B9B"/>
    <w:rsid w:val="0073182E"/>
    <w:rsid w:val="007332FF"/>
    <w:rsid w:val="0073520D"/>
    <w:rsid w:val="007372B0"/>
    <w:rsid w:val="00737942"/>
    <w:rsid w:val="007408F5"/>
    <w:rsid w:val="00741EAE"/>
    <w:rsid w:val="0075413F"/>
    <w:rsid w:val="00755248"/>
    <w:rsid w:val="0076190B"/>
    <w:rsid w:val="0076355D"/>
    <w:rsid w:val="00763A2D"/>
    <w:rsid w:val="007761D8"/>
    <w:rsid w:val="00777795"/>
    <w:rsid w:val="00783A57"/>
    <w:rsid w:val="00784C92"/>
    <w:rsid w:val="007859CD"/>
    <w:rsid w:val="007907E4"/>
    <w:rsid w:val="00794F4B"/>
    <w:rsid w:val="00796461"/>
    <w:rsid w:val="007A6A4F"/>
    <w:rsid w:val="007A7E5D"/>
    <w:rsid w:val="007B03F5"/>
    <w:rsid w:val="007B59D3"/>
    <w:rsid w:val="007B5C09"/>
    <w:rsid w:val="007B5DA2"/>
    <w:rsid w:val="007C0966"/>
    <w:rsid w:val="007C19E7"/>
    <w:rsid w:val="007C2582"/>
    <w:rsid w:val="007C5CFD"/>
    <w:rsid w:val="007C6D9F"/>
    <w:rsid w:val="007C7841"/>
    <w:rsid w:val="007D4893"/>
    <w:rsid w:val="007D7697"/>
    <w:rsid w:val="007E70CF"/>
    <w:rsid w:val="007E74A4"/>
    <w:rsid w:val="007F10AD"/>
    <w:rsid w:val="007F263F"/>
    <w:rsid w:val="007F46EA"/>
    <w:rsid w:val="007F5579"/>
    <w:rsid w:val="008002E8"/>
    <w:rsid w:val="00802F94"/>
    <w:rsid w:val="0080766E"/>
    <w:rsid w:val="008105BE"/>
    <w:rsid w:val="00811169"/>
    <w:rsid w:val="00814D4A"/>
    <w:rsid w:val="00815297"/>
    <w:rsid w:val="00817BA1"/>
    <w:rsid w:val="00823022"/>
    <w:rsid w:val="0082384C"/>
    <w:rsid w:val="0082634E"/>
    <w:rsid w:val="00827161"/>
    <w:rsid w:val="008313C4"/>
    <w:rsid w:val="00832EDE"/>
    <w:rsid w:val="00835434"/>
    <w:rsid w:val="008358C0"/>
    <w:rsid w:val="00842838"/>
    <w:rsid w:val="00854EC1"/>
    <w:rsid w:val="0085797F"/>
    <w:rsid w:val="00860804"/>
    <w:rsid w:val="008612ED"/>
    <w:rsid w:val="00861DC3"/>
    <w:rsid w:val="00866874"/>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1E34"/>
    <w:rsid w:val="008F210A"/>
    <w:rsid w:val="00902B13"/>
    <w:rsid w:val="00911941"/>
    <w:rsid w:val="009135A1"/>
    <w:rsid w:val="009138A0"/>
    <w:rsid w:val="00925F0F"/>
    <w:rsid w:val="00930C91"/>
    <w:rsid w:val="00932F6B"/>
    <w:rsid w:val="00937B31"/>
    <w:rsid w:val="009436FF"/>
    <w:rsid w:val="0094483E"/>
    <w:rsid w:val="009468BC"/>
    <w:rsid w:val="00947F3C"/>
    <w:rsid w:val="009616DF"/>
    <w:rsid w:val="00964B22"/>
    <w:rsid w:val="0096542F"/>
    <w:rsid w:val="00967FA7"/>
    <w:rsid w:val="00971645"/>
    <w:rsid w:val="00977919"/>
    <w:rsid w:val="00982265"/>
    <w:rsid w:val="00983000"/>
    <w:rsid w:val="00984936"/>
    <w:rsid w:val="009870FA"/>
    <w:rsid w:val="00990806"/>
    <w:rsid w:val="009921C3"/>
    <w:rsid w:val="00994296"/>
    <w:rsid w:val="0099551D"/>
    <w:rsid w:val="009A5897"/>
    <w:rsid w:val="009A5F24"/>
    <w:rsid w:val="009B0B3E"/>
    <w:rsid w:val="009B1913"/>
    <w:rsid w:val="009B2A53"/>
    <w:rsid w:val="009B2D97"/>
    <w:rsid w:val="009B6657"/>
    <w:rsid w:val="009B7C35"/>
    <w:rsid w:val="009C198E"/>
    <w:rsid w:val="009C21F1"/>
    <w:rsid w:val="009D0EB5"/>
    <w:rsid w:val="009D14F9"/>
    <w:rsid w:val="009D2B74"/>
    <w:rsid w:val="009D4D8A"/>
    <w:rsid w:val="009D63FF"/>
    <w:rsid w:val="009E175D"/>
    <w:rsid w:val="009E3CC2"/>
    <w:rsid w:val="009F06BD"/>
    <w:rsid w:val="009F2A4D"/>
    <w:rsid w:val="009F3302"/>
    <w:rsid w:val="00A00828"/>
    <w:rsid w:val="00A03290"/>
    <w:rsid w:val="00A04A87"/>
    <w:rsid w:val="00A07490"/>
    <w:rsid w:val="00A10655"/>
    <w:rsid w:val="00A1197C"/>
    <w:rsid w:val="00A12B64"/>
    <w:rsid w:val="00A22C38"/>
    <w:rsid w:val="00A25193"/>
    <w:rsid w:val="00A26E80"/>
    <w:rsid w:val="00A31AE8"/>
    <w:rsid w:val="00A3739D"/>
    <w:rsid w:val="00A37DDA"/>
    <w:rsid w:val="00A37ED8"/>
    <w:rsid w:val="00A45BF7"/>
    <w:rsid w:val="00A5047D"/>
    <w:rsid w:val="00A71E1C"/>
    <w:rsid w:val="00A86CD3"/>
    <w:rsid w:val="00A925EC"/>
    <w:rsid w:val="00A929AA"/>
    <w:rsid w:val="00A92B6B"/>
    <w:rsid w:val="00A955A9"/>
    <w:rsid w:val="00A96709"/>
    <w:rsid w:val="00AA541E"/>
    <w:rsid w:val="00AB65C6"/>
    <w:rsid w:val="00AC19FD"/>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3462D"/>
    <w:rsid w:val="00B424B1"/>
    <w:rsid w:val="00B43C75"/>
    <w:rsid w:val="00B47278"/>
    <w:rsid w:val="00B47ABC"/>
    <w:rsid w:val="00B5084A"/>
    <w:rsid w:val="00B56D76"/>
    <w:rsid w:val="00B575B0"/>
    <w:rsid w:val="00B606A1"/>
    <w:rsid w:val="00B614F7"/>
    <w:rsid w:val="00B61B26"/>
    <w:rsid w:val="00B675B2"/>
    <w:rsid w:val="00B67E17"/>
    <w:rsid w:val="00B81261"/>
    <w:rsid w:val="00B8223E"/>
    <w:rsid w:val="00B832AE"/>
    <w:rsid w:val="00B83E5C"/>
    <w:rsid w:val="00B86678"/>
    <w:rsid w:val="00B925CC"/>
    <w:rsid w:val="00B92F9B"/>
    <w:rsid w:val="00B941B3"/>
    <w:rsid w:val="00B96513"/>
    <w:rsid w:val="00B97A09"/>
    <w:rsid w:val="00BA1D47"/>
    <w:rsid w:val="00BA66F0"/>
    <w:rsid w:val="00BB2239"/>
    <w:rsid w:val="00BB2AE7"/>
    <w:rsid w:val="00BB6464"/>
    <w:rsid w:val="00BC12ED"/>
    <w:rsid w:val="00BC1BB8"/>
    <w:rsid w:val="00BD653C"/>
    <w:rsid w:val="00BD7FE1"/>
    <w:rsid w:val="00BE0E98"/>
    <w:rsid w:val="00BE37CA"/>
    <w:rsid w:val="00BE6144"/>
    <w:rsid w:val="00BE635A"/>
    <w:rsid w:val="00BF17E9"/>
    <w:rsid w:val="00BF2ABB"/>
    <w:rsid w:val="00BF5099"/>
    <w:rsid w:val="00BF5345"/>
    <w:rsid w:val="00C0704F"/>
    <w:rsid w:val="00C10F10"/>
    <w:rsid w:val="00C144D1"/>
    <w:rsid w:val="00C15D4D"/>
    <w:rsid w:val="00C161C1"/>
    <w:rsid w:val="00C175DC"/>
    <w:rsid w:val="00C236A8"/>
    <w:rsid w:val="00C30171"/>
    <w:rsid w:val="00C309D8"/>
    <w:rsid w:val="00C37E0F"/>
    <w:rsid w:val="00C41F26"/>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5566"/>
    <w:rsid w:val="00CA6BC5"/>
    <w:rsid w:val="00CB6A67"/>
    <w:rsid w:val="00CC61CD"/>
    <w:rsid w:val="00CC6A7B"/>
    <w:rsid w:val="00CD5011"/>
    <w:rsid w:val="00CD7B5D"/>
    <w:rsid w:val="00CE640F"/>
    <w:rsid w:val="00CE76BC"/>
    <w:rsid w:val="00CF540E"/>
    <w:rsid w:val="00D00FB4"/>
    <w:rsid w:val="00D02F07"/>
    <w:rsid w:val="00D07673"/>
    <w:rsid w:val="00D16065"/>
    <w:rsid w:val="00D23346"/>
    <w:rsid w:val="00D27EBE"/>
    <w:rsid w:val="00D36A49"/>
    <w:rsid w:val="00D508E9"/>
    <w:rsid w:val="00D517C6"/>
    <w:rsid w:val="00D64806"/>
    <w:rsid w:val="00D71D84"/>
    <w:rsid w:val="00D72464"/>
    <w:rsid w:val="00D768EB"/>
    <w:rsid w:val="00D82D1E"/>
    <w:rsid w:val="00D832D9"/>
    <w:rsid w:val="00D90F00"/>
    <w:rsid w:val="00D94F6B"/>
    <w:rsid w:val="00D975C0"/>
    <w:rsid w:val="00DA0F82"/>
    <w:rsid w:val="00DA5285"/>
    <w:rsid w:val="00DB191D"/>
    <w:rsid w:val="00DB4F91"/>
    <w:rsid w:val="00DB5BBC"/>
    <w:rsid w:val="00DC1EF7"/>
    <w:rsid w:val="00DC1F0F"/>
    <w:rsid w:val="00DC3117"/>
    <w:rsid w:val="00DC5DD9"/>
    <w:rsid w:val="00DC6D2D"/>
    <w:rsid w:val="00DD64C2"/>
    <w:rsid w:val="00DD7971"/>
    <w:rsid w:val="00DE1DA2"/>
    <w:rsid w:val="00DE33B5"/>
    <w:rsid w:val="00DE5E18"/>
    <w:rsid w:val="00DE6E01"/>
    <w:rsid w:val="00DF0487"/>
    <w:rsid w:val="00DF0A78"/>
    <w:rsid w:val="00DF1C5B"/>
    <w:rsid w:val="00DF5EA4"/>
    <w:rsid w:val="00E02681"/>
    <w:rsid w:val="00E02792"/>
    <w:rsid w:val="00E028AE"/>
    <w:rsid w:val="00E034D8"/>
    <w:rsid w:val="00E04CC0"/>
    <w:rsid w:val="00E15816"/>
    <w:rsid w:val="00E160D5"/>
    <w:rsid w:val="00E17835"/>
    <w:rsid w:val="00E239FF"/>
    <w:rsid w:val="00E24A6D"/>
    <w:rsid w:val="00E25F56"/>
    <w:rsid w:val="00E27D7B"/>
    <w:rsid w:val="00E30556"/>
    <w:rsid w:val="00E30981"/>
    <w:rsid w:val="00E32C7B"/>
    <w:rsid w:val="00E33136"/>
    <w:rsid w:val="00E34D7C"/>
    <w:rsid w:val="00E3639A"/>
    <w:rsid w:val="00E36C7E"/>
    <w:rsid w:val="00E3723D"/>
    <w:rsid w:val="00E44C89"/>
    <w:rsid w:val="00E470F6"/>
    <w:rsid w:val="00E50ED0"/>
    <w:rsid w:val="00E61BA2"/>
    <w:rsid w:val="00E63864"/>
    <w:rsid w:val="00E63FC9"/>
    <w:rsid w:val="00E6403F"/>
    <w:rsid w:val="00E64725"/>
    <w:rsid w:val="00E75449"/>
    <w:rsid w:val="00E770C4"/>
    <w:rsid w:val="00E84C5A"/>
    <w:rsid w:val="00E861DB"/>
    <w:rsid w:val="00E93406"/>
    <w:rsid w:val="00E956C5"/>
    <w:rsid w:val="00E9579A"/>
    <w:rsid w:val="00E95C39"/>
    <w:rsid w:val="00EA2C39"/>
    <w:rsid w:val="00EA4F4B"/>
    <w:rsid w:val="00EA6D29"/>
    <w:rsid w:val="00EB0A3C"/>
    <w:rsid w:val="00EB0A96"/>
    <w:rsid w:val="00EB77F9"/>
    <w:rsid w:val="00EC5769"/>
    <w:rsid w:val="00EC7D00"/>
    <w:rsid w:val="00ED0304"/>
    <w:rsid w:val="00ED087C"/>
    <w:rsid w:val="00EE38FA"/>
    <w:rsid w:val="00EE3B3C"/>
    <w:rsid w:val="00EE3E2C"/>
    <w:rsid w:val="00EE5D23"/>
    <w:rsid w:val="00EE750D"/>
    <w:rsid w:val="00EF028C"/>
    <w:rsid w:val="00EF3CA4"/>
    <w:rsid w:val="00EF5E1F"/>
    <w:rsid w:val="00EF7859"/>
    <w:rsid w:val="00F014DA"/>
    <w:rsid w:val="00F01BE6"/>
    <w:rsid w:val="00F02591"/>
    <w:rsid w:val="00F14273"/>
    <w:rsid w:val="00F217CF"/>
    <w:rsid w:val="00F24CB0"/>
    <w:rsid w:val="00F24F21"/>
    <w:rsid w:val="00F30056"/>
    <w:rsid w:val="00F5696E"/>
    <w:rsid w:val="00F60EFF"/>
    <w:rsid w:val="00F67D2D"/>
    <w:rsid w:val="00F82599"/>
    <w:rsid w:val="00F860CC"/>
    <w:rsid w:val="00F90858"/>
    <w:rsid w:val="00F94398"/>
    <w:rsid w:val="00FA4629"/>
    <w:rsid w:val="00FB0845"/>
    <w:rsid w:val="00FB2142"/>
    <w:rsid w:val="00FB2B56"/>
    <w:rsid w:val="00FB37FF"/>
    <w:rsid w:val="00FB4297"/>
    <w:rsid w:val="00FB4E3A"/>
    <w:rsid w:val="00FC12BF"/>
    <w:rsid w:val="00FC1A7C"/>
    <w:rsid w:val="00FC2733"/>
    <w:rsid w:val="00FC2C60"/>
    <w:rsid w:val="00FC64AB"/>
    <w:rsid w:val="00FC7C79"/>
    <w:rsid w:val="00FD3E6F"/>
    <w:rsid w:val="00FD51B9"/>
    <w:rsid w:val="00FE04BF"/>
    <w:rsid w:val="00FE2A39"/>
    <w:rsid w:val="00FE2EF6"/>
    <w:rsid w:val="00FE3F44"/>
    <w:rsid w:val="00FE5B5A"/>
    <w:rsid w:val="00FE72CE"/>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nhideWhenUsed/>
    <w:rsid w:val="00A71E1C"/>
    <w:pPr>
      <w:spacing w:after="0"/>
    </w:pPr>
    <w:rPr>
      <w:sz w:val="20"/>
      <w:szCs w:val="20"/>
    </w:rPr>
  </w:style>
  <w:style w:type="character" w:customStyle="1" w:styleId="FootnoteTextChar">
    <w:name w:val="Footnote Text Char"/>
    <w:basedOn w:val="DefaultParagraphFont"/>
    <w:link w:val="FootnoteText"/>
    <w:rsid w:val="00A71E1C"/>
    <w:rPr>
      <w:rFonts w:ascii="Lato" w:hAnsi="Lato"/>
      <w:sz w:val="20"/>
      <w:szCs w:val="20"/>
    </w:rPr>
  </w:style>
  <w:style w:type="character" w:styleId="FootnoteReference">
    <w:name w:val="footnote reference"/>
    <w:basedOn w:val="DefaultParagraphFont"/>
    <w:unhideWhenUsed/>
    <w:rsid w:val="00A71E1C"/>
    <w:rPr>
      <w:vertAlign w:val="superscript"/>
    </w:rPr>
  </w:style>
  <w:style w:type="paragraph" w:styleId="EndnoteText">
    <w:name w:val="endnote text"/>
    <w:basedOn w:val="Normal"/>
    <w:link w:val="EndnoteTextChar"/>
    <w:uiPriority w:val="99"/>
    <w:unhideWhenUsed/>
    <w:rsid w:val="00F01BE6"/>
    <w:pPr>
      <w:spacing w:after="0"/>
    </w:pPr>
    <w:rPr>
      <w:sz w:val="20"/>
      <w:szCs w:val="20"/>
    </w:rPr>
  </w:style>
  <w:style w:type="character" w:customStyle="1" w:styleId="EndnoteTextChar">
    <w:name w:val="Endnote Text Char"/>
    <w:basedOn w:val="DefaultParagraphFont"/>
    <w:link w:val="EndnoteText"/>
    <w:uiPriority w:val="99"/>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table" w:customStyle="1" w:styleId="NTGtable">
    <w:name w:val="NTG table"/>
    <w:basedOn w:val="TableGrid"/>
    <w:uiPriority w:val="99"/>
    <w:rsid w:val="007035FF"/>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CommentReference">
    <w:name w:val="annotation reference"/>
    <w:basedOn w:val="DefaultParagraphFont"/>
    <w:uiPriority w:val="99"/>
    <w:semiHidden/>
    <w:unhideWhenUsed/>
    <w:rsid w:val="007035FF"/>
    <w:rPr>
      <w:sz w:val="16"/>
      <w:szCs w:val="16"/>
    </w:rPr>
  </w:style>
  <w:style w:type="paragraph" w:styleId="CommentText">
    <w:name w:val="annotation text"/>
    <w:basedOn w:val="Normal"/>
    <w:link w:val="CommentTextChar"/>
    <w:uiPriority w:val="99"/>
    <w:unhideWhenUsed/>
    <w:rsid w:val="007035FF"/>
    <w:rPr>
      <w:sz w:val="20"/>
      <w:szCs w:val="20"/>
    </w:rPr>
  </w:style>
  <w:style w:type="character" w:customStyle="1" w:styleId="CommentTextChar">
    <w:name w:val="Comment Text Char"/>
    <w:basedOn w:val="DefaultParagraphFont"/>
    <w:link w:val="CommentText"/>
    <w:uiPriority w:val="99"/>
    <w:rsid w:val="007035FF"/>
    <w:rPr>
      <w:rFonts w:ascii="Lato" w:hAnsi="Lato"/>
      <w:sz w:val="20"/>
      <w:szCs w:val="20"/>
    </w:rPr>
  </w:style>
  <w:style w:type="paragraph" w:styleId="BalloonText">
    <w:name w:val="Balloon Text"/>
    <w:basedOn w:val="Normal"/>
    <w:link w:val="BalloonTextChar"/>
    <w:uiPriority w:val="99"/>
    <w:semiHidden/>
    <w:unhideWhenUsed/>
    <w:rsid w:val="007035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5FF"/>
    <w:rPr>
      <w:rFonts w:ascii="Segoe UI" w:hAnsi="Segoe UI" w:cs="Segoe UI"/>
      <w:sz w:val="18"/>
      <w:szCs w:val="18"/>
    </w:rPr>
  </w:style>
  <w:style w:type="character" w:styleId="FollowedHyperlink">
    <w:name w:val="FollowedHyperlink"/>
    <w:basedOn w:val="DefaultParagraphFont"/>
    <w:uiPriority w:val="99"/>
    <w:semiHidden/>
    <w:unhideWhenUsed/>
    <w:rsid w:val="007035FF"/>
    <w:rPr>
      <w:color w:val="8C4799" w:themeColor="followedHyperlink"/>
      <w:u w:val="single"/>
    </w:rPr>
  </w:style>
  <w:style w:type="character" w:styleId="UnresolvedMention">
    <w:name w:val="Unresolved Mention"/>
    <w:basedOn w:val="DefaultParagraphFont"/>
    <w:uiPriority w:val="99"/>
    <w:semiHidden/>
    <w:unhideWhenUsed/>
    <w:rsid w:val="00703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ducation.nt.gov.au/policies/health-safety/school-nutrition-and-healthy-eating" TargetMode="External"/><Relationship Id="rId26" Type="http://schemas.openxmlformats.org/officeDocument/2006/relationships/hyperlink" Target="https://www.scirp.org/index.aspx" TargetMode="External"/><Relationship Id="rId3" Type="http://schemas.openxmlformats.org/officeDocument/2006/relationships/numbering" Target="numbering.xml"/><Relationship Id="rId21" Type="http://schemas.openxmlformats.org/officeDocument/2006/relationships/hyperlink" Target="https://www.focis.com.au/"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health.gov.au/resources/publications/national-healthy-school-canteens-guidelines-for-healthy-foods-and-drinks-supplied-in-school-canteens" TargetMode="External"/><Relationship Id="rId25" Type="http://schemas.openxmlformats.org/officeDocument/2006/relationships/hyperlink" Target="https://www.aihw.gov.au/reports/dental-oral-health/oral-health-and-dental-care-in-australia/contents/introduction" TargetMode="External"/><Relationship Id="rId2" Type="http://schemas.openxmlformats.org/officeDocument/2006/relationships/customXml" Target="../customXml/item2.xml"/><Relationship Id="rId16" Type="http://schemas.openxmlformats.org/officeDocument/2006/relationships/hyperlink" Target="https://legislation.nt.gov.au/Legislation/EDUCATION-AND-CARE-SERVICES-NATIONAL-UNIFORM-LEGISLATION-ACT-2011" TargetMode="External"/><Relationship Id="rId20" Type="http://schemas.openxmlformats.org/officeDocument/2006/relationships/hyperlink" Target="https://education.nt.gov.au/support-for-teachers/faf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aihw.gov.au/reports-statistics/behaviours-risk-factors/overweight-obesity/overview"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gislation.nsw.gov.au/view/html/inforce/current/sl-2011-0653" TargetMode="External"/><Relationship Id="rId23" Type="http://schemas.openxmlformats.org/officeDocument/2006/relationships/hyperlink" Target="https://researchprofiles.canberra.edu.au/en/publications/school-canteens-a-systematic-review-of-the-policy-perceptions-and"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eatforhealth.gov.au/guidelines/australian-guide-healthy-eating"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ducation.nt.gov.au/policies/health-safety/school-nutrition-and-healthy-eating" TargetMode="External"/><Relationship Id="rId22" Type="http://schemas.openxmlformats.org/officeDocument/2006/relationships/hyperlink" Target="https://www.cdc.gov/about/organization/cio-orgcharts/nccdphp.html" TargetMode="External"/><Relationship Id="rId27" Type="http://schemas.openxmlformats.org/officeDocument/2006/relationships/hyperlink" Target="mailto:swipolicy.doe@education.nt.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WorkArea/DownloadAsset.aspx?id=60129554609" TargetMode="External"/><Relationship Id="rId2" Type="http://schemas.openxmlformats.org/officeDocument/2006/relationships/hyperlink" Target="https://www.aihw.gov.au/reports-statistics/behaviours-risk-factors/overweight-obesity/overview" TargetMode="External"/><Relationship Id="rId1" Type="http://schemas.openxmlformats.org/officeDocument/2006/relationships/hyperlink" Target="https://www.cdc.gov/about/organization/cio-orgcharts/nccdphp.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2D3DEEA54CB94109A89E4F116745DFC8"/>
        <w:category>
          <w:name w:val="General"/>
          <w:gallery w:val="placeholder"/>
        </w:category>
        <w:types>
          <w:type w:val="bbPlcHdr"/>
        </w:types>
        <w:behaviors>
          <w:behavior w:val="content"/>
        </w:behaviors>
        <w:guid w:val="{05A99D6E-C9E2-4B6F-9D72-7B52046E9BB9}"/>
      </w:docPartPr>
      <w:docPartBody>
        <w:p w:rsidR="00EC591D" w:rsidRDefault="00EC591D" w:rsidP="00EC591D">
          <w:pPr>
            <w:pStyle w:val="2D3DEEA54CB94109A89E4F116745DFC8"/>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1127C9"/>
    <w:rsid w:val="00136DFC"/>
    <w:rsid w:val="001E3F9F"/>
    <w:rsid w:val="00266CC9"/>
    <w:rsid w:val="003A0F64"/>
    <w:rsid w:val="00536110"/>
    <w:rsid w:val="00990770"/>
    <w:rsid w:val="00B00ED6"/>
    <w:rsid w:val="00C16608"/>
    <w:rsid w:val="00C35A46"/>
    <w:rsid w:val="00CF6318"/>
    <w:rsid w:val="00E456A4"/>
    <w:rsid w:val="00EC591D"/>
    <w:rsid w:val="00F22BD7"/>
    <w:rsid w:val="00FA78FC"/>
    <w:rsid w:val="00FC7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91D"/>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2D3DEEA54CB94109A89E4F116745DFC8">
    <w:name w:val="2D3DEEA54CB94109A89E4F116745DFC8"/>
    <w:rsid w:val="00EC5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60D968-2D90-4637-9938-E6027868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0</TotalTime>
  <Pages>9</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School nutrition and healthy eating – policy</vt:lpstr>
    </vt:vector>
  </TitlesOfParts>
  <Company>Education</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nutrition and healthy eating – policy</dc:title>
  <dc:creator>Northern Territory Government</dc:creator>
  <cp:lastModifiedBy>Jessica Lai</cp:lastModifiedBy>
  <cp:revision>2</cp:revision>
  <cp:lastPrinted>2016-02-04T04:37:00Z</cp:lastPrinted>
  <dcterms:created xsi:type="dcterms:W3CDTF">2023-09-19T03:26:00Z</dcterms:created>
  <dcterms:modified xsi:type="dcterms:W3CDTF">2023-09-19T03:26:00Z</dcterms:modified>
</cp:coreProperties>
</file>