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4247C" w14:textId="54FBCAC3" w:rsidR="003C4941" w:rsidRDefault="00795406" w:rsidP="003C4941">
      <w:pPr>
        <w:pStyle w:val="Heading1"/>
        <w:rPr>
          <w:lang w:eastAsia="en-AU"/>
        </w:rPr>
      </w:pPr>
      <w:r>
        <w:t>Education Standards and Registration Board Bill</w:t>
      </w:r>
      <w:r w:rsidR="007B2A9A">
        <w:t xml:space="preserve"> 2026</w:t>
      </w:r>
    </w:p>
    <w:p w14:paraId="1CB63EB5" w14:textId="0006002A" w:rsidR="00570FA2" w:rsidRDefault="003311EE" w:rsidP="003311EE">
      <w:pPr>
        <w:pStyle w:val="Heading2"/>
      </w:pPr>
      <w:r>
        <w:t>What is the purpose of the Bill?</w:t>
      </w:r>
    </w:p>
    <w:p w14:paraId="37988B87" w14:textId="744B5301" w:rsidR="003311EE" w:rsidRPr="003311EE" w:rsidRDefault="003311EE" w:rsidP="003311EE">
      <w:r>
        <w:t xml:space="preserve">The Bill implements the recommendations of the </w:t>
      </w:r>
      <w:hyperlink r:id="rId12" w:history="1">
        <w:r w:rsidRPr="003311EE">
          <w:rPr>
            <w:rStyle w:val="Hyperlink"/>
            <w:i/>
            <w:iCs/>
          </w:rPr>
          <w:t>Review of the Northern Territory Board of Studies and Teacher Registration Board</w:t>
        </w:r>
      </w:hyperlink>
      <w:r w:rsidRPr="00BE1785">
        <w:t xml:space="preserve"> which seek to contemporise current practice, </w:t>
      </w:r>
      <w:r w:rsidR="00C52625">
        <w:t xml:space="preserve">remove duplication of effort across current Boards </w:t>
      </w:r>
      <w:r w:rsidRPr="00BE1785">
        <w:t>and deliver regulatory outcomes through streamlining the delivery of functions</w:t>
      </w:r>
      <w:r>
        <w:t>.</w:t>
      </w:r>
    </w:p>
    <w:p w14:paraId="2F8831CA" w14:textId="0C7EAE33" w:rsidR="00570FA2" w:rsidRDefault="003311EE" w:rsidP="003311EE">
      <w:pPr>
        <w:pStyle w:val="Heading2"/>
        <w:rPr>
          <w:lang w:eastAsia="en-AU"/>
        </w:rPr>
      </w:pPr>
      <w:r>
        <w:rPr>
          <w:lang w:eastAsia="en-AU"/>
        </w:rPr>
        <w:t>What are the key features of the Bill?</w:t>
      </w:r>
    </w:p>
    <w:p w14:paraId="1C1CF320" w14:textId="42CE934B" w:rsidR="003311EE" w:rsidRPr="00BE1785" w:rsidRDefault="003311EE" w:rsidP="003311EE">
      <w:pPr>
        <w:jc w:val="both"/>
      </w:pPr>
      <w:r>
        <w:t>T</w:t>
      </w:r>
      <w:r w:rsidRPr="00BE1785">
        <w:t xml:space="preserve">he Bill establishes a new Act called the </w:t>
      </w:r>
      <w:r w:rsidRPr="003311EE">
        <w:rPr>
          <w:i/>
          <w:iCs/>
        </w:rPr>
        <w:t>Education Standards and Registration Board Act 2026</w:t>
      </w:r>
      <w:r w:rsidRPr="00BE1785">
        <w:t xml:space="preserve"> to: </w:t>
      </w:r>
    </w:p>
    <w:p w14:paraId="1DA7E400" w14:textId="77777777" w:rsidR="003311EE" w:rsidRPr="00BE1785" w:rsidRDefault="003311EE" w:rsidP="00C96127">
      <w:pPr>
        <w:pStyle w:val="ListParagraph"/>
        <w:numPr>
          <w:ilvl w:val="0"/>
          <w:numId w:val="9"/>
        </w:numPr>
        <w:jc w:val="both"/>
      </w:pPr>
      <w:r w:rsidRPr="00BE1785">
        <w:t xml:space="preserve">establish a new statutory board, called the Education Standards and Registration Board </w:t>
      </w:r>
    </w:p>
    <w:p w14:paraId="4CE29184" w14:textId="15AE9657" w:rsidR="003311EE" w:rsidRPr="00BE1785" w:rsidRDefault="003311EE" w:rsidP="00C96127">
      <w:pPr>
        <w:pStyle w:val="ListParagraph"/>
        <w:numPr>
          <w:ilvl w:val="0"/>
          <w:numId w:val="9"/>
        </w:numPr>
        <w:jc w:val="both"/>
      </w:pPr>
      <w:r w:rsidRPr="00BE1785">
        <w:t>transfer and amalgamate the functions of the NT Board of Studies and the Teache</w:t>
      </w:r>
      <w:r>
        <w:t xml:space="preserve">r </w:t>
      </w:r>
      <w:r w:rsidRPr="00BE1785">
        <w:t xml:space="preserve">Registration Board into the Education Standards and Registration Board </w:t>
      </w:r>
    </w:p>
    <w:p w14:paraId="2AF553AA" w14:textId="77777777" w:rsidR="003311EE" w:rsidRPr="00BE1785" w:rsidRDefault="003311EE" w:rsidP="00C96127">
      <w:pPr>
        <w:pStyle w:val="ListParagraph"/>
        <w:numPr>
          <w:ilvl w:val="0"/>
          <w:numId w:val="9"/>
        </w:numPr>
        <w:jc w:val="both"/>
      </w:pPr>
      <w:r w:rsidRPr="00BE1785">
        <w:t>provide for Ministerial appoint</w:t>
      </w:r>
      <w:r>
        <w:t>ment</w:t>
      </w:r>
      <w:r w:rsidRPr="00BE1785">
        <w:t xml:space="preserve"> of a skills-based board comprising of at least 7 members</w:t>
      </w:r>
    </w:p>
    <w:p w14:paraId="20976B04" w14:textId="77777777" w:rsidR="003311EE" w:rsidRPr="00BE1785" w:rsidRDefault="003311EE" w:rsidP="00C96127">
      <w:pPr>
        <w:pStyle w:val="ListParagraph"/>
        <w:numPr>
          <w:ilvl w:val="0"/>
          <w:numId w:val="9"/>
        </w:numPr>
        <w:jc w:val="both"/>
      </w:pPr>
      <w:r w:rsidRPr="00BE1785">
        <w:t>provide a framework for cross</w:t>
      </w:r>
      <w:r>
        <w:t>-</w:t>
      </w:r>
      <w:r w:rsidRPr="00BE1785">
        <w:t>sectorial representation</w:t>
      </w:r>
    </w:p>
    <w:p w14:paraId="41BD7421" w14:textId="1D6E4218" w:rsidR="003311EE" w:rsidRDefault="003311EE" w:rsidP="00C96127">
      <w:pPr>
        <w:pStyle w:val="ListParagraph"/>
        <w:numPr>
          <w:ilvl w:val="0"/>
          <w:numId w:val="9"/>
        </w:numPr>
        <w:rPr>
          <w:lang w:eastAsia="en-AU"/>
        </w:rPr>
      </w:pPr>
      <w:r w:rsidRPr="00BE1785">
        <w:t>establish strong administrative and governance arrangements for the Education Standards and Registration Board</w:t>
      </w:r>
      <w:r>
        <w:t>.</w:t>
      </w:r>
    </w:p>
    <w:p w14:paraId="1B0F83CA" w14:textId="3794C863" w:rsidR="003311EE" w:rsidRDefault="003311EE" w:rsidP="003311EE">
      <w:pPr>
        <w:pStyle w:val="Heading2"/>
        <w:rPr>
          <w:lang w:eastAsia="en-AU"/>
        </w:rPr>
      </w:pPr>
      <w:r>
        <w:rPr>
          <w:lang w:eastAsia="en-AU"/>
        </w:rPr>
        <w:t>What will the new Board be responsible for?</w:t>
      </w:r>
    </w:p>
    <w:p w14:paraId="43BEDCB2" w14:textId="6BDEFEE4" w:rsidR="003311EE" w:rsidRDefault="003311EE" w:rsidP="00C96127">
      <w:pPr>
        <w:pStyle w:val="ListParagraph"/>
        <w:numPr>
          <w:ilvl w:val="0"/>
          <w:numId w:val="10"/>
        </w:numPr>
        <w:ind w:left="360"/>
        <w:rPr>
          <w:lang w:eastAsia="en-AU"/>
        </w:rPr>
      </w:pPr>
      <w:r>
        <w:rPr>
          <w:lang w:eastAsia="en-AU"/>
        </w:rPr>
        <w:t xml:space="preserve">The </w:t>
      </w:r>
      <w:r w:rsidR="00C52625">
        <w:rPr>
          <w:lang w:eastAsia="en-AU"/>
        </w:rPr>
        <w:t>c</w:t>
      </w:r>
      <w:r>
        <w:rPr>
          <w:lang w:eastAsia="en-AU"/>
        </w:rPr>
        <w:t>urriculum, assessment and certification functions of the NT Teacher Requisition Board, including:</w:t>
      </w:r>
    </w:p>
    <w:p w14:paraId="1C6AABA0" w14:textId="77777777" w:rsidR="003311EE" w:rsidRDefault="003311EE" w:rsidP="00C96127">
      <w:pPr>
        <w:pStyle w:val="ListParagraph"/>
        <w:numPr>
          <w:ilvl w:val="0"/>
          <w:numId w:val="11"/>
        </w:numPr>
        <w:rPr>
          <w:lang w:eastAsia="en-AU"/>
        </w:rPr>
      </w:pPr>
      <w:r>
        <w:rPr>
          <w:lang w:eastAsia="en-AU"/>
        </w:rPr>
        <w:t xml:space="preserve">providing curriculum, assessment and certification advice to the Minister </w:t>
      </w:r>
    </w:p>
    <w:p w14:paraId="7403F36E" w14:textId="7F8C4D57" w:rsidR="003311EE" w:rsidRDefault="003311EE" w:rsidP="00C96127">
      <w:pPr>
        <w:pStyle w:val="ListParagraph"/>
        <w:numPr>
          <w:ilvl w:val="0"/>
          <w:numId w:val="11"/>
        </w:numPr>
        <w:rPr>
          <w:lang w:eastAsia="en-AU"/>
        </w:rPr>
      </w:pPr>
      <w:r>
        <w:rPr>
          <w:lang w:eastAsia="en-AU"/>
        </w:rPr>
        <w:t xml:space="preserve">issuing certificates of education to NT students under the </w:t>
      </w:r>
      <w:r w:rsidRPr="00C52625">
        <w:rPr>
          <w:i/>
          <w:lang w:eastAsia="en-AU"/>
        </w:rPr>
        <w:t>Education Act 2015.</w:t>
      </w:r>
    </w:p>
    <w:p w14:paraId="7EA5092F" w14:textId="35576948" w:rsidR="003311EE" w:rsidRDefault="00C52625" w:rsidP="00C96127">
      <w:pPr>
        <w:pStyle w:val="ListParagraph"/>
        <w:numPr>
          <w:ilvl w:val="0"/>
          <w:numId w:val="10"/>
        </w:numPr>
        <w:ind w:left="360"/>
        <w:rPr>
          <w:lang w:eastAsia="en-AU"/>
        </w:rPr>
      </w:pPr>
      <w:r>
        <w:rPr>
          <w:lang w:eastAsia="en-AU"/>
        </w:rPr>
        <w:t>The teacher regulation functions of the Teacher Registration Board including</w:t>
      </w:r>
    </w:p>
    <w:p w14:paraId="3424E733" w14:textId="23F51332" w:rsidR="00C52625" w:rsidRDefault="00C52625" w:rsidP="00C96127">
      <w:pPr>
        <w:pStyle w:val="ListParagraph"/>
        <w:numPr>
          <w:ilvl w:val="1"/>
          <w:numId w:val="10"/>
        </w:numPr>
        <w:ind w:left="709"/>
        <w:rPr>
          <w:lang w:eastAsia="en-AU"/>
        </w:rPr>
      </w:pPr>
      <w:r>
        <w:rPr>
          <w:lang w:eastAsia="en-AU"/>
        </w:rPr>
        <w:t xml:space="preserve">Administering the </w:t>
      </w:r>
      <w:r w:rsidRPr="00C52625">
        <w:rPr>
          <w:i/>
          <w:iCs w:val="0"/>
          <w:lang w:eastAsia="en-AU"/>
        </w:rPr>
        <w:t>Teacher Registration (Northern Territory) Act 2004</w:t>
      </w:r>
      <w:r>
        <w:rPr>
          <w:i/>
          <w:iCs w:val="0"/>
          <w:lang w:eastAsia="en-AU"/>
        </w:rPr>
        <w:t>.</w:t>
      </w:r>
    </w:p>
    <w:p w14:paraId="6BE22861" w14:textId="77777777" w:rsidR="00BB0253" w:rsidRPr="00BB0253" w:rsidRDefault="00BB0253" w:rsidP="00BB0253">
      <w:pPr>
        <w:pStyle w:val="Heading2"/>
        <w:rPr>
          <w:lang w:eastAsia="en-AU"/>
        </w:rPr>
      </w:pPr>
      <w:r>
        <w:rPr>
          <w:lang w:eastAsia="en-AU"/>
        </w:rPr>
        <w:t>How will a Board of 7 members manage these responsibilities?</w:t>
      </w:r>
    </w:p>
    <w:p w14:paraId="4D516B95" w14:textId="1755646A" w:rsidR="00BB0253" w:rsidRDefault="00BB0253" w:rsidP="00BB0253">
      <w:r w:rsidRPr="00433359">
        <w:t>Seven members is the minimum</w:t>
      </w:r>
      <w:r>
        <w:t xml:space="preserve"> number of appointments</w:t>
      </w:r>
      <w:r w:rsidR="009B2B32">
        <w:t xml:space="preserve"> with the Bill providing</w:t>
      </w:r>
      <w:r w:rsidRPr="00433359">
        <w:t xml:space="preserve"> flexibility to appoint additional members if required</w:t>
      </w:r>
      <w:r w:rsidR="009B2B32">
        <w:t xml:space="preserve">. </w:t>
      </w:r>
    </w:p>
    <w:p w14:paraId="38F00AFC" w14:textId="308759C5" w:rsidR="00BB0253" w:rsidRDefault="00BB0253" w:rsidP="009B2B32">
      <w:pPr>
        <w:rPr>
          <w:lang w:eastAsia="en-AU"/>
        </w:rPr>
      </w:pPr>
      <w:r>
        <w:t xml:space="preserve">The </w:t>
      </w:r>
      <w:r w:rsidR="009B2B32">
        <w:t xml:space="preserve">Bill also provides the Board with the </w:t>
      </w:r>
      <w:r>
        <w:t>ability to effectively delegate</w:t>
      </w:r>
      <w:r w:rsidR="009B2B32">
        <w:t xml:space="preserve"> its functions</w:t>
      </w:r>
      <w:r>
        <w:t>, establish committees, and appoint advisers</w:t>
      </w:r>
      <w:r w:rsidR="009B2B32">
        <w:t xml:space="preserve">. Together these mechanisms </w:t>
      </w:r>
      <w:r>
        <w:t>support a smaller strategically focused board to efficiently carry out its functions and powers</w:t>
      </w:r>
      <w:r w:rsidR="009B2B32">
        <w:t>.</w:t>
      </w:r>
    </w:p>
    <w:p w14:paraId="0D6DCE62" w14:textId="39EFA093" w:rsidR="00C52625" w:rsidRDefault="00C52625" w:rsidP="00C52625">
      <w:pPr>
        <w:pStyle w:val="Heading2"/>
        <w:rPr>
          <w:lang w:eastAsia="en-AU"/>
        </w:rPr>
      </w:pPr>
      <w:r>
        <w:rPr>
          <w:lang w:eastAsia="en-AU"/>
        </w:rPr>
        <w:lastRenderedPageBreak/>
        <w:t>What is a skills-based board?</w:t>
      </w:r>
    </w:p>
    <w:p w14:paraId="44BFB603" w14:textId="0EE212F0" w:rsidR="00C52625" w:rsidRDefault="007B2A9A" w:rsidP="00C52625">
      <w:r w:rsidRPr="00AE040F">
        <w:t xml:space="preserve">A skills-based </w:t>
      </w:r>
      <w:r>
        <w:t>b</w:t>
      </w:r>
      <w:r w:rsidRPr="00AE040F">
        <w:t xml:space="preserve">oard </w:t>
      </w:r>
      <w:r>
        <w:t xml:space="preserve">appoints members based on a set of skills and expertise </w:t>
      </w:r>
      <w:r w:rsidR="009503CD">
        <w:t xml:space="preserve">with the aim of achieving a </w:t>
      </w:r>
      <w:r>
        <w:t xml:space="preserve">Board </w:t>
      </w:r>
      <w:r w:rsidR="009503CD">
        <w:t>composition that collectively reflects the</w:t>
      </w:r>
      <w:r w:rsidRPr="00AE040F">
        <w:t xml:space="preserve"> knowledge</w:t>
      </w:r>
      <w:r w:rsidR="009503CD">
        <w:t>, skills</w:t>
      </w:r>
      <w:r w:rsidRPr="00AE040F">
        <w:t xml:space="preserve"> and experience needed to perform the Board's statutory functions</w:t>
      </w:r>
      <w:r>
        <w:t>.</w:t>
      </w:r>
    </w:p>
    <w:p w14:paraId="53FBC5B4" w14:textId="7D9911FD" w:rsidR="00C52625" w:rsidRDefault="00C52625" w:rsidP="00C52625">
      <w:pPr>
        <w:pStyle w:val="Heading2"/>
        <w:rPr>
          <w:lang w:eastAsia="en-AU"/>
        </w:rPr>
      </w:pPr>
      <w:r>
        <w:rPr>
          <w:lang w:eastAsia="en-AU"/>
        </w:rPr>
        <w:t xml:space="preserve">What skills </w:t>
      </w:r>
      <w:r w:rsidR="007B2A9A">
        <w:rPr>
          <w:lang w:eastAsia="en-AU"/>
        </w:rPr>
        <w:t xml:space="preserve">does the Bill require </w:t>
      </w:r>
      <w:r>
        <w:rPr>
          <w:lang w:eastAsia="en-AU"/>
        </w:rPr>
        <w:t>members to have?</w:t>
      </w:r>
    </w:p>
    <w:p w14:paraId="49FA7D26" w14:textId="157E6E19" w:rsidR="00C52625" w:rsidRDefault="007B2A9A" w:rsidP="00C52625">
      <w:pPr>
        <w:rPr>
          <w:lang w:eastAsia="en-AU"/>
        </w:rPr>
      </w:pPr>
      <w:r>
        <w:rPr>
          <w:lang w:eastAsia="en-AU"/>
        </w:rPr>
        <w:t xml:space="preserve">The Bill requires each member of the Board to have skills and expertise </w:t>
      </w:r>
      <w:r w:rsidR="009503CD">
        <w:rPr>
          <w:lang w:eastAsia="en-AU"/>
        </w:rPr>
        <w:t>in</w:t>
      </w:r>
      <w:r>
        <w:rPr>
          <w:lang w:eastAsia="en-AU"/>
        </w:rPr>
        <w:t xml:space="preserve"> the following areas:</w:t>
      </w:r>
    </w:p>
    <w:p w14:paraId="24016F98" w14:textId="1A16975D" w:rsidR="007B2A9A" w:rsidRDefault="007B2A9A" w:rsidP="00C96127">
      <w:pPr>
        <w:pStyle w:val="ListParagraph"/>
        <w:numPr>
          <w:ilvl w:val="0"/>
          <w:numId w:val="13"/>
        </w:numPr>
        <w:rPr>
          <w:lang w:eastAsia="en-AU"/>
        </w:rPr>
      </w:pPr>
      <w:r>
        <w:rPr>
          <w:lang w:eastAsia="en-AU"/>
        </w:rPr>
        <w:t>Education system, school and student performance</w:t>
      </w:r>
    </w:p>
    <w:p w14:paraId="4E026092" w14:textId="474AC46B" w:rsidR="007B2A9A" w:rsidRDefault="007B2A9A" w:rsidP="00C96127">
      <w:pPr>
        <w:pStyle w:val="ListParagraph"/>
        <w:numPr>
          <w:ilvl w:val="0"/>
          <w:numId w:val="13"/>
        </w:numPr>
        <w:rPr>
          <w:lang w:eastAsia="en-AU"/>
        </w:rPr>
      </w:pPr>
      <w:r>
        <w:rPr>
          <w:lang w:eastAsia="en-AU"/>
        </w:rPr>
        <w:t>Teaching and learning expertise</w:t>
      </w:r>
    </w:p>
    <w:p w14:paraId="28746074" w14:textId="5047F14B" w:rsidR="007B2A9A" w:rsidRDefault="007B2A9A" w:rsidP="00C96127">
      <w:pPr>
        <w:pStyle w:val="ListParagraph"/>
        <w:numPr>
          <w:ilvl w:val="0"/>
          <w:numId w:val="13"/>
        </w:numPr>
        <w:rPr>
          <w:lang w:eastAsia="en-AU"/>
        </w:rPr>
      </w:pPr>
      <w:r>
        <w:rPr>
          <w:lang w:eastAsia="en-AU"/>
        </w:rPr>
        <w:t>Workforce development</w:t>
      </w:r>
    </w:p>
    <w:p w14:paraId="0D4AD93D" w14:textId="06FAD617" w:rsidR="007B2A9A" w:rsidRDefault="007B2A9A" w:rsidP="00C96127">
      <w:pPr>
        <w:pStyle w:val="ListParagraph"/>
        <w:numPr>
          <w:ilvl w:val="0"/>
          <w:numId w:val="13"/>
        </w:numPr>
        <w:rPr>
          <w:lang w:eastAsia="en-AU"/>
        </w:rPr>
      </w:pPr>
      <w:r>
        <w:rPr>
          <w:lang w:eastAsia="en-AU"/>
        </w:rPr>
        <w:t xml:space="preserve">Law or regulatory practice </w:t>
      </w:r>
    </w:p>
    <w:p w14:paraId="2B38CB63" w14:textId="01B0C5DA" w:rsidR="007B2A9A" w:rsidRDefault="007B2A9A" w:rsidP="00C96127">
      <w:pPr>
        <w:pStyle w:val="ListParagraph"/>
        <w:numPr>
          <w:ilvl w:val="0"/>
          <w:numId w:val="13"/>
        </w:numPr>
        <w:rPr>
          <w:lang w:eastAsia="en-AU"/>
        </w:rPr>
      </w:pPr>
      <w:r>
        <w:rPr>
          <w:lang w:eastAsia="en-AU"/>
        </w:rPr>
        <w:t>Corporate governance</w:t>
      </w:r>
    </w:p>
    <w:p w14:paraId="360B47A2" w14:textId="583333D6" w:rsidR="00BB0253" w:rsidRDefault="00BB0253" w:rsidP="00C96127">
      <w:pPr>
        <w:pStyle w:val="ListParagraph"/>
        <w:numPr>
          <w:ilvl w:val="0"/>
          <w:numId w:val="13"/>
        </w:numPr>
        <w:rPr>
          <w:lang w:eastAsia="en-AU"/>
        </w:rPr>
      </w:pPr>
      <w:r>
        <w:rPr>
          <w:lang w:eastAsia="en-AU"/>
        </w:rPr>
        <w:t>Other skills or experience that the Minister considers appropriate</w:t>
      </w:r>
    </w:p>
    <w:p w14:paraId="06E2AA63" w14:textId="01183E43" w:rsidR="007B2A9A" w:rsidRDefault="007B2A9A" w:rsidP="007B2A9A">
      <w:pPr>
        <w:rPr>
          <w:lang w:eastAsia="en-AU"/>
        </w:rPr>
      </w:pPr>
      <w:r>
        <w:rPr>
          <w:lang w:eastAsia="en-AU"/>
        </w:rPr>
        <w:t xml:space="preserve">The blow table provides further detail on what </w:t>
      </w:r>
      <w:r w:rsidR="00783A9D">
        <w:rPr>
          <w:lang w:eastAsia="en-AU"/>
        </w:rPr>
        <w:t xml:space="preserve">the knowledge, </w:t>
      </w:r>
      <w:r>
        <w:rPr>
          <w:lang w:eastAsia="en-AU"/>
        </w:rPr>
        <w:t xml:space="preserve">skills </w:t>
      </w:r>
      <w:r w:rsidR="00783A9D">
        <w:rPr>
          <w:lang w:eastAsia="en-AU"/>
        </w:rPr>
        <w:t>and expertise looks like across the proposed skills framework.</w:t>
      </w:r>
    </w:p>
    <w:tbl>
      <w:tblPr>
        <w:tblStyle w:val="NTGtable1"/>
        <w:tblW w:w="10308" w:type="dxa"/>
        <w:tblLayout w:type="fixed"/>
        <w:tblLook w:val="0420" w:firstRow="1" w:lastRow="0" w:firstColumn="0" w:lastColumn="0" w:noHBand="0" w:noVBand="1"/>
      </w:tblPr>
      <w:tblGrid>
        <w:gridCol w:w="2405"/>
        <w:gridCol w:w="7903"/>
      </w:tblGrid>
      <w:tr w:rsidR="007B2A9A" w14:paraId="142E547F" w14:textId="77777777" w:rsidTr="007B2A9A">
        <w:trPr>
          <w:cnfStyle w:val="100000000000" w:firstRow="1" w:lastRow="0" w:firstColumn="0" w:lastColumn="0" w:oddVBand="0" w:evenVBand="0" w:oddHBand="0" w:evenHBand="0" w:firstRowFirstColumn="0" w:firstRowLastColumn="0" w:lastRowFirstColumn="0" w:lastRowLastColumn="0"/>
          <w:cantSplit/>
          <w:tblHeader/>
        </w:trPr>
        <w:tc>
          <w:tcPr>
            <w:tcW w:w="2405" w:type="dxa"/>
            <w:vAlign w:val="top"/>
          </w:tcPr>
          <w:p w14:paraId="781CC7D1" w14:textId="40D17D0E" w:rsidR="007B2A9A" w:rsidRPr="009E1CB8" w:rsidRDefault="007B2A9A" w:rsidP="007B2A9A">
            <w:pPr>
              <w:spacing w:before="0" w:after="120"/>
              <w:jc w:val="both"/>
              <w:rPr>
                <w:b w:val="0"/>
                <w:bCs/>
                <w:i/>
                <w:iCs/>
              </w:rPr>
            </w:pPr>
            <w:r>
              <w:rPr>
                <w:lang w:eastAsia="en-AU"/>
              </w:rPr>
              <w:t xml:space="preserve">Skill </w:t>
            </w:r>
          </w:p>
        </w:tc>
        <w:tc>
          <w:tcPr>
            <w:tcW w:w="7903" w:type="dxa"/>
            <w:vAlign w:val="top"/>
          </w:tcPr>
          <w:p w14:paraId="032A98A3" w14:textId="77777777" w:rsidR="007B2A9A" w:rsidRDefault="007B2A9A" w:rsidP="007B2A9A">
            <w:pPr>
              <w:spacing w:before="0" w:after="120"/>
              <w:jc w:val="both"/>
            </w:pPr>
            <w:r>
              <w:rPr>
                <w:lang w:eastAsia="en-AU"/>
              </w:rPr>
              <w:t>Description</w:t>
            </w:r>
          </w:p>
        </w:tc>
      </w:tr>
      <w:tr w:rsidR="007B2A9A" w14:paraId="72B6BF29" w14:textId="77777777" w:rsidTr="007B2A9A">
        <w:trPr>
          <w:cnfStyle w:val="000000100000" w:firstRow="0" w:lastRow="0" w:firstColumn="0" w:lastColumn="0" w:oddVBand="0" w:evenVBand="0" w:oddHBand="1" w:evenHBand="0" w:firstRowFirstColumn="0" w:firstRowLastColumn="0" w:lastRowFirstColumn="0" w:lastRowLastColumn="0"/>
          <w:cantSplit/>
        </w:trPr>
        <w:tc>
          <w:tcPr>
            <w:tcW w:w="2405" w:type="dxa"/>
            <w:vAlign w:val="top"/>
          </w:tcPr>
          <w:p w14:paraId="506C5737" w14:textId="77777777" w:rsidR="007B2A9A" w:rsidRDefault="007B2A9A" w:rsidP="007B2A9A">
            <w:pPr>
              <w:spacing w:before="0" w:after="120"/>
              <w:jc w:val="both"/>
            </w:pPr>
            <w:r>
              <w:rPr>
                <w:b/>
                <w:lang w:eastAsia="en-AU"/>
              </w:rPr>
              <w:t>Education systems, school and student performance</w:t>
            </w:r>
          </w:p>
          <w:p w14:paraId="675AC9F8" w14:textId="6FD52B17" w:rsidR="007B2A9A" w:rsidRDefault="007B2A9A" w:rsidP="007B2A9A">
            <w:pPr>
              <w:spacing w:before="0" w:after="120"/>
              <w:jc w:val="both"/>
            </w:pPr>
          </w:p>
        </w:tc>
        <w:tc>
          <w:tcPr>
            <w:tcW w:w="7903" w:type="dxa"/>
            <w:vAlign w:val="top"/>
          </w:tcPr>
          <w:p w14:paraId="21032C00" w14:textId="77777777" w:rsidR="007B2A9A" w:rsidRPr="004974B8" w:rsidRDefault="007B2A9A" w:rsidP="007B2A9A">
            <w:pPr>
              <w:spacing w:before="0" w:after="120"/>
              <w:jc w:val="both"/>
              <w:rPr>
                <w:lang w:eastAsia="en-AU"/>
              </w:rPr>
            </w:pPr>
            <w:r w:rsidRPr="004974B8">
              <w:rPr>
                <w:lang w:eastAsia="en-AU"/>
              </w:rPr>
              <w:t>Knowledge and experience relating to the design, stewardship and performance of early childhood and school education systems. This includes an understanding of how curriculum, assessment, certification, teaching quality, workforce capability, regulation, wellbeing and inclusion interact to influence student outcomes.</w:t>
            </w:r>
          </w:p>
          <w:p w14:paraId="11BBCDFA" w14:textId="2E527EBD" w:rsidR="007B2A9A" w:rsidRPr="004974B8" w:rsidRDefault="007B2A9A" w:rsidP="007B2A9A">
            <w:pPr>
              <w:spacing w:before="0" w:after="120"/>
              <w:jc w:val="both"/>
              <w:rPr>
                <w:lang w:eastAsia="en-AU"/>
              </w:rPr>
            </w:pPr>
            <w:r>
              <w:rPr>
                <w:lang w:eastAsia="en-AU"/>
              </w:rPr>
              <w:t>Members must understand</w:t>
            </w:r>
            <w:r w:rsidRPr="004974B8">
              <w:rPr>
                <w:lang w:eastAsia="en-AU"/>
              </w:rPr>
              <w:t xml:space="preserve"> the diversity of educational settings and communities across the Northern Territory and </w:t>
            </w:r>
            <w:r>
              <w:rPr>
                <w:lang w:eastAsia="en-AU"/>
              </w:rPr>
              <w:t>the ability to consider</w:t>
            </w:r>
            <w:r w:rsidRPr="004974B8">
              <w:rPr>
                <w:lang w:eastAsia="en-AU"/>
              </w:rPr>
              <w:t xml:space="preserve"> </w:t>
            </w:r>
            <w:r>
              <w:rPr>
                <w:lang w:eastAsia="en-AU"/>
              </w:rPr>
              <w:t xml:space="preserve">the impacts of </w:t>
            </w:r>
            <w:r w:rsidRPr="004974B8">
              <w:rPr>
                <w:lang w:eastAsia="en-AU"/>
              </w:rPr>
              <w:t>decisions across the government, Catholic and independent education sectors.</w:t>
            </w:r>
          </w:p>
          <w:p w14:paraId="6CD9985B" w14:textId="77777777" w:rsidR="007B2A9A" w:rsidRDefault="007B2A9A" w:rsidP="007B2A9A">
            <w:pPr>
              <w:spacing w:before="0" w:after="120"/>
              <w:jc w:val="both"/>
              <w:rPr>
                <w:lang w:eastAsia="en-AU"/>
              </w:rPr>
            </w:pPr>
            <w:r w:rsidRPr="004974B8">
              <w:rPr>
                <w:lang w:eastAsia="en-AU"/>
              </w:rPr>
              <w:t>Relevant experience may include system leadership or governance; strategic education policy and reform; cross-sector planning; education performance and accountability frameworks; curriculum, assessment or certification; school improvement; program evaluation; interpretation of student, school and system performance data; Aboriginal education; remote and regional education; or initiatives that improve learning, wellbeing and equity at scale.</w:t>
            </w:r>
          </w:p>
        </w:tc>
      </w:tr>
      <w:tr w:rsidR="007B2A9A" w14:paraId="7AE21F1B" w14:textId="77777777" w:rsidTr="007B2A9A">
        <w:trPr>
          <w:cnfStyle w:val="000000010000" w:firstRow="0" w:lastRow="0" w:firstColumn="0" w:lastColumn="0" w:oddVBand="0" w:evenVBand="0" w:oddHBand="0" w:evenHBand="1" w:firstRowFirstColumn="0" w:firstRowLastColumn="0" w:lastRowFirstColumn="0" w:lastRowLastColumn="0"/>
          <w:cantSplit/>
        </w:trPr>
        <w:tc>
          <w:tcPr>
            <w:tcW w:w="2405" w:type="dxa"/>
            <w:vAlign w:val="top"/>
          </w:tcPr>
          <w:p w14:paraId="67D07B82" w14:textId="77777777" w:rsidR="007B2A9A" w:rsidRDefault="007B2A9A" w:rsidP="007B2A9A">
            <w:pPr>
              <w:spacing w:before="0" w:after="120"/>
              <w:jc w:val="both"/>
            </w:pPr>
            <w:r>
              <w:rPr>
                <w:b/>
                <w:lang w:eastAsia="en-AU"/>
              </w:rPr>
              <w:t>Teaching and learning practice</w:t>
            </w:r>
          </w:p>
          <w:p w14:paraId="441F0E8E" w14:textId="46ED7E64" w:rsidR="007B2A9A" w:rsidRDefault="007B2A9A" w:rsidP="007B2A9A">
            <w:pPr>
              <w:spacing w:before="0" w:after="120"/>
              <w:jc w:val="both"/>
            </w:pPr>
          </w:p>
        </w:tc>
        <w:tc>
          <w:tcPr>
            <w:tcW w:w="7903" w:type="dxa"/>
            <w:vAlign w:val="top"/>
          </w:tcPr>
          <w:p w14:paraId="767E3FBD" w14:textId="77777777" w:rsidR="007B2A9A" w:rsidRPr="004974B8" w:rsidRDefault="007B2A9A" w:rsidP="007B2A9A">
            <w:pPr>
              <w:spacing w:before="0" w:after="120"/>
              <w:jc w:val="both"/>
              <w:rPr>
                <w:lang w:eastAsia="en-AU"/>
              </w:rPr>
            </w:pPr>
            <w:r w:rsidRPr="004974B8">
              <w:rPr>
                <w:lang w:eastAsia="en-AU"/>
              </w:rPr>
              <w:t>Knowledge and experience relating to teaching quality, professional practice and student learning, together with the capacity to connect evidence from classrooms and early childhood settings with system-level policy, professional standards, workforce capability and regulatory settings.</w:t>
            </w:r>
          </w:p>
          <w:p w14:paraId="646033EA" w14:textId="32CA7729" w:rsidR="007B2A9A" w:rsidRPr="004974B8" w:rsidRDefault="007B2A9A" w:rsidP="007B2A9A">
            <w:pPr>
              <w:spacing w:before="0" w:after="120"/>
              <w:jc w:val="both"/>
              <w:rPr>
                <w:lang w:eastAsia="en-AU"/>
              </w:rPr>
            </w:pPr>
            <w:r>
              <w:rPr>
                <w:lang w:eastAsia="en-AU"/>
              </w:rPr>
              <w:t>Members must understand</w:t>
            </w:r>
            <w:r w:rsidRPr="004974B8">
              <w:rPr>
                <w:lang w:eastAsia="en-AU"/>
              </w:rPr>
              <w:t xml:space="preserve"> how system-level decisions affect educators, educational practice and students across diverse settings, and how effective practice can be supported, implemented and sustained across an education system.</w:t>
            </w:r>
          </w:p>
          <w:p w14:paraId="59B47465" w14:textId="77777777" w:rsidR="007B2A9A" w:rsidRDefault="007B2A9A" w:rsidP="007B2A9A">
            <w:pPr>
              <w:spacing w:before="0" w:after="120"/>
              <w:jc w:val="both"/>
              <w:rPr>
                <w:lang w:eastAsia="en-AU"/>
              </w:rPr>
            </w:pPr>
            <w:r w:rsidRPr="004974B8">
              <w:rPr>
                <w:lang w:eastAsia="en-AU"/>
              </w:rPr>
              <w:t>Relevant experience may include classroom or early childhood teaching; school or instructional leadership; initial teacher education; teacher professional standards; professional learning systems; inclusive education; student wellbeing and child safety; implementation of evidence-based teaching practices; or the design and evaluation of initiatives that strengthen teaching quality and student outcomes at scale.</w:t>
            </w:r>
          </w:p>
        </w:tc>
      </w:tr>
      <w:tr w:rsidR="007B2A9A" w14:paraId="78BD575A" w14:textId="77777777" w:rsidTr="007B2A9A">
        <w:trPr>
          <w:cnfStyle w:val="000000100000" w:firstRow="0" w:lastRow="0" w:firstColumn="0" w:lastColumn="0" w:oddVBand="0" w:evenVBand="0" w:oddHBand="1" w:evenHBand="0" w:firstRowFirstColumn="0" w:firstRowLastColumn="0" w:lastRowFirstColumn="0" w:lastRowLastColumn="0"/>
          <w:cantSplit/>
        </w:trPr>
        <w:tc>
          <w:tcPr>
            <w:tcW w:w="2405" w:type="dxa"/>
            <w:vAlign w:val="top"/>
          </w:tcPr>
          <w:p w14:paraId="4FD03589" w14:textId="77777777" w:rsidR="007B2A9A" w:rsidRDefault="007B2A9A" w:rsidP="007B2A9A">
            <w:pPr>
              <w:spacing w:before="0" w:after="120"/>
              <w:jc w:val="both"/>
            </w:pPr>
            <w:r>
              <w:rPr>
                <w:b/>
                <w:lang w:eastAsia="en-AU"/>
              </w:rPr>
              <w:t>Workforce development</w:t>
            </w:r>
          </w:p>
          <w:p w14:paraId="01A2A3D0" w14:textId="1A19320F" w:rsidR="007B2A9A" w:rsidRDefault="007B2A9A" w:rsidP="007B2A9A">
            <w:pPr>
              <w:spacing w:before="0" w:after="120"/>
              <w:jc w:val="both"/>
            </w:pPr>
          </w:p>
        </w:tc>
        <w:tc>
          <w:tcPr>
            <w:tcW w:w="7903" w:type="dxa"/>
            <w:vAlign w:val="top"/>
          </w:tcPr>
          <w:p w14:paraId="57730A46" w14:textId="77777777" w:rsidR="007B2A9A" w:rsidRPr="009F1AA5" w:rsidRDefault="007B2A9A" w:rsidP="007B2A9A">
            <w:pPr>
              <w:spacing w:before="0" w:after="120"/>
              <w:jc w:val="both"/>
              <w:rPr>
                <w:lang w:eastAsia="en-AU"/>
              </w:rPr>
            </w:pPr>
            <w:r w:rsidRPr="009F1AA5">
              <w:rPr>
                <w:lang w:eastAsia="en-AU"/>
              </w:rPr>
              <w:t xml:space="preserve">Knowledge and experience in education workforce development at a system, sector or </w:t>
            </w:r>
            <w:r>
              <w:rPr>
                <w:lang w:eastAsia="en-AU"/>
              </w:rPr>
              <w:t>jurisdiction-</w:t>
            </w:r>
            <w:r w:rsidRPr="009F1AA5">
              <w:rPr>
                <w:lang w:eastAsia="en-AU"/>
              </w:rPr>
              <w:t>level, including an understanding of current and emerging workforce supply, demand and capability challenges and their impact on professional standards and educational outcomes.</w:t>
            </w:r>
          </w:p>
          <w:p w14:paraId="735E039B" w14:textId="28CCBC33" w:rsidR="007B2A9A" w:rsidRDefault="007B2A9A" w:rsidP="007B2A9A">
            <w:pPr>
              <w:spacing w:before="0" w:after="120"/>
              <w:jc w:val="both"/>
              <w:rPr>
                <w:lang w:eastAsia="en-AU"/>
              </w:rPr>
            </w:pPr>
            <w:r w:rsidRPr="009F1AA5">
              <w:rPr>
                <w:lang w:eastAsia="en-AU"/>
              </w:rPr>
              <w:t xml:space="preserve">Relevant experience may include education labour-market analysis and workforce forecasting; national and Territory teacher-workforce trends; teacher supply and training pipelines; workforce participation and mobility; recruitment and retention; </w:t>
            </w:r>
            <w:r w:rsidR="00783A9D">
              <w:rPr>
                <w:lang w:eastAsia="en-AU"/>
              </w:rPr>
              <w:t xml:space="preserve">professional development, </w:t>
            </w:r>
            <w:r w:rsidRPr="009F1AA5">
              <w:rPr>
                <w:lang w:eastAsia="en-AU"/>
              </w:rPr>
              <w:t>workload, wellbeing and occupational sustainability; shortages in teaching, school counselling and other specialist education roles; geographic and subject-area workforce gaps; and workforce challenges affecting regional and remote communities.</w:t>
            </w:r>
          </w:p>
        </w:tc>
      </w:tr>
      <w:tr w:rsidR="007B2A9A" w14:paraId="6F9C298E" w14:textId="77777777" w:rsidTr="007B2A9A">
        <w:trPr>
          <w:cnfStyle w:val="000000010000" w:firstRow="0" w:lastRow="0" w:firstColumn="0" w:lastColumn="0" w:oddVBand="0" w:evenVBand="0" w:oddHBand="0" w:evenHBand="1" w:firstRowFirstColumn="0" w:firstRowLastColumn="0" w:lastRowFirstColumn="0" w:lastRowLastColumn="0"/>
          <w:cantSplit/>
        </w:trPr>
        <w:tc>
          <w:tcPr>
            <w:tcW w:w="2405" w:type="dxa"/>
            <w:vAlign w:val="top"/>
          </w:tcPr>
          <w:p w14:paraId="12CD1641" w14:textId="77777777" w:rsidR="007B2A9A" w:rsidRDefault="007B2A9A" w:rsidP="007B2A9A">
            <w:pPr>
              <w:spacing w:before="0" w:after="120"/>
              <w:jc w:val="both"/>
            </w:pPr>
            <w:r>
              <w:rPr>
                <w:b/>
                <w:lang w:eastAsia="en-AU"/>
              </w:rPr>
              <w:t>Law or regulatory practice</w:t>
            </w:r>
          </w:p>
          <w:p w14:paraId="60DB6725" w14:textId="52A50EFA" w:rsidR="007B2A9A" w:rsidRDefault="007B2A9A" w:rsidP="007B2A9A">
            <w:pPr>
              <w:spacing w:before="0" w:after="120"/>
              <w:jc w:val="both"/>
            </w:pPr>
          </w:p>
        </w:tc>
        <w:tc>
          <w:tcPr>
            <w:tcW w:w="7903" w:type="dxa"/>
            <w:vAlign w:val="top"/>
          </w:tcPr>
          <w:p w14:paraId="5C10E4BC" w14:textId="77777777" w:rsidR="007B2A9A" w:rsidRDefault="007B2A9A" w:rsidP="007B2A9A">
            <w:pPr>
              <w:spacing w:before="0" w:after="120"/>
              <w:jc w:val="both"/>
              <w:rPr>
                <w:lang w:eastAsia="en-AU"/>
              </w:rPr>
            </w:pPr>
            <w:r w:rsidRPr="004F3098">
              <w:rPr>
                <w:lang w:eastAsia="en-AU"/>
              </w:rPr>
              <w:t>Knowledge and experience relating to law, regulatory strategy and statutory decision-making, including the design and operation of regulatory systems, interactions between related regulatory regimes and the management of overlapping responsibilities, regulatory gaps or inconsistent requirements. This includes an understanding of administrative law, procedural fairness, natural justice, privacy and information-sharing obligations, and legislative compliance.</w:t>
            </w:r>
          </w:p>
          <w:p w14:paraId="0F23E887" w14:textId="77777777" w:rsidR="007B2A9A" w:rsidRDefault="007B2A9A" w:rsidP="007B2A9A">
            <w:pPr>
              <w:spacing w:before="0" w:after="120"/>
              <w:jc w:val="both"/>
            </w:pPr>
            <w:r w:rsidRPr="004F3098">
              <w:rPr>
                <w:lang w:eastAsia="en-AU"/>
              </w:rPr>
              <w:t>Relevant experience may include regulatory policy, system design or reform; cross-jurisdictional or multi-regulator arrangements; regulator coordination and information sharing; resolving duplication, gaps or conflicting requirements; risk-based and proportionate regulation; registration schemes; compliance and enforcement; investigations; complaints and disciplinary processes; or decision-making under legislation.</w:t>
            </w:r>
          </w:p>
        </w:tc>
      </w:tr>
      <w:tr w:rsidR="007B2A9A" w14:paraId="529B3399" w14:textId="77777777" w:rsidTr="007B2A9A">
        <w:trPr>
          <w:cnfStyle w:val="000000100000" w:firstRow="0" w:lastRow="0" w:firstColumn="0" w:lastColumn="0" w:oddVBand="0" w:evenVBand="0" w:oddHBand="1" w:evenHBand="0" w:firstRowFirstColumn="0" w:firstRowLastColumn="0" w:lastRowFirstColumn="0" w:lastRowLastColumn="0"/>
          <w:cantSplit/>
        </w:trPr>
        <w:tc>
          <w:tcPr>
            <w:tcW w:w="2405" w:type="dxa"/>
            <w:vAlign w:val="top"/>
          </w:tcPr>
          <w:p w14:paraId="54F3145C" w14:textId="77777777" w:rsidR="007B2A9A" w:rsidRDefault="007B2A9A" w:rsidP="007B2A9A">
            <w:pPr>
              <w:spacing w:before="0" w:after="120"/>
              <w:jc w:val="both"/>
            </w:pPr>
            <w:r>
              <w:rPr>
                <w:b/>
                <w:lang w:eastAsia="en-AU"/>
              </w:rPr>
              <w:t>Corporate governance</w:t>
            </w:r>
          </w:p>
          <w:p w14:paraId="0C60FD4B" w14:textId="213C7CB1" w:rsidR="007B2A9A" w:rsidRDefault="007B2A9A" w:rsidP="007B2A9A">
            <w:pPr>
              <w:spacing w:before="0" w:after="120"/>
              <w:jc w:val="both"/>
            </w:pPr>
          </w:p>
        </w:tc>
        <w:tc>
          <w:tcPr>
            <w:tcW w:w="7903" w:type="dxa"/>
            <w:vAlign w:val="top"/>
          </w:tcPr>
          <w:p w14:paraId="7FE1E0FC" w14:textId="77777777" w:rsidR="007B2A9A" w:rsidRDefault="007B2A9A" w:rsidP="007B2A9A">
            <w:pPr>
              <w:spacing w:before="0" w:after="120"/>
              <w:jc w:val="both"/>
            </w:pPr>
            <w:r>
              <w:rPr>
                <w:lang w:eastAsia="en-AU"/>
              </w:rPr>
              <w:t>Knowledge and experience relating to governance, organisational oversight and accountability, and an understanding of governance principles, strategic stewardship and collective decision-making.</w:t>
            </w:r>
          </w:p>
          <w:p w14:paraId="17813356" w14:textId="77777777" w:rsidR="007B2A9A" w:rsidRDefault="007B2A9A" w:rsidP="007B2A9A">
            <w:pPr>
              <w:spacing w:before="0" w:after="120"/>
              <w:jc w:val="both"/>
            </w:pPr>
            <w:r>
              <w:rPr>
                <w:lang w:eastAsia="en-AU"/>
              </w:rPr>
              <w:t>Relevant experience may include service on boards, committees, statutory authorities or other governance bodies. It may also include strategic planning, risk management, audit and assurance, compliance oversight, performance monitoring or reporting.</w:t>
            </w:r>
          </w:p>
        </w:tc>
      </w:tr>
      <w:tr w:rsidR="007B2A9A" w14:paraId="407DE908" w14:textId="77777777" w:rsidTr="007B2A9A">
        <w:trPr>
          <w:cnfStyle w:val="000000010000" w:firstRow="0" w:lastRow="0" w:firstColumn="0" w:lastColumn="0" w:oddVBand="0" w:evenVBand="0" w:oddHBand="0" w:evenHBand="1" w:firstRowFirstColumn="0" w:firstRowLastColumn="0" w:lastRowFirstColumn="0" w:lastRowLastColumn="0"/>
          <w:cantSplit/>
        </w:trPr>
        <w:tc>
          <w:tcPr>
            <w:tcW w:w="2405" w:type="dxa"/>
            <w:vAlign w:val="top"/>
          </w:tcPr>
          <w:p w14:paraId="271747C1" w14:textId="77777777" w:rsidR="007B2A9A" w:rsidRDefault="007B2A9A" w:rsidP="007B2A9A">
            <w:pPr>
              <w:spacing w:before="0" w:after="120"/>
              <w:jc w:val="both"/>
            </w:pPr>
            <w:r>
              <w:rPr>
                <w:b/>
                <w:lang w:eastAsia="en-AU"/>
              </w:rPr>
              <w:t>Other skills or experience the Minister considers appropriate</w:t>
            </w:r>
          </w:p>
          <w:p w14:paraId="4328826B" w14:textId="2888640D" w:rsidR="007B2A9A" w:rsidRDefault="007B2A9A" w:rsidP="007B2A9A">
            <w:pPr>
              <w:spacing w:before="0" w:after="120"/>
              <w:jc w:val="both"/>
            </w:pPr>
          </w:p>
        </w:tc>
        <w:tc>
          <w:tcPr>
            <w:tcW w:w="7903" w:type="dxa"/>
            <w:vAlign w:val="top"/>
          </w:tcPr>
          <w:p w14:paraId="04200B68" w14:textId="77777777" w:rsidR="007B2A9A" w:rsidRDefault="007B2A9A" w:rsidP="007B2A9A">
            <w:pPr>
              <w:spacing w:before="0" w:after="120"/>
              <w:jc w:val="both"/>
              <w:rPr>
                <w:lang w:eastAsia="en-AU"/>
              </w:rPr>
            </w:pPr>
            <w:r w:rsidRPr="003C0ADF">
              <w:rPr>
                <w:lang w:eastAsia="en-AU"/>
              </w:rPr>
              <w:t>Professional qualifications, specialist expertise or other experience that strengthens the Board’s collective capability, including knowledge of education-system performance, intergovernmental education reform and public-sector accountability.</w:t>
            </w:r>
          </w:p>
          <w:p w14:paraId="5C6241A9" w14:textId="77777777" w:rsidR="007B2A9A" w:rsidRDefault="007B2A9A" w:rsidP="007B2A9A">
            <w:pPr>
              <w:spacing w:before="0" w:after="120"/>
              <w:jc w:val="both"/>
            </w:pPr>
            <w:r w:rsidRPr="003C0ADF">
              <w:rPr>
                <w:lang w:eastAsia="en-AU"/>
              </w:rPr>
              <w:t>Relevant qualifications or experience may include education-system performance measurement and reporting; the Better and Fairer Schools Agreement and associated national and Territory reform commitments; education data, evaluation and evidence-informed policy; public administration; intergovernmental relations; regulatory risk and assurance; technology and data governance; Aboriginal engagement and cultural capability; remote and regional service delivery; community leadership; or other fields relevant to the Board’s functions and responsibilities.</w:t>
            </w:r>
          </w:p>
        </w:tc>
      </w:tr>
    </w:tbl>
    <w:p w14:paraId="7AB54CE1" w14:textId="77777777" w:rsidR="00C52625" w:rsidRDefault="00C52625" w:rsidP="00C52625">
      <w:pPr>
        <w:rPr>
          <w:lang w:eastAsia="en-AU"/>
        </w:rPr>
      </w:pPr>
    </w:p>
    <w:p w14:paraId="4C303FAE" w14:textId="3F5872CE" w:rsidR="00C52625" w:rsidRDefault="00C52625" w:rsidP="00C52625">
      <w:pPr>
        <w:pStyle w:val="Heading2"/>
        <w:rPr>
          <w:lang w:eastAsia="en-AU"/>
        </w:rPr>
      </w:pPr>
      <w:r>
        <w:rPr>
          <w:lang w:eastAsia="en-AU"/>
        </w:rPr>
        <w:t>What was the consultation process that informed this reform?</w:t>
      </w:r>
    </w:p>
    <w:p w14:paraId="65CDC2A2" w14:textId="5AAFA778" w:rsidR="00C52625" w:rsidRDefault="00C52625" w:rsidP="00C52625">
      <w:pPr>
        <w:rPr>
          <w:lang w:eastAsia="en-AU"/>
        </w:rPr>
      </w:pPr>
      <w:r>
        <w:rPr>
          <w:lang w:eastAsia="en-AU"/>
        </w:rPr>
        <w:t>Targeted consultation was undertaken with key stakeholder groups representing the NT education system including:</w:t>
      </w:r>
    </w:p>
    <w:p w14:paraId="21B0AE06" w14:textId="77777777" w:rsidR="00C52625" w:rsidRDefault="00C52625" w:rsidP="00C96127">
      <w:pPr>
        <w:pStyle w:val="ListParagraph"/>
        <w:numPr>
          <w:ilvl w:val="1"/>
          <w:numId w:val="12"/>
        </w:numPr>
        <w:ind w:left="851"/>
        <w:rPr>
          <w:lang w:eastAsia="en-AU"/>
        </w:rPr>
      </w:pPr>
      <w:r>
        <w:rPr>
          <w:lang w:eastAsia="en-AU"/>
        </w:rPr>
        <w:t>Teacher Registration Board</w:t>
      </w:r>
    </w:p>
    <w:p w14:paraId="1210E89C" w14:textId="77777777" w:rsidR="00C52625" w:rsidRDefault="00C52625" w:rsidP="00C96127">
      <w:pPr>
        <w:pStyle w:val="ListParagraph"/>
        <w:numPr>
          <w:ilvl w:val="1"/>
          <w:numId w:val="12"/>
        </w:numPr>
        <w:ind w:left="851"/>
        <w:rPr>
          <w:lang w:eastAsia="en-AU"/>
        </w:rPr>
      </w:pPr>
      <w:r>
        <w:rPr>
          <w:lang w:eastAsia="en-AU"/>
        </w:rPr>
        <w:t>NT Board of Studies</w:t>
      </w:r>
    </w:p>
    <w:p w14:paraId="2DB866A4" w14:textId="77777777" w:rsidR="00C52625" w:rsidRDefault="00C52625" w:rsidP="00C96127">
      <w:pPr>
        <w:pStyle w:val="ListParagraph"/>
        <w:numPr>
          <w:ilvl w:val="1"/>
          <w:numId w:val="12"/>
        </w:numPr>
        <w:ind w:left="851"/>
        <w:rPr>
          <w:lang w:eastAsia="en-AU"/>
        </w:rPr>
      </w:pPr>
      <w:r>
        <w:rPr>
          <w:lang w:eastAsia="en-AU"/>
        </w:rPr>
        <w:t>Non-Government Schools Ministerial Advisory Council</w:t>
      </w:r>
    </w:p>
    <w:p w14:paraId="16465D60" w14:textId="77777777" w:rsidR="00C52625" w:rsidRDefault="00C52625" w:rsidP="00C96127">
      <w:pPr>
        <w:pStyle w:val="ListParagraph"/>
        <w:numPr>
          <w:ilvl w:val="1"/>
          <w:numId w:val="12"/>
        </w:numPr>
        <w:ind w:left="851"/>
        <w:rPr>
          <w:lang w:eastAsia="en-AU"/>
        </w:rPr>
      </w:pPr>
      <w:r>
        <w:rPr>
          <w:lang w:eastAsia="en-AU"/>
        </w:rPr>
        <w:t>School Education Advisory Group.</w:t>
      </w:r>
    </w:p>
    <w:p w14:paraId="68216FE0" w14:textId="4C0EC089" w:rsidR="00C52625" w:rsidRDefault="00BB0253" w:rsidP="00BB0253">
      <w:pPr>
        <w:pStyle w:val="Heading2"/>
        <w:rPr>
          <w:lang w:eastAsia="en-AU"/>
        </w:rPr>
      </w:pPr>
      <w:r>
        <w:rPr>
          <w:lang w:eastAsia="en-AU"/>
        </w:rPr>
        <w:t>How will the sector continued to be represented on a skills-based Board?</w:t>
      </w:r>
    </w:p>
    <w:p w14:paraId="02741D25" w14:textId="5C539C3E" w:rsidR="00BB0253" w:rsidRDefault="00BB0253" w:rsidP="00BB0253">
      <w:r>
        <w:t>Schools and the s</w:t>
      </w:r>
      <w:r w:rsidRPr="005D2784">
        <w:t xml:space="preserve">ector </w:t>
      </w:r>
      <w:r>
        <w:t>will also</w:t>
      </w:r>
      <w:r w:rsidRPr="005D2784">
        <w:t xml:space="preserve"> continue to be</w:t>
      </w:r>
      <w:r>
        <w:t xml:space="preserve"> represented on the new Board</w:t>
      </w:r>
      <w:r w:rsidRPr="005D2784">
        <w:t xml:space="preserve"> through </w:t>
      </w:r>
      <w:r>
        <w:t xml:space="preserve">membership based on their skills and expertise, </w:t>
      </w:r>
      <w:r w:rsidRPr="005D2784">
        <w:t xml:space="preserve">mandatory consultation requirements, the </w:t>
      </w:r>
      <w:r>
        <w:t xml:space="preserve">establishment of committees and </w:t>
      </w:r>
      <w:r w:rsidRPr="005D2784">
        <w:t>appointment of industry advisers</w:t>
      </w:r>
      <w:r>
        <w:t xml:space="preserve">. </w:t>
      </w:r>
    </w:p>
    <w:p w14:paraId="4C529E8E" w14:textId="09926DD3" w:rsidR="004C7DFF" w:rsidRDefault="004C7DFF" w:rsidP="004C7DFF">
      <w:pPr>
        <w:pStyle w:val="Heading2"/>
      </w:pPr>
      <w:r>
        <w:t>When will this change occur?</w:t>
      </w:r>
    </w:p>
    <w:p w14:paraId="7F9FE478" w14:textId="71241DE1" w:rsidR="004C7DFF" w:rsidRDefault="004C7DFF" w:rsidP="004C7DFF">
      <w:r>
        <w:t xml:space="preserve">These changes are currently being proposed by the government in the Education Standards and Registration Board Bill. It is anticipated that the Bill will be debated in the </w:t>
      </w:r>
      <w:r w:rsidR="009503CD">
        <w:t xml:space="preserve">NT </w:t>
      </w:r>
      <w:r>
        <w:t xml:space="preserve">Legislative Assembly </w:t>
      </w:r>
      <w:r w:rsidR="009503CD">
        <w:t>in late 2026</w:t>
      </w:r>
      <w:r>
        <w:t xml:space="preserve">. </w:t>
      </w:r>
    </w:p>
    <w:p w14:paraId="2D4CBC9B" w14:textId="37DD6B0F" w:rsidR="004C7DFF" w:rsidRDefault="00EA4471" w:rsidP="004C7DFF">
      <w:r>
        <w:t xml:space="preserve">The Bill proposes the </w:t>
      </w:r>
      <w:r w:rsidR="004C7DFF">
        <w:t>new Board will be established by 5 April 2027.</w:t>
      </w:r>
    </w:p>
    <w:p w14:paraId="10C2E03D" w14:textId="560645C3" w:rsidR="00B67138" w:rsidRDefault="00B67138" w:rsidP="00B67138">
      <w:pPr>
        <w:pStyle w:val="Heading2"/>
      </w:pPr>
      <w:r>
        <w:t>How will this impact teacher registration renewals?</w:t>
      </w:r>
    </w:p>
    <w:p w14:paraId="397886F0" w14:textId="77777777" w:rsidR="00B67138" w:rsidRDefault="00B67138" w:rsidP="00B67138">
      <w:pPr>
        <w:rPr>
          <w:lang w:eastAsia="en-AU"/>
        </w:rPr>
      </w:pPr>
      <w:r>
        <w:rPr>
          <w:lang w:eastAsia="en-AU"/>
        </w:rPr>
        <w:t xml:space="preserve">There are no changes or disruptions to teacher registration or renewal timeframes or requirements. </w:t>
      </w:r>
    </w:p>
    <w:p w14:paraId="62BE706D" w14:textId="0FF3AF35" w:rsidR="00B67138" w:rsidRDefault="00B67138" w:rsidP="00B67138">
      <w:pPr>
        <w:rPr>
          <w:lang w:eastAsia="en-AU"/>
        </w:rPr>
      </w:pPr>
      <w:r>
        <w:rPr>
          <w:lang w:eastAsia="en-AU"/>
        </w:rPr>
        <w:t>Teacher registration and renewal will continue to be administered by the Teacher Registration Board until the new board is established.</w:t>
      </w:r>
    </w:p>
    <w:p w14:paraId="03B299A6" w14:textId="77777777" w:rsidR="00B67138" w:rsidRPr="00B67138" w:rsidRDefault="00B67138" w:rsidP="00B67138"/>
    <w:sectPr w:rsidR="00B67138" w:rsidRPr="00B67138" w:rsidSect="007B2A9A">
      <w:headerReference w:type="default" r:id="rId13"/>
      <w:footerReference w:type="default" r:id="rId14"/>
      <w:headerReference w:type="first" r:id="rId15"/>
      <w:footerReference w:type="first" r:id="rId16"/>
      <w:pgSz w:w="11906" w:h="16838" w:code="9"/>
      <w:pgMar w:top="794" w:right="794" w:bottom="794" w:left="794" w:header="568"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3CDC9" w14:textId="77777777" w:rsidR="00062E53" w:rsidRDefault="00062E53" w:rsidP="007332FF">
      <w:r>
        <w:separator/>
      </w:r>
    </w:p>
  </w:endnote>
  <w:endnote w:type="continuationSeparator" w:id="0">
    <w:p w14:paraId="302FCB1A" w14:textId="77777777" w:rsidR="00062E53" w:rsidRDefault="00062E53"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1CBFE" w14:textId="77777777" w:rsidR="00983000" w:rsidRDefault="00983000" w:rsidP="00450636">
    <w:pPr>
      <w:spacing w:after="0"/>
    </w:pPr>
  </w:p>
  <w:tbl>
    <w:tblPr>
      <w:tblW w:w="15250"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5250"/>
    </w:tblGrid>
    <w:tr w:rsidR="00CA36A0" w:rsidRPr="00132658" w14:paraId="6E4C3AE6" w14:textId="77777777" w:rsidTr="003226BC">
      <w:trPr>
        <w:cantSplit/>
        <w:trHeight w:hRule="exact" w:val="850"/>
      </w:trPr>
      <w:tc>
        <w:tcPr>
          <w:tcW w:w="15250" w:type="dxa"/>
          <w:vAlign w:val="bottom"/>
        </w:tcPr>
        <w:p w14:paraId="395BACB6" w14:textId="0E02AE50" w:rsidR="00D47DC7" w:rsidRDefault="00D47DC7" w:rsidP="00D47DC7">
          <w:pPr>
            <w:spacing w:after="0"/>
            <w:rPr>
              <w:rStyle w:val="PageNumber"/>
              <w:b/>
            </w:rPr>
          </w:pPr>
          <w:r>
            <w:rPr>
              <w:rStyle w:val="PageNumber"/>
            </w:rPr>
            <w:t xml:space="preserve">Department of </w:t>
          </w:r>
          <w:sdt>
            <w:sdtPr>
              <w:rPr>
                <w:rStyle w:val="PageNumber"/>
                <w:b/>
              </w:rPr>
              <w:alias w:val="Company"/>
              <w:tag w:val=""/>
              <w:id w:val="-1210098654"/>
              <w:dataBinding w:prefixMappings="xmlns:ns0='http://schemas.openxmlformats.org/officeDocument/2006/extended-properties' " w:xpath="/ns0:Properties[1]/ns0:Company[1]" w:storeItemID="{6668398D-A668-4E3E-A5EB-62B293D839F1}"/>
              <w:text w:multiLine="1"/>
            </w:sdtPr>
            <w:sdtContent>
              <w:r w:rsidR="00CF3F84">
                <w:rPr>
                  <w:rStyle w:val="PageNumber"/>
                  <w:b/>
                </w:rPr>
                <w:t>EDUCATION AND TRAINING</w:t>
              </w:r>
            </w:sdtContent>
          </w:sdt>
        </w:p>
        <w:p w14:paraId="0CFD8901" w14:textId="60E9C52A" w:rsidR="00D47DC7" w:rsidRPr="00CE6614" w:rsidRDefault="00000000" w:rsidP="00D47DC7">
          <w:pPr>
            <w:spacing w:after="0"/>
            <w:rPr>
              <w:rStyle w:val="PageNumber"/>
            </w:rPr>
          </w:pPr>
          <w:sdt>
            <w:sdtPr>
              <w:rPr>
                <w:rStyle w:val="PageNumber"/>
              </w:rPr>
              <w:alias w:val="Date"/>
              <w:tag w:val=""/>
              <w:id w:val="-595635023"/>
              <w:dataBinding w:prefixMappings="xmlns:ns0='http://schemas.microsoft.com/office/2006/coverPageProps' " w:xpath="/ns0:CoverPageProperties[1]/ns0:PublishDate[1]" w:storeItemID="{55AF091B-3C7A-41E3-B477-F2FDAA23CFDA}"/>
              <w15:color w:val="000000"/>
              <w:date w:fullDate="2026-08-01T00:00:00Z">
                <w:dateFormat w:val="d MMMM yyyy"/>
                <w:lid w:val="en-AU"/>
                <w:storeMappedDataAs w:val="dateTime"/>
                <w:calendar w:val="gregorian"/>
              </w:date>
            </w:sdtPr>
            <w:sdtContent>
              <w:r w:rsidR="00C52625">
                <w:rPr>
                  <w:rStyle w:val="PageNumber"/>
                </w:rPr>
                <w:t>1 August 2026</w:t>
              </w:r>
            </w:sdtContent>
          </w:sdt>
          <w:r w:rsidR="00D47DC7" w:rsidRPr="00CE6614">
            <w:rPr>
              <w:rStyle w:val="PageNumber"/>
            </w:rPr>
            <w:t xml:space="preserve"> |</w:t>
          </w:r>
        </w:p>
        <w:p w14:paraId="757D9864" w14:textId="77777777" w:rsidR="00CA36A0" w:rsidRPr="00AC4488" w:rsidRDefault="00D47DC7" w:rsidP="00D47DC7">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307001">
            <w:rPr>
              <w:rStyle w:val="PageNumber"/>
              <w:noProof/>
            </w:rPr>
            <w:t>2</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307001">
            <w:rPr>
              <w:rStyle w:val="PageNumber"/>
              <w:noProof/>
            </w:rPr>
            <w:t>2</w:t>
          </w:r>
          <w:r w:rsidRPr="00AC4488">
            <w:rPr>
              <w:rStyle w:val="PageNumber"/>
            </w:rPr>
            <w:fldChar w:fldCharType="end"/>
          </w:r>
        </w:p>
      </w:tc>
    </w:tr>
  </w:tbl>
  <w:p w14:paraId="7D7C6C15" w14:textId="77777777" w:rsidR="00CA36A0" w:rsidRPr="00B11C67" w:rsidRDefault="00CA36A0" w:rsidP="00B11C67">
    <w:pPr>
      <w:pStyle w:val="Foo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3680E" w14:textId="77777777" w:rsidR="00D15D88" w:rsidRDefault="00D15D88" w:rsidP="0071700C">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A61144" w:rsidRPr="00132658" w14:paraId="2E4178C1" w14:textId="77777777" w:rsidTr="000905F6">
      <w:trPr>
        <w:cantSplit/>
        <w:trHeight w:hRule="exact" w:val="1134"/>
      </w:trPr>
      <w:tc>
        <w:tcPr>
          <w:tcW w:w="7767" w:type="dxa"/>
          <w:vAlign w:val="bottom"/>
        </w:tcPr>
        <w:p w14:paraId="6E6B9E3A" w14:textId="77777777" w:rsidR="00A61144" w:rsidRDefault="00A61144" w:rsidP="00A61144">
          <w:pPr>
            <w:spacing w:after="0"/>
            <w:rPr>
              <w:rStyle w:val="PageNumber"/>
              <w:b/>
            </w:rPr>
          </w:pPr>
          <w:r>
            <w:rPr>
              <w:rStyle w:val="PageNumber"/>
            </w:rPr>
            <w:t xml:space="preserve">Department of </w:t>
          </w:r>
          <w:sdt>
            <w:sdtPr>
              <w:rPr>
                <w:rStyle w:val="PageNumber"/>
                <w:b/>
                <w:bCs/>
              </w:rPr>
              <w:alias w:val="Company"/>
              <w:tag w:val=""/>
              <w:id w:val="-1550452142"/>
              <w:dataBinding w:prefixMappings="xmlns:ns0='http://schemas.openxmlformats.org/officeDocument/2006/extended-properties' " w:xpath="/ns0:Properties[1]/ns0:Company[1]" w:storeItemID="{6668398D-A668-4E3E-A5EB-62B293D839F1}"/>
              <w:text w:multiLine="1"/>
            </w:sdtPr>
            <w:sdtContent>
              <w:r w:rsidR="00CF3F84" w:rsidRPr="005C786F">
                <w:rPr>
                  <w:rStyle w:val="PageNumber"/>
                  <w:b/>
                  <w:bCs/>
                </w:rPr>
                <w:t>EDUCATION AND TRAINING</w:t>
              </w:r>
            </w:sdtContent>
          </w:sdt>
          <w:r>
            <w:rPr>
              <w:rStyle w:val="PageNumber"/>
            </w:rPr>
            <w:t xml:space="preserve"> </w:t>
          </w:r>
        </w:p>
        <w:p w14:paraId="31A1F94D" w14:textId="454535B9" w:rsidR="00A61144" w:rsidRPr="00CE6614" w:rsidRDefault="00000000" w:rsidP="00A61144">
          <w:pPr>
            <w:spacing w:after="0"/>
            <w:rPr>
              <w:rStyle w:val="PageNumber"/>
            </w:rPr>
          </w:pPr>
          <w:sdt>
            <w:sdtPr>
              <w:rPr>
                <w:rStyle w:val="PageNumber"/>
              </w:rPr>
              <w:alias w:val="Date"/>
              <w:tag w:val=""/>
              <w:id w:val="1578473972"/>
              <w:dataBinding w:prefixMappings="xmlns:ns0='http://schemas.microsoft.com/office/2006/coverPageProps' " w:xpath="/ns0:CoverPageProperties[1]/ns0:PublishDate[1]" w:storeItemID="{55AF091B-3C7A-41E3-B477-F2FDAA23CFDA}"/>
              <w15:color w:val="000000"/>
              <w:date w:fullDate="2026-08-01T00:00:00Z">
                <w:dateFormat w:val="d MMMM yyyy"/>
                <w:lid w:val="en-AU"/>
                <w:storeMappedDataAs w:val="dateTime"/>
                <w:calendar w:val="gregorian"/>
              </w:date>
            </w:sdtPr>
            <w:sdtContent>
              <w:r w:rsidR="00C52625">
                <w:rPr>
                  <w:rStyle w:val="PageNumber"/>
                </w:rPr>
                <w:t>1 August 2026</w:t>
              </w:r>
            </w:sdtContent>
          </w:sdt>
          <w:r w:rsidR="00A61144" w:rsidRPr="00CE6614">
            <w:rPr>
              <w:rStyle w:val="PageNumber"/>
            </w:rPr>
            <w:t xml:space="preserve"> | </w:t>
          </w:r>
        </w:p>
        <w:p w14:paraId="2DE5DDE9" w14:textId="77777777" w:rsidR="00A61144" w:rsidRPr="00CE30CF" w:rsidRDefault="00A61144" w:rsidP="00A61144">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Pr>
              <w:rStyle w:val="PageNumber"/>
              <w:noProof/>
            </w:rPr>
            <w:t>1</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Pr>
              <w:rStyle w:val="PageNumber"/>
              <w:noProof/>
            </w:rPr>
            <w:t>1</w:t>
          </w:r>
          <w:r w:rsidRPr="00AC4488">
            <w:rPr>
              <w:rStyle w:val="PageNumber"/>
            </w:rPr>
            <w:fldChar w:fldCharType="end"/>
          </w:r>
        </w:p>
      </w:tc>
      <w:tc>
        <w:tcPr>
          <w:tcW w:w="2551" w:type="dxa"/>
          <w:vAlign w:val="bottom"/>
        </w:tcPr>
        <w:p w14:paraId="667EEC70" w14:textId="77777777" w:rsidR="00A61144" w:rsidRPr="001E14EB" w:rsidRDefault="00A61144" w:rsidP="00A61144">
          <w:pPr>
            <w:spacing w:after="0"/>
            <w:jc w:val="right"/>
          </w:pPr>
          <w:r>
            <w:rPr>
              <w:noProof/>
              <w:lang w:eastAsia="en-AU"/>
            </w:rPr>
            <w:drawing>
              <wp:inline distT="0" distB="0" distL="0" distR="0" wp14:anchorId="6F64EE70" wp14:editId="0E1C3E12">
                <wp:extent cx="1572479" cy="561600"/>
                <wp:effectExtent l="0" t="0" r="8890" b="0"/>
                <wp:docPr id="661997834" name="Picture 661997834"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tgcentral.nt.gov.au/sites/files/uploads/images/dcm/logos/ntg-logo/ntg-primary-cmyk.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2479" cy="561600"/>
                        </a:xfrm>
                        <a:prstGeom prst="rect">
                          <a:avLst/>
                        </a:prstGeom>
                        <a:noFill/>
                        <a:ln>
                          <a:noFill/>
                        </a:ln>
                      </pic:spPr>
                    </pic:pic>
                  </a:graphicData>
                </a:graphic>
              </wp:inline>
            </w:drawing>
          </w:r>
          <w:r w:rsidRPr="00785C24">
            <w:rPr>
              <w:rStyle w:val="PageNumber"/>
              <w:noProof/>
              <w:lang w:eastAsia="en-AU"/>
            </w:rPr>
            <w:t xml:space="preserve"> </w:t>
          </w:r>
        </w:p>
      </w:tc>
    </w:tr>
  </w:tbl>
  <w:p w14:paraId="20C24574" w14:textId="77777777" w:rsidR="0089368E" w:rsidRPr="00661BE1" w:rsidRDefault="0089368E" w:rsidP="00D15D88">
    <w:pPr>
      <w:pStyle w:val="Hidd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4E812" w14:textId="77777777" w:rsidR="00062E53" w:rsidRDefault="00062E53" w:rsidP="007332FF">
      <w:r>
        <w:separator/>
      </w:r>
    </w:p>
  </w:footnote>
  <w:footnote w:type="continuationSeparator" w:id="0">
    <w:p w14:paraId="31A739BE" w14:textId="77777777" w:rsidR="00062E53" w:rsidRDefault="00062E53"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0B8CE" w14:textId="0A5FA1AB" w:rsidR="00983000" w:rsidRPr="00162207" w:rsidRDefault="00000000" w:rsidP="008C70BB">
    <w:pPr>
      <w:pStyle w:val="Header"/>
      <w:tabs>
        <w:tab w:val="clear" w:pos="9638"/>
        <w:tab w:val="right" w:pos="10318"/>
      </w:tabs>
    </w:pPr>
    <w:sdt>
      <w:sdtPr>
        <w:alias w:val="Title"/>
        <w:tag w:val="Title"/>
        <w:id w:val="-2113969407"/>
        <w:lock w:val="sdtLocked"/>
        <w:dataBinding w:prefixMappings="xmlns:ns0='http://purl.org/dc/elements/1.1/' xmlns:ns1='http://schemas.openxmlformats.org/package/2006/metadata/core-properties' " w:xpath="/ns1:coreProperties[1]/ns0:title[1]" w:storeItemID="{6C3C8BC8-F283-45AE-878A-BAB7291924A1}"/>
        <w:text/>
      </w:sdtPr>
      <w:sdtContent>
        <w:r w:rsidR="008D403E">
          <w:t>Education Standards and Registration Board Bill - Frequently Asked Questions</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Content>
      <w:p w14:paraId="4B260370" w14:textId="258FC7A0" w:rsidR="00E54F9E" w:rsidRDefault="008D403E" w:rsidP="00435082">
        <w:pPr>
          <w:pStyle w:val="Title"/>
        </w:pPr>
        <w:r>
          <w:t>Education Standards and Registration Board Bill - Frequently Asked Questions</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45360"/>
    <w:multiLevelType w:val="hybridMultilevel"/>
    <w:tmpl w:val="CC3A804A"/>
    <w:lvl w:ilvl="0" w:tplc="0C09000F">
      <w:start w:val="1"/>
      <w:numFmt w:val="decimal"/>
      <w:lvlText w:val="%1."/>
      <w:lvlJc w:val="left"/>
      <w:pPr>
        <w:ind w:left="720" w:hanging="360"/>
      </w:p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7245D0"/>
    <w:multiLevelType w:val="multilevel"/>
    <w:tmpl w:val="0C78A7AC"/>
    <w:name w:val="NTG Table Bullet List322"/>
    <w:numStyleLink w:val="Tablebulletlist"/>
  </w:abstractNum>
  <w:abstractNum w:abstractNumId="2" w15:restartNumberingAfterBreak="0">
    <w:nsid w:val="0F195B3C"/>
    <w:multiLevelType w:val="multilevel"/>
    <w:tmpl w:val="3928FD02"/>
    <w:name w:val="NTG Table Bullet List3322222"/>
    <w:numStyleLink w:val="Bulletlist"/>
  </w:abstractNum>
  <w:abstractNum w:abstractNumId="3" w15:restartNumberingAfterBreak="0">
    <w:nsid w:val="100244A1"/>
    <w:multiLevelType w:val="multilevel"/>
    <w:tmpl w:val="0C78A7AC"/>
    <w:name w:val="NTG Table Bullet List332"/>
    <w:numStyleLink w:val="Tablebulletlist"/>
  </w:abstractNum>
  <w:abstractNum w:abstractNumId="4" w15:restartNumberingAfterBreak="0">
    <w:nsid w:val="1012237B"/>
    <w:multiLevelType w:val="multilevel"/>
    <w:tmpl w:val="0C78A7AC"/>
    <w:name w:val="NTG Table Bullet List32"/>
    <w:numStyleLink w:val="Tablebulletlist"/>
  </w:abstractNum>
  <w:abstractNum w:abstractNumId="5" w15:restartNumberingAfterBreak="0">
    <w:nsid w:val="11C85E58"/>
    <w:multiLevelType w:val="hybridMultilevel"/>
    <w:tmpl w:val="7E0E3E08"/>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5E93577"/>
    <w:multiLevelType w:val="multilevel"/>
    <w:tmpl w:val="4E6AC8F6"/>
    <w:name w:val="NTG Table Bullet List33222222"/>
    <w:numStyleLink w:val="Numberlist"/>
  </w:abstractNum>
  <w:abstractNum w:abstractNumId="7" w15:restartNumberingAfterBreak="0">
    <w:nsid w:val="18D26C06"/>
    <w:multiLevelType w:val="multilevel"/>
    <w:tmpl w:val="3E5E177A"/>
    <w:name w:val="NTG Table Bullet List33222222222222222"/>
    <w:numStyleLink w:val="Tablenumberlist"/>
  </w:abstractNum>
  <w:abstractNum w:abstractNumId="8" w15:restartNumberingAfterBreak="0">
    <w:nsid w:val="19533A06"/>
    <w:multiLevelType w:val="multilevel"/>
    <w:tmpl w:val="3928FD02"/>
    <w:name w:val="NTG Table Bullet List3222"/>
    <w:numStyleLink w:val="Bulletlist"/>
  </w:abstractNum>
  <w:abstractNum w:abstractNumId="9"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10" w15:restartNumberingAfterBreak="0">
    <w:nsid w:val="1B26429D"/>
    <w:multiLevelType w:val="multilevel"/>
    <w:tmpl w:val="3E5E177A"/>
    <w:name w:val="NTG Table Bullet List33222222222"/>
    <w:numStyleLink w:val="Tablenumberlist"/>
  </w:abstractNum>
  <w:abstractNum w:abstractNumId="11" w15:restartNumberingAfterBreak="0">
    <w:nsid w:val="1B86276C"/>
    <w:multiLevelType w:val="multilevel"/>
    <w:tmpl w:val="3928FD02"/>
    <w:name w:val="NTG Table Bullet List32223"/>
    <w:numStyleLink w:val="Bulletlist"/>
  </w:abstractNum>
  <w:abstractNum w:abstractNumId="12" w15:restartNumberingAfterBreak="0">
    <w:nsid w:val="1D0744AE"/>
    <w:multiLevelType w:val="multilevel"/>
    <w:tmpl w:val="3E5E177A"/>
    <w:name w:val="NTG Table Bullet List3222322"/>
    <w:numStyleLink w:val="Tablenumberlist"/>
  </w:abstractNum>
  <w:abstractNum w:abstractNumId="13"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4" w15:restartNumberingAfterBreak="0">
    <w:nsid w:val="272E3F76"/>
    <w:multiLevelType w:val="multilevel"/>
    <w:tmpl w:val="3E5E177A"/>
    <w:name w:val="NTG Table Bullet List3322"/>
    <w:numStyleLink w:val="Tablenumberlist"/>
  </w:abstractNum>
  <w:abstractNum w:abstractNumId="15" w15:restartNumberingAfterBreak="0">
    <w:nsid w:val="27CE4608"/>
    <w:multiLevelType w:val="multilevel"/>
    <w:tmpl w:val="3E5E177A"/>
    <w:name w:val="NTG Table Bullet List33222"/>
    <w:numStyleLink w:val="Tablenumberlist"/>
  </w:abstractNum>
  <w:abstractNum w:abstractNumId="16" w15:restartNumberingAfterBreak="0">
    <w:nsid w:val="27D83E4D"/>
    <w:multiLevelType w:val="multilevel"/>
    <w:tmpl w:val="3928FD02"/>
    <w:numStyleLink w:val="Bulletlist"/>
  </w:abstractNum>
  <w:abstractNum w:abstractNumId="17" w15:restartNumberingAfterBreak="0">
    <w:nsid w:val="296C4FB4"/>
    <w:multiLevelType w:val="hybridMultilevel"/>
    <w:tmpl w:val="EB1667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9" w15:restartNumberingAfterBreak="0">
    <w:nsid w:val="2E693641"/>
    <w:multiLevelType w:val="multilevel"/>
    <w:tmpl w:val="3E5E177A"/>
    <w:name w:val="NTG Table Bullet List33"/>
    <w:numStyleLink w:val="Tablenumberlist"/>
  </w:abstractNum>
  <w:abstractNum w:abstractNumId="20" w15:restartNumberingAfterBreak="0">
    <w:nsid w:val="2EF077BC"/>
    <w:multiLevelType w:val="multilevel"/>
    <w:tmpl w:val="0C78A7AC"/>
    <w:name w:val="NTG Table Bullet List33222222222222222222"/>
    <w:numStyleLink w:val="Tablebulletlist"/>
  </w:abstractNum>
  <w:abstractNum w:abstractNumId="21" w15:restartNumberingAfterBreak="0">
    <w:nsid w:val="32DF44DA"/>
    <w:multiLevelType w:val="multilevel"/>
    <w:tmpl w:val="3E5E177A"/>
    <w:name w:val="NTG Table Bullet List3222323"/>
    <w:numStyleLink w:val="Tablenumberlist"/>
  </w:abstractNum>
  <w:abstractNum w:abstractNumId="22"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3" w15:restartNumberingAfterBreak="0">
    <w:nsid w:val="3BE61945"/>
    <w:multiLevelType w:val="multilevel"/>
    <w:tmpl w:val="3928FD02"/>
    <w:name w:val="NTG Table Bullet List332222222222222222"/>
    <w:numStyleLink w:val="Bulletlist"/>
  </w:abstractNum>
  <w:abstractNum w:abstractNumId="24" w15:restartNumberingAfterBreak="0">
    <w:nsid w:val="42736DBD"/>
    <w:multiLevelType w:val="hybridMultilevel"/>
    <w:tmpl w:val="8826C3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9FD3A20"/>
    <w:multiLevelType w:val="multilevel"/>
    <w:tmpl w:val="3E5E177A"/>
    <w:name w:val="NTG Table Bullet List3322222222222"/>
    <w:numStyleLink w:val="Tablenumberlist"/>
  </w:abstractNum>
  <w:abstractNum w:abstractNumId="26"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7"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8" w15:restartNumberingAfterBreak="0">
    <w:nsid w:val="53842BC6"/>
    <w:multiLevelType w:val="multilevel"/>
    <w:tmpl w:val="0C78A7AC"/>
    <w:numStyleLink w:val="Tablebulletlist"/>
  </w:abstractNum>
  <w:abstractNum w:abstractNumId="29"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0" w15:restartNumberingAfterBreak="0">
    <w:nsid w:val="56DA2CAE"/>
    <w:multiLevelType w:val="multilevel"/>
    <w:tmpl w:val="3E5E177A"/>
    <w:name w:val="NTG Table Bullet List332222222222222"/>
    <w:numStyleLink w:val="Tablenumberlist"/>
  </w:abstractNum>
  <w:abstractNum w:abstractNumId="31" w15:restartNumberingAfterBreak="0">
    <w:nsid w:val="583359D9"/>
    <w:multiLevelType w:val="multilevel"/>
    <w:tmpl w:val="3E5E177A"/>
    <w:name w:val="NTG Table Bullet List332222222"/>
    <w:numStyleLink w:val="Tablenumberlist"/>
  </w:abstractNum>
  <w:abstractNum w:abstractNumId="32" w15:restartNumberingAfterBreak="0">
    <w:nsid w:val="5B9A5FFE"/>
    <w:multiLevelType w:val="multilevel"/>
    <w:tmpl w:val="0C78A7AC"/>
    <w:name w:val="NTG Table Bullet List33222222222222"/>
    <w:numStyleLink w:val="Tablebulletlist"/>
  </w:abstractNum>
  <w:abstractNum w:abstractNumId="33" w15:restartNumberingAfterBreak="0">
    <w:nsid w:val="5D444259"/>
    <w:multiLevelType w:val="multilevel"/>
    <w:tmpl w:val="0C78A7AC"/>
    <w:name w:val="NTG Table Bullet List332222"/>
    <w:numStyleLink w:val="Tablebulletlist"/>
  </w:abstractNum>
  <w:abstractNum w:abstractNumId="34" w15:restartNumberingAfterBreak="0">
    <w:nsid w:val="69262556"/>
    <w:multiLevelType w:val="multilevel"/>
    <w:tmpl w:val="3E5E177A"/>
    <w:name w:val="NTG Table Bullet List3322222222222222"/>
    <w:numStyleLink w:val="Tablenumberlist"/>
  </w:abstractNum>
  <w:abstractNum w:abstractNumId="35" w15:restartNumberingAfterBreak="0">
    <w:nsid w:val="7453664D"/>
    <w:multiLevelType w:val="multilevel"/>
    <w:tmpl w:val="0C78A7AC"/>
    <w:name w:val="NTG Table Bullet List3322222222222222222"/>
    <w:numStyleLink w:val="Tablebulletlist"/>
  </w:abstractNum>
  <w:abstractNum w:abstractNumId="36" w15:restartNumberingAfterBreak="0">
    <w:nsid w:val="76141D1E"/>
    <w:multiLevelType w:val="multilevel"/>
    <w:tmpl w:val="0C78A7AC"/>
    <w:name w:val="NTG Table Bullet List332222222222"/>
    <w:numStyleLink w:val="Tablebulletlist"/>
  </w:abstractNum>
  <w:abstractNum w:abstractNumId="37"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15:restartNumberingAfterBreak="0">
    <w:nsid w:val="7D9C145A"/>
    <w:multiLevelType w:val="hybridMultilevel"/>
    <w:tmpl w:val="DED88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34620797">
    <w:abstractNumId w:val="22"/>
  </w:num>
  <w:num w:numId="2" w16cid:durableId="298344336">
    <w:abstractNumId w:val="13"/>
  </w:num>
  <w:num w:numId="3" w16cid:durableId="432751859">
    <w:abstractNumId w:val="37"/>
  </w:num>
  <w:num w:numId="4" w16cid:durableId="660087949">
    <w:abstractNumId w:val="26"/>
  </w:num>
  <w:num w:numId="5" w16cid:durableId="293217313">
    <w:abstractNumId w:val="18"/>
  </w:num>
  <w:num w:numId="6" w16cid:durableId="776290608">
    <w:abstractNumId w:val="9"/>
  </w:num>
  <w:num w:numId="7" w16cid:durableId="794257236">
    <w:abstractNumId w:val="28"/>
  </w:num>
  <w:num w:numId="8" w16cid:durableId="1772166039">
    <w:abstractNumId w:val="16"/>
  </w:num>
  <w:num w:numId="9" w16cid:durableId="386074530">
    <w:abstractNumId w:val="38"/>
  </w:num>
  <w:num w:numId="10" w16cid:durableId="1986349814">
    <w:abstractNumId w:val="0"/>
  </w:num>
  <w:num w:numId="11" w16cid:durableId="1245065920">
    <w:abstractNumId w:val="17"/>
  </w:num>
  <w:num w:numId="12" w16cid:durableId="313920410">
    <w:abstractNumId w:val="5"/>
  </w:num>
  <w:num w:numId="13" w16cid:durableId="1300068601">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DC04" w:allStyles="0" w:customStyles="0" w:latentStyles="1" w:stylesInUse="0" w:headingStyles="0" w:numberingStyles="0" w:tableStyles="0" w:directFormattingOnRuns="0" w:directFormattingOnParagraphs="0" w:directFormattingOnNumbering="1"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0FB"/>
    <w:rsid w:val="00001DDF"/>
    <w:rsid w:val="0000322D"/>
    <w:rsid w:val="00007670"/>
    <w:rsid w:val="00010665"/>
    <w:rsid w:val="0002393A"/>
    <w:rsid w:val="00027DB8"/>
    <w:rsid w:val="00031A96"/>
    <w:rsid w:val="00040BF3"/>
    <w:rsid w:val="0004211C"/>
    <w:rsid w:val="00046C59"/>
    <w:rsid w:val="00051362"/>
    <w:rsid w:val="00051F45"/>
    <w:rsid w:val="00052953"/>
    <w:rsid w:val="0005341A"/>
    <w:rsid w:val="00056DEF"/>
    <w:rsid w:val="00056EDC"/>
    <w:rsid w:val="00062E53"/>
    <w:rsid w:val="0006635A"/>
    <w:rsid w:val="000720BE"/>
    <w:rsid w:val="0007259C"/>
    <w:rsid w:val="00072E00"/>
    <w:rsid w:val="000801B3"/>
    <w:rsid w:val="00080202"/>
    <w:rsid w:val="00080DCD"/>
    <w:rsid w:val="00080E22"/>
    <w:rsid w:val="00082573"/>
    <w:rsid w:val="000840A3"/>
    <w:rsid w:val="00085062"/>
    <w:rsid w:val="00086A5F"/>
    <w:rsid w:val="000911EF"/>
    <w:rsid w:val="000962C5"/>
    <w:rsid w:val="00097865"/>
    <w:rsid w:val="00097C13"/>
    <w:rsid w:val="000A4317"/>
    <w:rsid w:val="000A559C"/>
    <w:rsid w:val="000B2CA1"/>
    <w:rsid w:val="000D1F29"/>
    <w:rsid w:val="000D633D"/>
    <w:rsid w:val="000E342B"/>
    <w:rsid w:val="000E3ED2"/>
    <w:rsid w:val="000E5DD2"/>
    <w:rsid w:val="000F2958"/>
    <w:rsid w:val="000F3850"/>
    <w:rsid w:val="000F4324"/>
    <w:rsid w:val="000F604F"/>
    <w:rsid w:val="000F7D3B"/>
    <w:rsid w:val="00104E7F"/>
    <w:rsid w:val="001119B7"/>
    <w:rsid w:val="001137EC"/>
    <w:rsid w:val="001152F5"/>
    <w:rsid w:val="00117743"/>
    <w:rsid w:val="00117F5B"/>
    <w:rsid w:val="00131ABD"/>
    <w:rsid w:val="00132658"/>
    <w:rsid w:val="00150DC0"/>
    <w:rsid w:val="0015394D"/>
    <w:rsid w:val="00156CD4"/>
    <w:rsid w:val="0016153B"/>
    <w:rsid w:val="00162207"/>
    <w:rsid w:val="00164A3E"/>
    <w:rsid w:val="00166FF6"/>
    <w:rsid w:val="00176123"/>
    <w:rsid w:val="00181620"/>
    <w:rsid w:val="00187130"/>
    <w:rsid w:val="0019014D"/>
    <w:rsid w:val="001957AD"/>
    <w:rsid w:val="00196F8E"/>
    <w:rsid w:val="001A2B7F"/>
    <w:rsid w:val="001A3AFD"/>
    <w:rsid w:val="001A496C"/>
    <w:rsid w:val="001A576A"/>
    <w:rsid w:val="001B28DA"/>
    <w:rsid w:val="001B2B6C"/>
    <w:rsid w:val="001D01C4"/>
    <w:rsid w:val="001D4F99"/>
    <w:rsid w:val="001D52B0"/>
    <w:rsid w:val="001D5A18"/>
    <w:rsid w:val="001D7CA4"/>
    <w:rsid w:val="001E057F"/>
    <w:rsid w:val="001E14EB"/>
    <w:rsid w:val="001F59E6"/>
    <w:rsid w:val="00203F1C"/>
    <w:rsid w:val="00206936"/>
    <w:rsid w:val="00206C6F"/>
    <w:rsid w:val="00206FBD"/>
    <w:rsid w:val="00207746"/>
    <w:rsid w:val="00216245"/>
    <w:rsid w:val="00230031"/>
    <w:rsid w:val="00235C01"/>
    <w:rsid w:val="00247343"/>
    <w:rsid w:val="00247476"/>
    <w:rsid w:val="00265C56"/>
    <w:rsid w:val="002716CD"/>
    <w:rsid w:val="00274D4B"/>
    <w:rsid w:val="00276DBE"/>
    <w:rsid w:val="002806F5"/>
    <w:rsid w:val="00281577"/>
    <w:rsid w:val="00287D73"/>
    <w:rsid w:val="002926BC"/>
    <w:rsid w:val="00293A72"/>
    <w:rsid w:val="002A0160"/>
    <w:rsid w:val="002A30C3"/>
    <w:rsid w:val="002A6F6A"/>
    <w:rsid w:val="002A7712"/>
    <w:rsid w:val="002B38F7"/>
    <w:rsid w:val="002B4F50"/>
    <w:rsid w:val="002B5591"/>
    <w:rsid w:val="002B6AA4"/>
    <w:rsid w:val="002C1FE9"/>
    <w:rsid w:val="002D3A57"/>
    <w:rsid w:val="002D6524"/>
    <w:rsid w:val="002D7D05"/>
    <w:rsid w:val="002E20C8"/>
    <w:rsid w:val="002E4290"/>
    <w:rsid w:val="002E66A6"/>
    <w:rsid w:val="002F0DB1"/>
    <w:rsid w:val="002F2885"/>
    <w:rsid w:val="002F45A1"/>
    <w:rsid w:val="0030203D"/>
    <w:rsid w:val="003037F9"/>
    <w:rsid w:val="0030583E"/>
    <w:rsid w:val="00307001"/>
    <w:rsid w:val="00307FE1"/>
    <w:rsid w:val="003164BA"/>
    <w:rsid w:val="003226BC"/>
    <w:rsid w:val="003258E6"/>
    <w:rsid w:val="003311EE"/>
    <w:rsid w:val="00342283"/>
    <w:rsid w:val="00343A87"/>
    <w:rsid w:val="00344A36"/>
    <w:rsid w:val="003456F4"/>
    <w:rsid w:val="00347FB6"/>
    <w:rsid w:val="003504FD"/>
    <w:rsid w:val="00350881"/>
    <w:rsid w:val="00357D55"/>
    <w:rsid w:val="00363513"/>
    <w:rsid w:val="003657E5"/>
    <w:rsid w:val="0036589C"/>
    <w:rsid w:val="00371312"/>
    <w:rsid w:val="00371DC7"/>
    <w:rsid w:val="00377B21"/>
    <w:rsid w:val="00390862"/>
    <w:rsid w:val="00390CE3"/>
    <w:rsid w:val="00394876"/>
    <w:rsid w:val="00394AAF"/>
    <w:rsid w:val="00394CE5"/>
    <w:rsid w:val="003A6341"/>
    <w:rsid w:val="003B67FD"/>
    <w:rsid w:val="003B6A61"/>
    <w:rsid w:val="003C2198"/>
    <w:rsid w:val="003C4941"/>
    <w:rsid w:val="003D0F63"/>
    <w:rsid w:val="003D42C0"/>
    <w:rsid w:val="003D4A8F"/>
    <w:rsid w:val="003D5B29"/>
    <w:rsid w:val="003D7818"/>
    <w:rsid w:val="003E2445"/>
    <w:rsid w:val="003E3BB2"/>
    <w:rsid w:val="003F5B58"/>
    <w:rsid w:val="0040222A"/>
    <w:rsid w:val="004047BC"/>
    <w:rsid w:val="004100F7"/>
    <w:rsid w:val="00414CB3"/>
    <w:rsid w:val="0041563D"/>
    <w:rsid w:val="00426E25"/>
    <w:rsid w:val="00426FC9"/>
    <w:rsid w:val="00427D9C"/>
    <w:rsid w:val="00427E7E"/>
    <w:rsid w:val="0043465D"/>
    <w:rsid w:val="00435082"/>
    <w:rsid w:val="00443B6E"/>
    <w:rsid w:val="00450636"/>
    <w:rsid w:val="0045420A"/>
    <w:rsid w:val="004554D4"/>
    <w:rsid w:val="004567DA"/>
    <w:rsid w:val="00461744"/>
    <w:rsid w:val="00466185"/>
    <w:rsid w:val="00466303"/>
    <w:rsid w:val="004668A7"/>
    <w:rsid w:val="00466D96"/>
    <w:rsid w:val="00467747"/>
    <w:rsid w:val="00470017"/>
    <w:rsid w:val="0047105A"/>
    <w:rsid w:val="00473C98"/>
    <w:rsid w:val="00474965"/>
    <w:rsid w:val="00482DF8"/>
    <w:rsid w:val="004864DE"/>
    <w:rsid w:val="00491B08"/>
    <w:rsid w:val="00494BE5"/>
    <w:rsid w:val="00496611"/>
    <w:rsid w:val="004A0EBA"/>
    <w:rsid w:val="004A2538"/>
    <w:rsid w:val="004A331E"/>
    <w:rsid w:val="004B0C15"/>
    <w:rsid w:val="004B35EA"/>
    <w:rsid w:val="004B69E4"/>
    <w:rsid w:val="004C6C39"/>
    <w:rsid w:val="004C7DFF"/>
    <w:rsid w:val="004D075F"/>
    <w:rsid w:val="004D1B76"/>
    <w:rsid w:val="004D344E"/>
    <w:rsid w:val="004E00FB"/>
    <w:rsid w:val="004E019E"/>
    <w:rsid w:val="004E06EC"/>
    <w:rsid w:val="004E0A3F"/>
    <w:rsid w:val="004E2CB7"/>
    <w:rsid w:val="004F016A"/>
    <w:rsid w:val="00500F94"/>
    <w:rsid w:val="00502FB3"/>
    <w:rsid w:val="00503DE9"/>
    <w:rsid w:val="0050530C"/>
    <w:rsid w:val="00505942"/>
    <w:rsid w:val="00505DEA"/>
    <w:rsid w:val="00507782"/>
    <w:rsid w:val="00512A04"/>
    <w:rsid w:val="00520499"/>
    <w:rsid w:val="005249F5"/>
    <w:rsid w:val="005260F7"/>
    <w:rsid w:val="005270EA"/>
    <w:rsid w:val="00543BD1"/>
    <w:rsid w:val="00556113"/>
    <w:rsid w:val="00564C12"/>
    <w:rsid w:val="005654B8"/>
    <w:rsid w:val="00570D94"/>
    <w:rsid w:val="00570FA2"/>
    <w:rsid w:val="005762CC"/>
    <w:rsid w:val="00582D3D"/>
    <w:rsid w:val="00590040"/>
    <w:rsid w:val="00595386"/>
    <w:rsid w:val="00597234"/>
    <w:rsid w:val="005A4AC0"/>
    <w:rsid w:val="005A539B"/>
    <w:rsid w:val="005A5FDF"/>
    <w:rsid w:val="005B0FB7"/>
    <w:rsid w:val="005B122A"/>
    <w:rsid w:val="005B1FCB"/>
    <w:rsid w:val="005B5AC2"/>
    <w:rsid w:val="005C2833"/>
    <w:rsid w:val="005C786F"/>
    <w:rsid w:val="005E144D"/>
    <w:rsid w:val="005E1500"/>
    <w:rsid w:val="005E3A43"/>
    <w:rsid w:val="005F0B17"/>
    <w:rsid w:val="005F6602"/>
    <w:rsid w:val="005F77C7"/>
    <w:rsid w:val="00614CEC"/>
    <w:rsid w:val="00620675"/>
    <w:rsid w:val="00622910"/>
    <w:rsid w:val="006254B6"/>
    <w:rsid w:val="00627FC8"/>
    <w:rsid w:val="006433C3"/>
    <w:rsid w:val="00650F5B"/>
    <w:rsid w:val="006670D7"/>
    <w:rsid w:val="0066711A"/>
    <w:rsid w:val="00667AB3"/>
    <w:rsid w:val="006719EA"/>
    <w:rsid w:val="00671F13"/>
    <w:rsid w:val="0067400A"/>
    <w:rsid w:val="006847AD"/>
    <w:rsid w:val="006863DB"/>
    <w:rsid w:val="0069114B"/>
    <w:rsid w:val="006944C1"/>
    <w:rsid w:val="006A756A"/>
    <w:rsid w:val="006C0EC2"/>
    <w:rsid w:val="006D66F7"/>
    <w:rsid w:val="00705C9D"/>
    <w:rsid w:val="00705F13"/>
    <w:rsid w:val="0070624C"/>
    <w:rsid w:val="00707EF4"/>
    <w:rsid w:val="00714F1D"/>
    <w:rsid w:val="00715225"/>
    <w:rsid w:val="0071700C"/>
    <w:rsid w:val="00720662"/>
    <w:rsid w:val="00720CC6"/>
    <w:rsid w:val="00722DDB"/>
    <w:rsid w:val="00724728"/>
    <w:rsid w:val="00724F98"/>
    <w:rsid w:val="00730B9B"/>
    <w:rsid w:val="0073182E"/>
    <w:rsid w:val="007332FF"/>
    <w:rsid w:val="007408F5"/>
    <w:rsid w:val="00741EAE"/>
    <w:rsid w:val="00755248"/>
    <w:rsid w:val="0076190B"/>
    <w:rsid w:val="007623B7"/>
    <w:rsid w:val="0076355D"/>
    <w:rsid w:val="00763A2D"/>
    <w:rsid w:val="007676A4"/>
    <w:rsid w:val="00777795"/>
    <w:rsid w:val="00783A57"/>
    <w:rsid w:val="00783A9D"/>
    <w:rsid w:val="00784C92"/>
    <w:rsid w:val="007859CD"/>
    <w:rsid w:val="00785C24"/>
    <w:rsid w:val="007907E4"/>
    <w:rsid w:val="00795406"/>
    <w:rsid w:val="00796461"/>
    <w:rsid w:val="007A6A4F"/>
    <w:rsid w:val="007B03F5"/>
    <w:rsid w:val="007B2A9A"/>
    <w:rsid w:val="007B5C09"/>
    <w:rsid w:val="007B5DA2"/>
    <w:rsid w:val="007C0966"/>
    <w:rsid w:val="007C19E7"/>
    <w:rsid w:val="007C5CFD"/>
    <w:rsid w:val="007C6D9F"/>
    <w:rsid w:val="007D4893"/>
    <w:rsid w:val="007E70CF"/>
    <w:rsid w:val="007E74A4"/>
    <w:rsid w:val="007F1B6F"/>
    <w:rsid w:val="007F263F"/>
    <w:rsid w:val="008015A8"/>
    <w:rsid w:val="008062C8"/>
    <w:rsid w:val="0080766E"/>
    <w:rsid w:val="00811169"/>
    <w:rsid w:val="00815297"/>
    <w:rsid w:val="008170DB"/>
    <w:rsid w:val="00817BA1"/>
    <w:rsid w:val="00823022"/>
    <w:rsid w:val="0082598B"/>
    <w:rsid w:val="0082634E"/>
    <w:rsid w:val="008313C4"/>
    <w:rsid w:val="00834A05"/>
    <w:rsid w:val="00835434"/>
    <w:rsid w:val="008358C0"/>
    <w:rsid w:val="00842838"/>
    <w:rsid w:val="00854EC1"/>
    <w:rsid w:val="0085797F"/>
    <w:rsid w:val="00861DC3"/>
    <w:rsid w:val="00867019"/>
    <w:rsid w:val="00872EF1"/>
    <w:rsid w:val="008735A9"/>
    <w:rsid w:val="00877BC5"/>
    <w:rsid w:val="00877D20"/>
    <w:rsid w:val="00881C48"/>
    <w:rsid w:val="00885B80"/>
    <w:rsid w:val="00885C30"/>
    <w:rsid w:val="00885E9B"/>
    <w:rsid w:val="0089368E"/>
    <w:rsid w:val="00893C96"/>
    <w:rsid w:val="0089500A"/>
    <w:rsid w:val="00897C94"/>
    <w:rsid w:val="008A4B30"/>
    <w:rsid w:val="008A7C12"/>
    <w:rsid w:val="008B03CE"/>
    <w:rsid w:val="008B529E"/>
    <w:rsid w:val="008C17FB"/>
    <w:rsid w:val="008C70BB"/>
    <w:rsid w:val="008D1B00"/>
    <w:rsid w:val="008D403E"/>
    <w:rsid w:val="008D57B8"/>
    <w:rsid w:val="008D6BF2"/>
    <w:rsid w:val="008E03FC"/>
    <w:rsid w:val="008E510B"/>
    <w:rsid w:val="00902B13"/>
    <w:rsid w:val="00911941"/>
    <w:rsid w:val="0092024D"/>
    <w:rsid w:val="00925146"/>
    <w:rsid w:val="009254DC"/>
    <w:rsid w:val="00925F0F"/>
    <w:rsid w:val="00932F6B"/>
    <w:rsid w:val="009444F0"/>
    <w:rsid w:val="009468BC"/>
    <w:rsid w:val="00947FAE"/>
    <w:rsid w:val="009503CD"/>
    <w:rsid w:val="009616DF"/>
    <w:rsid w:val="0096542F"/>
    <w:rsid w:val="00967FA7"/>
    <w:rsid w:val="00971645"/>
    <w:rsid w:val="00977919"/>
    <w:rsid w:val="00983000"/>
    <w:rsid w:val="009870FA"/>
    <w:rsid w:val="009921C3"/>
    <w:rsid w:val="0099551D"/>
    <w:rsid w:val="009A5897"/>
    <w:rsid w:val="009A5F24"/>
    <w:rsid w:val="009B0B3E"/>
    <w:rsid w:val="009B1913"/>
    <w:rsid w:val="009B2B32"/>
    <w:rsid w:val="009B6657"/>
    <w:rsid w:val="009B6966"/>
    <w:rsid w:val="009D0EB5"/>
    <w:rsid w:val="009D14F9"/>
    <w:rsid w:val="009D2B74"/>
    <w:rsid w:val="009D63FF"/>
    <w:rsid w:val="009E175D"/>
    <w:rsid w:val="009E3CC2"/>
    <w:rsid w:val="009F06BD"/>
    <w:rsid w:val="009F2A4D"/>
    <w:rsid w:val="00A00828"/>
    <w:rsid w:val="00A03290"/>
    <w:rsid w:val="00A0387E"/>
    <w:rsid w:val="00A05BFD"/>
    <w:rsid w:val="00A07490"/>
    <w:rsid w:val="00A10655"/>
    <w:rsid w:val="00A12B64"/>
    <w:rsid w:val="00A22C38"/>
    <w:rsid w:val="00A25193"/>
    <w:rsid w:val="00A26E80"/>
    <w:rsid w:val="00A31AE8"/>
    <w:rsid w:val="00A3739D"/>
    <w:rsid w:val="00A37DDA"/>
    <w:rsid w:val="00A40413"/>
    <w:rsid w:val="00A45005"/>
    <w:rsid w:val="00A567EE"/>
    <w:rsid w:val="00A61144"/>
    <w:rsid w:val="00A655D0"/>
    <w:rsid w:val="00A671E4"/>
    <w:rsid w:val="00A70DD8"/>
    <w:rsid w:val="00A76790"/>
    <w:rsid w:val="00A85D0C"/>
    <w:rsid w:val="00A91E03"/>
    <w:rsid w:val="00A925EC"/>
    <w:rsid w:val="00A929AA"/>
    <w:rsid w:val="00A92B6B"/>
    <w:rsid w:val="00AA541E"/>
    <w:rsid w:val="00AD0DA4"/>
    <w:rsid w:val="00AD4169"/>
    <w:rsid w:val="00AE25C6"/>
    <w:rsid w:val="00AE306C"/>
    <w:rsid w:val="00AF0EB7"/>
    <w:rsid w:val="00AF28C1"/>
    <w:rsid w:val="00AF7239"/>
    <w:rsid w:val="00B02EF1"/>
    <w:rsid w:val="00B07A1E"/>
    <w:rsid w:val="00B07C97"/>
    <w:rsid w:val="00B11C67"/>
    <w:rsid w:val="00B15754"/>
    <w:rsid w:val="00B16002"/>
    <w:rsid w:val="00B2046E"/>
    <w:rsid w:val="00B20E8B"/>
    <w:rsid w:val="00B257E1"/>
    <w:rsid w:val="00B2599A"/>
    <w:rsid w:val="00B27AC4"/>
    <w:rsid w:val="00B343CC"/>
    <w:rsid w:val="00B5084A"/>
    <w:rsid w:val="00B5393C"/>
    <w:rsid w:val="00B606A1"/>
    <w:rsid w:val="00B614F7"/>
    <w:rsid w:val="00B61AF3"/>
    <w:rsid w:val="00B61B26"/>
    <w:rsid w:val="00B65E6B"/>
    <w:rsid w:val="00B67138"/>
    <w:rsid w:val="00B675B2"/>
    <w:rsid w:val="00B81261"/>
    <w:rsid w:val="00B8223E"/>
    <w:rsid w:val="00B832AE"/>
    <w:rsid w:val="00B86678"/>
    <w:rsid w:val="00B92F9B"/>
    <w:rsid w:val="00B941B3"/>
    <w:rsid w:val="00B96513"/>
    <w:rsid w:val="00BA1D47"/>
    <w:rsid w:val="00BA66F0"/>
    <w:rsid w:val="00BB0253"/>
    <w:rsid w:val="00BB2239"/>
    <w:rsid w:val="00BB2AE7"/>
    <w:rsid w:val="00BB6464"/>
    <w:rsid w:val="00BC1BB8"/>
    <w:rsid w:val="00BD7FE1"/>
    <w:rsid w:val="00BE37CA"/>
    <w:rsid w:val="00BE6144"/>
    <w:rsid w:val="00BE635A"/>
    <w:rsid w:val="00BF17E9"/>
    <w:rsid w:val="00BF2ABB"/>
    <w:rsid w:val="00BF5099"/>
    <w:rsid w:val="00C07BB1"/>
    <w:rsid w:val="00C10B5E"/>
    <w:rsid w:val="00C10F10"/>
    <w:rsid w:val="00C15D4D"/>
    <w:rsid w:val="00C175DC"/>
    <w:rsid w:val="00C30171"/>
    <w:rsid w:val="00C309D8"/>
    <w:rsid w:val="00C43519"/>
    <w:rsid w:val="00C45263"/>
    <w:rsid w:val="00C51537"/>
    <w:rsid w:val="00C52625"/>
    <w:rsid w:val="00C52BC3"/>
    <w:rsid w:val="00C61AFA"/>
    <w:rsid w:val="00C61D64"/>
    <w:rsid w:val="00C62099"/>
    <w:rsid w:val="00C62A34"/>
    <w:rsid w:val="00C64EA3"/>
    <w:rsid w:val="00C72867"/>
    <w:rsid w:val="00C75E81"/>
    <w:rsid w:val="00C83BB6"/>
    <w:rsid w:val="00C86609"/>
    <w:rsid w:val="00C92B4C"/>
    <w:rsid w:val="00C954F6"/>
    <w:rsid w:val="00C96127"/>
    <w:rsid w:val="00CA36A0"/>
    <w:rsid w:val="00CA6BC5"/>
    <w:rsid w:val="00CC571B"/>
    <w:rsid w:val="00CC61CD"/>
    <w:rsid w:val="00CC6C02"/>
    <w:rsid w:val="00CC737B"/>
    <w:rsid w:val="00CD5011"/>
    <w:rsid w:val="00CE640F"/>
    <w:rsid w:val="00CE76BC"/>
    <w:rsid w:val="00CF3F84"/>
    <w:rsid w:val="00CF540E"/>
    <w:rsid w:val="00CF7E89"/>
    <w:rsid w:val="00D02F07"/>
    <w:rsid w:val="00D04E66"/>
    <w:rsid w:val="00D15D88"/>
    <w:rsid w:val="00D27D49"/>
    <w:rsid w:val="00D27EBE"/>
    <w:rsid w:val="00D36A49"/>
    <w:rsid w:val="00D460A9"/>
    <w:rsid w:val="00D47DC7"/>
    <w:rsid w:val="00D517C6"/>
    <w:rsid w:val="00D71D84"/>
    <w:rsid w:val="00D72464"/>
    <w:rsid w:val="00D72A57"/>
    <w:rsid w:val="00D768EB"/>
    <w:rsid w:val="00D81E17"/>
    <w:rsid w:val="00D82D1E"/>
    <w:rsid w:val="00D832D9"/>
    <w:rsid w:val="00D90F00"/>
    <w:rsid w:val="00D96804"/>
    <w:rsid w:val="00D975C0"/>
    <w:rsid w:val="00DA5285"/>
    <w:rsid w:val="00DB191D"/>
    <w:rsid w:val="00DB4F91"/>
    <w:rsid w:val="00DB6D0A"/>
    <w:rsid w:val="00DC06BE"/>
    <w:rsid w:val="00DC1F0F"/>
    <w:rsid w:val="00DC3117"/>
    <w:rsid w:val="00DC4E2A"/>
    <w:rsid w:val="00DC5DD9"/>
    <w:rsid w:val="00DC6D2D"/>
    <w:rsid w:val="00DD4E59"/>
    <w:rsid w:val="00DE33B5"/>
    <w:rsid w:val="00DE5E18"/>
    <w:rsid w:val="00DF0487"/>
    <w:rsid w:val="00DF5EA4"/>
    <w:rsid w:val="00E02681"/>
    <w:rsid w:val="00E02792"/>
    <w:rsid w:val="00E034D8"/>
    <w:rsid w:val="00E04CC0"/>
    <w:rsid w:val="00E15816"/>
    <w:rsid w:val="00E160D5"/>
    <w:rsid w:val="00E239FF"/>
    <w:rsid w:val="00E27D7B"/>
    <w:rsid w:val="00E30556"/>
    <w:rsid w:val="00E30981"/>
    <w:rsid w:val="00E33136"/>
    <w:rsid w:val="00E34D7C"/>
    <w:rsid w:val="00E3723D"/>
    <w:rsid w:val="00E44C89"/>
    <w:rsid w:val="00E457A6"/>
    <w:rsid w:val="00E54F9E"/>
    <w:rsid w:val="00E61BA2"/>
    <w:rsid w:val="00E63864"/>
    <w:rsid w:val="00E6403F"/>
    <w:rsid w:val="00E75451"/>
    <w:rsid w:val="00E76AD6"/>
    <w:rsid w:val="00E770C4"/>
    <w:rsid w:val="00E84C5A"/>
    <w:rsid w:val="00E861DB"/>
    <w:rsid w:val="00E908F1"/>
    <w:rsid w:val="00E93406"/>
    <w:rsid w:val="00E956C5"/>
    <w:rsid w:val="00E95C39"/>
    <w:rsid w:val="00EA2C39"/>
    <w:rsid w:val="00EA4471"/>
    <w:rsid w:val="00EB0A3C"/>
    <w:rsid w:val="00EB0A96"/>
    <w:rsid w:val="00EB77F9"/>
    <w:rsid w:val="00EC5769"/>
    <w:rsid w:val="00EC7D00"/>
    <w:rsid w:val="00ED0304"/>
    <w:rsid w:val="00ED4FF7"/>
    <w:rsid w:val="00ED5B7B"/>
    <w:rsid w:val="00EE38FA"/>
    <w:rsid w:val="00EE3E2C"/>
    <w:rsid w:val="00EE5D23"/>
    <w:rsid w:val="00EE750D"/>
    <w:rsid w:val="00EF3CA4"/>
    <w:rsid w:val="00EF49A8"/>
    <w:rsid w:val="00EF7859"/>
    <w:rsid w:val="00F014DA"/>
    <w:rsid w:val="00F02591"/>
    <w:rsid w:val="00F30AE1"/>
    <w:rsid w:val="00F37032"/>
    <w:rsid w:val="00F5696E"/>
    <w:rsid w:val="00F60EFF"/>
    <w:rsid w:val="00F67D2D"/>
    <w:rsid w:val="00F858F2"/>
    <w:rsid w:val="00F860CC"/>
    <w:rsid w:val="00F94398"/>
    <w:rsid w:val="00FB2B56"/>
    <w:rsid w:val="00FB55D5"/>
    <w:rsid w:val="00FC12BF"/>
    <w:rsid w:val="00FC2C60"/>
    <w:rsid w:val="00FD300F"/>
    <w:rsid w:val="00FD3E6F"/>
    <w:rsid w:val="00FD51B9"/>
    <w:rsid w:val="00FD5849"/>
    <w:rsid w:val="00FE03E4"/>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FA4DE"/>
  <w15:docId w15:val="{7E0D3C7A-2591-4C1C-99B0-AF0A239C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245"/>
    <w:rPr>
      <w:rFonts w:ascii="Lato" w:hAnsi="Lato"/>
    </w:rPr>
  </w:style>
  <w:style w:type="paragraph" w:styleId="Heading1">
    <w:name w:val="heading 1"/>
    <w:basedOn w:val="Normal"/>
    <w:next w:val="Normal"/>
    <w:link w:val="Heading1Char"/>
    <w:uiPriority w:val="2"/>
    <w:qFormat/>
    <w:rsid w:val="00496611"/>
    <w:pPr>
      <w:keepNext/>
      <w:keepLines/>
      <w:spacing w:before="240"/>
      <w:outlineLvl w:val="0"/>
    </w:pPr>
    <w:rPr>
      <w:rFonts w:ascii="Lato Semibold" w:eastAsia="Times New Roman" w:hAnsi="Lato Semibold"/>
      <w:color w:val="E35205" w:themeColor="text2"/>
      <w:kern w:val="32"/>
      <w:sz w:val="36"/>
      <w:szCs w:val="32"/>
    </w:rPr>
  </w:style>
  <w:style w:type="paragraph" w:styleId="Heading2">
    <w:name w:val="heading 2"/>
    <w:basedOn w:val="Normal"/>
    <w:next w:val="Normal"/>
    <w:link w:val="Heading2Char"/>
    <w:uiPriority w:val="2"/>
    <w:qFormat/>
    <w:rsid w:val="00496611"/>
    <w:pPr>
      <w:keepNext/>
      <w:keepLines/>
      <w:spacing w:before="240"/>
      <w:outlineLvl w:val="1"/>
    </w:pPr>
    <w:rPr>
      <w:rFonts w:ascii="Lato Semibold" w:eastAsia="Times New Roman" w:hAnsi="Lato Semibold"/>
      <w:color w:val="2E979C" w:themeColor="accent3"/>
      <w:sz w:val="32"/>
      <w:szCs w:val="28"/>
    </w:rPr>
  </w:style>
  <w:style w:type="paragraph" w:styleId="Heading3">
    <w:name w:val="heading 3"/>
    <w:basedOn w:val="Normal"/>
    <w:next w:val="Normal"/>
    <w:link w:val="Heading3Char"/>
    <w:uiPriority w:val="2"/>
    <w:qFormat/>
    <w:rsid w:val="00A567EE"/>
    <w:pPr>
      <w:keepNext/>
      <w:keepLines/>
      <w:spacing w:before="240"/>
      <w:outlineLvl w:val="2"/>
    </w:pPr>
    <w:rPr>
      <w:rFonts w:ascii="Lato Semibold" w:hAnsi="Lato Semibold" w:cs="Arial"/>
      <w:color w:val="3A3440" w:themeColor="text1"/>
      <w:sz w:val="28"/>
      <w:szCs w:val="26"/>
    </w:rPr>
  </w:style>
  <w:style w:type="paragraph" w:styleId="Heading4">
    <w:name w:val="heading 4"/>
    <w:basedOn w:val="Normal"/>
    <w:next w:val="Normal"/>
    <w:link w:val="Heading4Char"/>
    <w:uiPriority w:val="2"/>
    <w:qFormat/>
    <w:rsid w:val="00A567EE"/>
    <w:pPr>
      <w:keepNext/>
      <w:keepLines/>
      <w:spacing w:before="240"/>
      <w:outlineLvl w:val="3"/>
    </w:pPr>
    <w:rPr>
      <w:rFonts w:ascii="Lato Semibold" w:eastAsia="Times New Roman" w:hAnsi="Lato Semibold"/>
      <w:bCs/>
      <w:iCs/>
      <w:color w:val="454347"/>
      <w:sz w:val="24"/>
      <w:szCs w:val="24"/>
    </w:rPr>
  </w:style>
  <w:style w:type="paragraph" w:styleId="Heading5">
    <w:name w:val="heading 5"/>
    <w:basedOn w:val="Normal"/>
    <w:next w:val="Normal"/>
    <w:link w:val="Heading5Char"/>
    <w:uiPriority w:val="2"/>
    <w:semiHidden/>
    <w:rsid w:val="009A5F24"/>
    <w:pPr>
      <w:keepNext/>
      <w:keepLines/>
      <w:numPr>
        <w:ilvl w:val="4"/>
        <w:numId w:val="3"/>
      </w:numPr>
      <w:outlineLvl w:val="4"/>
    </w:pPr>
    <w:rPr>
      <w:b/>
      <w:color w:val="3A3440" w:themeColor="text1"/>
    </w:rPr>
  </w:style>
  <w:style w:type="paragraph" w:styleId="Heading6">
    <w:name w:val="heading 6"/>
    <w:basedOn w:val="Normal"/>
    <w:next w:val="Normal"/>
    <w:link w:val="Heading6Char"/>
    <w:uiPriority w:val="2"/>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2"/>
    <w:semiHidden/>
    <w:rsid w:val="009A5F24"/>
    <w:pPr>
      <w:keepNext/>
      <w:keepLines/>
      <w:numPr>
        <w:ilvl w:val="6"/>
        <w:numId w:val="3"/>
      </w:numPr>
      <w:outlineLvl w:val="6"/>
    </w:pPr>
    <w:rPr>
      <w:b/>
      <w:color w:val="3A3440" w:themeColor="text1"/>
    </w:rPr>
  </w:style>
  <w:style w:type="paragraph" w:styleId="Heading8">
    <w:name w:val="heading 8"/>
    <w:basedOn w:val="Normal"/>
    <w:next w:val="Normal"/>
    <w:link w:val="Heading8Char"/>
    <w:uiPriority w:val="2"/>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2"/>
    <w:semiHidden/>
    <w:rsid w:val="009A5F24"/>
    <w:pPr>
      <w:keepNext/>
      <w:keepLines/>
      <w:numPr>
        <w:ilvl w:val="8"/>
        <w:numId w:val="3"/>
      </w:numPr>
      <w:outlineLvl w:val="8"/>
    </w:pPr>
    <w:rPr>
      <w:b/>
      <w:color w:val="3A344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2"/>
    <w:rsid w:val="00496611"/>
    <w:rPr>
      <w:rFonts w:ascii="Lato Semibold" w:eastAsia="Times New Roman" w:hAnsi="Lato Semibold"/>
      <w:color w:val="E35205" w:themeColor="text2"/>
      <w:kern w:val="32"/>
      <w:sz w:val="36"/>
      <w:szCs w:val="32"/>
    </w:rPr>
  </w:style>
  <w:style w:type="character" w:customStyle="1" w:styleId="Heading2Char">
    <w:name w:val="Heading 2 Char"/>
    <w:basedOn w:val="DefaultParagraphFont"/>
    <w:link w:val="Heading2"/>
    <w:uiPriority w:val="2"/>
    <w:rsid w:val="00496611"/>
    <w:rPr>
      <w:rFonts w:ascii="Lato Semibold" w:eastAsia="Times New Roman" w:hAnsi="Lato Semibold"/>
      <w:color w:val="2E979C" w:themeColor="accent3"/>
      <w:sz w:val="32"/>
      <w:szCs w:val="28"/>
    </w:rPr>
  </w:style>
  <w:style w:type="paragraph" w:styleId="Title">
    <w:name w:val="Title"/>
    <w:basedOn w:val="Normal"/>
    <w:next w:val="Normal"/>
    <w:link w:val="TitleChar"/>
    <w:qFormat/>
    <w:rsid w:val="00496611"/>
    <w:rPr>
      <w:rFonts w:ascii="Lato Semibold" w:eastAsia="Times New Roman" w:hAnsi="Lato Semibold"/>
      <w:bCs/>
      <w:color w:val="3A3440" w:themeColor="text1"/>
      <w:kern w:val="32"/>
      <w:sz w:val="60"/>
      <w:szCs w:val="64"/>
    </w:rPr>
  </w:style>
  <w:style w:type="character" w:customStyle="1" w:styleId="TitleChar">
    <w:name w:val="Title Char"/>
    <w:basedOn w:val="DefaultParagraphFont"/>
    <w:link w:val="Title"/>
    <w:rsid w:val="00496611"/>
    <w:rPr>
      <w:rFonts w:ascii="Lato Semibold" w:eastAsia="Times New Roman" w:hAnsi="Lato Semibold"/>
      <w:bCs/>
      <w:color w:val="3A3440" w:themeColor="text1"/>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2"/>
    <w:rsid w:val="00A567EE"/>
    <w:rPr>
      <w:rFonts w:ascii="Lato Semibold" w:hAnsi="Lato Semibold" w:cs="Arial"/>
      <w:color w:val="3A3440" w:themeColor="text1"/>
      <w:sz w:val="28"/>
      <w:szCs w:val="26"/>
    </w:rPr>
  </w:style>
  <w:style w:type="paragraph" w:styleId="BlockText">
    <w:name w:val="Block Text"/>
    <w:basedOn w:val="Normal"/>
    <w:semiHidden/>
    <w:rsid w:val="00414CB3"/>
    <w:rPr>
      <w:rFonts w:eastAsiaTheme="minorEastAsia"/>
      <w:iCs/>
    </w:rPr>
  </w:style>
  <w:style w:type="paragraph" w:styleId="Header">
    <w:name w:val="header"/>
    <w:aliases w:val="Page header"/>
    <w:basedOn w:val="Normal"/>
    <w:next w:val="Normal"/>
    <w:link w:val="HeaderChar"/>
    <w:uiPriority w:val="8"/>
    <w:rsid w:val="00D96804"/>
    <w:pPr>
      <w:tabs>
        <w:tab w:val="right" w:pos="9638"/>
      </w:tabs>
      <w:spacing w:after="240"/>
      <w:jc w:val="right"/>
    </w:pPr>
  </w:style>
  <w:style w:type="character" w:customStyle="1" w:styleId="HeaderChar">
    <w:name w:val="Header Char"/>
    <w:aliases w:val="Page header Char"/>
    <w:basedOn w:val="DefaultParagraphFont"/>
    <w:link w:val="Header"/>
    <w:uiPriority w:val="8"/>
    <w:rsid w:val="00D96804"/>
    <w:rPr>
      <w:rFonts w:ascii="Lato" w:hAnsi="Lato"/>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496611"/>
    <w:pPr>
      <w:numPr>
        <w:ilvl w:val="1"/>
      </w:numPr>
      <w:spacing w:after="160"/>
    </w:pPr>
    <w:rPr>
      <w:rFonts w:asciiTheme="majorHAnsi" w:eastAsia="Times New Roman" w:hAnsiTheme="majorHAnsi"/>
      <w:color w:val="E35205" w:themeColor="text2"/>
      <w:sz w:val="40"/>
    </w:rPr>
  </w:style>
  <w:style w:type="character" w:customStyle="1" w:styleId="Heading4Char">
    <w:name w:val="Heading 4 Char"/>
    <w:basedOn w:val="DefaultParagraphFont"/>
    <w:link w:val="Heading4"/>
    <w:uiPriority w:val="2"/>
    <w:rsid w:val="00A567EE"/>
    <w:rPr>
      <w:rFonts w:ascii="Lato Semibold" w:eastAsia="Times New Roman" w:hAnsi="Lato Semibold"/>
      <w:bCs/>
      <w:iCs/>
      <w:color w:val="454347"/>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color w:val="808080"/>
    </w:rPr>
  </w:style>
  <w:style w:type="paragraph" w:styleId="ListParagraph">
    <w:name w:val="List Paragraph"/>
    <w:aliases w:val="CAB - List Bullet,List Bullet Cab,Recommendation,List Paragraph1,List Paragraph11,Bullet point,List Paragraph Number,First level bullet point,figure text numbered,L,CV text,F5 List Paragraph,Dot pt,Medium Grid 1 - Accent 21,FooterText,列出段"/>
    <w:basedOn w:val="BlockText"/>
    <w:link w:val="ListParagraphChar"/>
    <w:uiPriority w:val="34"/>
    <w:qFormat/>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2"/>
    <w:semiHidden/>
    <w:rsid w:val="00EE750D"/>
    <w:rPr>
      <w:rFonts w:ascii="Lato" w:hAnsi="Lato"/>
      <w:b/>
      <w:color w:val="3A3440" w:themeColor="text1"/>
    </w:rPr>
  </w:style>
  <w:style w:type="character" w:customStyle="1" w:styleId="Heading6Char">
    <w:name w:val="Heading 6 Char"/>
    <w:basedOn w:val="DefaultParagraphFont"/>
    <w:link w:val="Heading6"/>
    <w:uiPriority w:val="2"/>
    <w:semiHidden/>
    <w:rsid w:val="00EE750D"/>
    <w:rPr>
      <w:rFonts w:ascii="Lato" w:hAnsi="Lato"/>
      <w:b/>
      <w:color w:val="606060"/>
    </w:rPr>
  </w:style>
  <w:style w:type="character" w:customStyle="1" w:styleId="Heading7Char">
    <w:name w:val="Heading 7 Char"/>
    <w:basedOn w:val="DefaultParagraphFont"/>
    <w:link w:val="Heading7"/>
    <w:uiPriority w:val="2"/>
    <w:semiHidden/>
    <w:rsid w:val="00EE750D"/>
    <w:rPr>
      <w:rFonts w:ascii="Lato" w:hAnsi="Lato"/>
      <w:b/>
      <w:color w:val="3A3440" w:themeColor="text1"/>
    </w:rPr>
  </w:style>
  <w:style w:type="character" w:customStyle="1" w:styleId="Heading8Char">
    <w:name w:val="Heading 8 Char"/>
    <w:basedOn w:val="DefaultParagraphFont"/>
    <w:link w:val="Heading8"/>
    <w:uiPriority w:val="2"/>
    <w:semiHidden/>
    <w:rsid w:val="00EE750D"/>
    <w:rPr>
      <w:rFonts w:ascii="Lato" w:hAnsi="Lato"/>
      <w:b/>
      <w:color w:val="606060"/>
    </w:rPr>
  </w:style>
  <w:style w:type="character" w:customStyle="1" w:styleId="Heading9Char">
    <w:name w:val="Heading 9 Char"/>
    <w:basedOn w:val="DefaultParagraphFont"/>
    <w:link w:val="Heading9"/>
    <w:uiPriority w:val="2"/>
    <w:semiHidden/>
    <w:rsid w:val="00EE750D"/>
    <w:rPr>
      <w:rFonts w:ascii="Lato" w:hAnsi="Lato"/>
      <w:b/>
      <w:color w:val="3A3440"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color w:val="0563C1" w:themeColor="hyperlink"/>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BFD39C" w:themeColor="accent4" w:themeTint="66"/>
        <w:left w:val="single" w:sz="4" w:space="0" w:color="BFD39C" w:themeColor="accent4" w:themeTint="66"/>
        <w:bottom w:val="single" w:sz="4" w:space="0" w:color="BFD39C" w:themeColor="accent4" w:themeTint="66"/>
        <w:right w:val="single" w:sz="4" w:space="0" w:color="BFD39C" w:themeColor="accent4" w:themeTint="66"/>
        <w:insideH w:val="single" w:sz="4" w:space="0" w:color="BFD39C" w:themeColor="accent4" w:themeTint="66"/>
        <w:insideV w:val="single" w:sz="4" w:space="0" w:color="BFD39C" w:themeColor="accent4" w:themeTint="66"/>
      </w:tblBorders>
    </w:tblPr>
    <w:tblStylePr w:type="firstRow">
      <w:rPr>
        <w:b/>
        <w:bCs/>
      </w:rPr>
      <w:tblPr/>
      <w:tcPr>
        <w:tcBorders>
          <w:bottom w:val="single" w:sz="12" w:space="0" w:color="9FBD6B" w:themeColor="accent4" w:themeTint="99"/>
        </w:tcBorders>
      </w:tcPr>
    </w:tblStylePr>
    <w:tblStylePr w:type="lastRow">
      <w:rPr>
        <w:b/>
        <w:bCs/>
      </w:rPr>
      <w:tblPr/>
      <w:tcPr>
        <w:tcBorders>
          <w:top w:val="double" w:sz="2" w:space="0" w:color="9FBD6B"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491B08"/>
    <w:pPr>
      <w:spacing w:before="40" w:after="40"/>
    </w:pPr>
    <w:rPr>
      <w:rFonts w:ascii="Lato" w:hAnsi="Lato"/>
      <w:szCs w:val="20"/>
      <w:lang w:eastAsia="en-AU"/>
    </w:rPr>
    <w:tblPr>
      <w:tblStyleRowBandSize w:val="1"/>
      <w:tblStyleColBandSize w:val="1"/>
      <w:tblBorders>
        <w:top w:val="single" w:sz="4" w:space="0" w:color="3A3440" w:themeColor="text1"/>
        <w:left w:val="single" w:sz="4" w:space="0" w:color="3A3440" w:themeColor="text1"/>
        <w:bottom w:val="single" w:sz="4" w:space="0" w:color="3A3440" w:themeColor="text1"/>
        <w:right w:val="single" w:sz="4" w:space="0" w:color="3A3440" w:themeColor="text1"/>
        <w:insideH w:val="none" w:sz="0" w:space="0" w:color="auto"/>
        <w:insideV w:val="single" w:sz="4" w:space="0" w:color="3A3440" w:themeColor="text1"/>
      </w:tblBorders>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Lato" w:hAnsi="Lato"/>
        <w:b/>
        <w:sz w:val="22"/>
      </w:rPr>
      <w:tblPr/>
      <w:tcPr>
        <w:shd w:val="clear" w:color="auto" w:fill="3A3440" w:themeFill="text1"/>
      </w:tcPr>
    </w:tblStylePr>
    <w:tblStylePr w:type="lastRow">
      <w:rPr>
        <w:rFonts w:ascii="Lato" w:hAnsi="Lato"/>
        <w:b/>
        <w:color w:val="auto"/>
        <w:sz w:val="22"/>
      </w:rPr>
      <w:tblPr/>
      <w:tcPr>
        <w:tcBorders>
          <w:top w:val="single" w:sz="4" w:space="0" w:color="3A3440" w:themeColor="text1"/>
          <w:left w:val="single" w:sz="4" w:space="0" w:color="3A3440" w:themeColor="text1"/>
          <w:bottom w:val="single" w:sz="4" w:space="0" w:color="3A3440" w:themeColor="text1"/>
          <w:right w:val="single" w:sz="4" w:space="0" w:color="3A3440" w:themeColor="text1"/>
        </w:tcBorders>
        <w:shd w:val="clear" w:color="auto" w:fill="auto"/>
      </w:tcPr>
    </w:tblStylePr>
    <w:tblStylePr w:type="firstCol">
      <w:rPr>
        <w:rFonts w:ascii="Lato" w:hAnsi="Lato"/>
        <w:sz w:val="22"/>
      </w:rPr>
    </w:tblStylePr>
    <w:tblStylePr w:type="lastCol">
      <w:rPr>
        <w:rFonts w:ascii="Lato" w:hAnsi="Lato"/>
        <w:sz w:val="22"/>
      </w:rPr>
    </w:tblStylePr>
    <w:tblStylePr w:type="band1Vert">
      <w:rPr>
        <w:rFonts w:ascii="Lato" w:hAnsi="Lato"/>
        <w:sz w:val="22"/>
      </w:rPr>
    </w:tblStylePr>
    <w:tblStylePr w:type="band2Vert">
      <w:rPr>
        <w:rFonts w:ascii="Lato" w:hAnsi="Lato"/>
        <w:color w:val="auto"/>
        <w:sz w:val="22"/>
      </w:rPr>
    </w:tblStylePr>
    <w:tblStylePr w:type="band1Horz">
      <w:rPr>
        <w:rFonts w:ascii="Lato" w:hAnsi="Lato"/>
        <w:sz w:val="22"/>
      </w:rPr>
    </w:tblStylePr>
    <w:tblStylePr w:type="band2Horz">
      <w:rPr>
        <w:rFonts w:ascii="Lato" w:hAnsi="Lato"/>
        <w:sz w:val="22"/>
      </w:rPr>
      <w:tblPr/>
      <w:tcPr>
        <w:shd w:val="clear" w:color="auto" w:fill="D9D9D9" w:themeFill="background1" w:themeFillShade="D9"/>
      </w:tcPr>
    </w:tblStylePr>
    <w:tblStylePr w:type="neCell">
      <w:rPr>
        <w:rFonts w:ascii="Lato" w:hAnsi="Lato"/>
        <w:sz w:val="22"/>
      </w:rPr>
    </w:tblStylePr>
    <w:tblStylePr w:type="nwCell">
      <w:rPr>
        <w:rFonts w:ascii="Lato" w:hAnsi="Lato"/>
        <w:sz w:val="22"/>
      </w:rPr>
    </w:tblStylePr>
    <w:tblStylePr w:type="seCell">
      <w:rPr>
        <w:rFonts w:ascii="Lato" w:hAnsi="Lato"/>
        <w:sz w:val="22"/>
      </w:rPr>
    </w:tblStylePr>
    <w:tblStylePr w:type="swCell">
      <w:rPr>
        <w:rFonts w:ascii="Lato" w:hAnsi="Lato"/>
        <w:sz w:val="22"/>
      </w:rPr>
    </w:tblStylePr>
  </w:style>
  <w:style w:type="paragraph" w:styleId="Caption">
    <w:name w:val="caption"/>
    <w:basedOn w:val="Normal"/>
    <w:next w:val="Normal"/>
    <w:uiPriority w:val="8"/>
    <w:rsid w:val="0071700C"/>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customStyle="1" w:styleId="Hidden">
    <w:name w:val="Hidden"/>
    <w:basedOn w:val="Normal"/>
    <w:uiPriority w:val="9"/>
    <w:rsid w:val="0071700C"/>
    <w:pPr>
      <w:spacing w:after="0"/>
    </w:pPr>
    <w:rPr>
      <w:sz w:val="2"/>
      <w:szCs w:val="2"/>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paragraph" w:styleId="FootnoteText">
    <w:name w:val="footnote text"/>
    <w:basedOn w:val="Normal"/>
    <w:link w:val="FootnoteTextChar"/>
    <w:uiPriority w:val="99"/>
    <w:semiHidden/>
    <w:unhideWhenUsed/>
    <w:rsid w:val="00491B08"/>
    <w:pPr>
      <w:spacing w:after="0"/>
    </w:pPr>
    <w:rPr>
      <w:sz w:val="20"/>
      <w:szCs w:val="20"/>
    </w:rPr>
  </w:style>
  <w:style w:type="character" w:customStyle="1" w:styleId="FootnoteTextChar">
    <w:name w:val="Footnote Text Char"/>
    <w:basedOn w:val="DefaultParagraphFont"/>
    <w:link w:val="FootnoteText"/>
    <w:uiPriority w:val="99"/>
    <w:semiHidden/>
    <w:rsid w:val="00491B08"/>
    <w:rPr>
      <w:rFonts w:ascii="Lato" w:hAnsi="Lato"/>
      <w:sz w:val="20"/>
      <w:szCs w:val="20"/>
    </w:rPr>
  </w:style>
  <w:style w:type="character" w:styleId="FootnoteReference">
    <w:name w:val="footnote reference"/>
    <w:basedOn w:val="DefaultParagraphFont"/>
    <w:uiPriority w:val="99"/>
    <w:semiHidden/>
    <w:unhideWhenUsed/>
    <w:rsid w:val="00491B08"/>
    <w:rPr>
      <w:vertAlign w:val="superscript"/>
    </w:rPr>
  </w:style>
  <w:style w:type="paragraph" w:styleId="EndnoteText">
    <w:name w:val="endnote text"/>
    <w:basedOn w:val="Normal"/>
    <w:link w:val="EndnoteTextChar"/>
    <w:uiPriority w:val="99"/>
    <w:semiHidden/>
    <w:unhideWhenUsed/>
    <w:rsid w:val="00491B08"/>
    <w:pPr>
      <w:spacing w:after="0"/>
    </w:pPr>
    <w:rPr>
      <w:sz w:val="20"/>
      <w:szCs w:val="20"/>
    </w:rPr>
  </w:style>
  <w:style w:type="character" w:customStyle="1" w:styleId="EndnoteTextChar">
    <w:name w:val="Endnote Text Char"/>
    <w:basedOn w:val="DefaultParagraphFont"/>
    <w:link w:val="EndnoteText"/>
    <w:uiPriority w:val="99"/>
    <w:semiHidden/>
    <w:rsid w:val="00491B08"/>
    <w:rPr>
      <w:rFonts w:ascii="Lato" w:hAnsi="Lato"/>
      <w:sz w:val="20"/>
      <w:szCs w:val="20"/>
    </w:rPr>
  </w:style>
  <w:style w:type="character" w:styleId="EndnoteReference">
    <w:name w:val="endnote reference"/>
    <w:basedOn w:val="DefaultParagraphFont"/>
    <w:uiPriority w:val="99"/>
    <w:semiHidden/>
    <w:unhideWhenUsed/>
    <w:rsid w:val="00491B08"/>
    <w:rPr>
      <w:vertAlign w:val="superscript"/>
    </w:rPr>
  </w:style>
  <w:style w:type="paragraph" w:styleId="IntenseQuote">
    <w:name w:val="Intense Quote"/>
    <w:basedOn w:val="Normal"/>
    <w:next w:val="Normal"/>
    <w:link w:val="IntenseQuoteChar"/>
    <w:uiPriority w:val="30"/>
    <w:qFormat/>
    <w:rsid w:val="00A61144"/>
    <w:pPr>
      <w:pBdr>
        <w:top w:val="single" w:sz="4" w:space="10" w:color="BB2E00" w:themeColor="accent1" w:themeShade="BF"/>
        <w:bottom w:val="single" w:sz="4" w:space="10" w:color="BB2E00" w:themeColor="accent1" w:themeShade="BF"/>
      </w:pBdr>
      <w:spacing w:before="360" w:after="360"/>
      <w:ind w:left="864" w:right="864"/>
      <w:jc w:val="center"/>
    </w:pPr>
    <w:rPr>
      <w:i/>
      <w:iCs/>
      <w:color w:val="BB2E00" w:themeColor="accent1" w:themeShade="BF"/>
    </w:rPr>
  </w:style>
  <w:style w:type="character" w:customStyle="1" w:styleId="IntenseQuoteChar">
    <w:name w:val="Intense Quote Char"/>
    <w:basedOn w:val="DefaultParagraphFont"/>
    <w:link w:val="IntenseQuote"/>
    <w:uiPriority w:val="30"/>
    <w:rsid w:val="00A61144"/>
    <w:rPr>
      <w:rFonts w:ascii="Lato" w:hAnsi="Lato"/>
      <w:i/>
      <w:iCs/>
      <w:color w:val="BB2E00" w:themeColor="accent1" w:themeShade="BF"/>
    </w:rPr>
  </w:style>
  <w:style w:type="character" w:styleId="UnresolvedMention">
    <w:name w:val="Unresolved Mention"/>
    <w:basedOn w:val="DefaultParagraphFont"/>
    <w:uiPriority w:val="99"/>
    <w:semiHidden/>
    <w:unhideWhenUsed/>
    <w:rsid w:val="003311EE"/>
    <w:rPr>
      <w:color w:val="605E5C"/>
      <w:shd w:val="clear" w:color="auto" w:fill="E1DFDD"/>
    </w:rPr>
  </w:style>
  <w:style w:type="character" w:customStyle="1" w:styleId="ListParagraphChar">
    <w:name w:val="List Paragraph Char"/>
    <w:aliases w:val="CAB - List Bullet Char,List Bullet Cab Char,Recommendation Char,List Paragraph1 Char,List Paragraph11 Char,Bullet point Char,List Paragraph Number Char,First level bullet point Char,figure text numbered Char,L Char,CV text Char"/>
    <w:basedOn w:val="DefaultParagraphFont"/>
    <w:link w:val="ListParagraph"/>
    <w:uiPriority w:val="34"/>
    <w:qFormat/>
    <w:rsid w:val="003311EE"/>
    <w:rPr>
      <w:rFonts w:ascii="Lato" w:eastAsiaTheme="minorEastAsia" w:hAnsi="Lato"/>
      <w:iCs/>
    </w:rPr>
  </w:style>
  <w:style w:type="table" w:customStyle="1" w:styleId="NTGtable1">
    <w:name w:val="NTG table 1"/>
    <w:basedOn w:val="TableNormal"/>
    <w:uiPriority w:val="99"/>
    <w:rsid w:val="007B2A9A"/>
    <w:pPr>
      <w:spacing w:before="40" w:after="40"/>
    </w:pPr>
    <w:rPr>
      <w:rFonts w:ascii="Lato" w:hAnsi="Lato"/>
    </w:rPr>
    <w:tblPr>
      <w:tblStyleRowBandSize w:val="1"/>
      <w:tblStyleColBandSize w:val="1"/>
      <w:tblBorders>
        <w:top w:val="single" w:sz="4" w:space="0" w:color="3A3440" w:themeColor="text1"/>
        <w:left w:val="single" w:sz="4" w:space="0" w:color="3A3440" w:themeColor="text1"/>
        <w:bottom w:val="single" w:sz="4" w:space="0" w:color="3A3440" w:themeColor="text1"/>
        <w:right w:val="single" w:sz="4" w:space="0" w:color="3A3440" w:themeColor="text1"/>
        <w:insideV w:val="single" w:sz="4" w:space="0" w:color="3A3440" w:themeColor="text1"/>
      </w:tblBorders>
    </w:tblPr>
    <w:tcPr>
      <w:vAlign w:val="center"/>
    </w:tcPr>
    <w:tblStylePr w:type="firstRow">
      <w:rPr>
        <w:b/>
        <w:color w:val="FFFFFF" w:themeColor="background1"/>
        <w:sz w:val="22"/>
      </w:rPr>
      <w:tblPr/>
      <w:tcPr>
        <w:shd w:val="clear" w:color="auto" w:fill="3A3440" w:themeFill="text1"/>
      </w:tcPr>
    </w:tblStylePr>
    <w:tblStylePr w:type="lastRow">
      <w:rPr>
        <w:b/>
        <w:sz w:val="22"/>
      </w:rPr>
      <w:tblPr/>
      <w:tcPr>
        <w:tcBorders>
          <w:top w:val="single" w:sz="4" w:space="0" w:color="3A3440" w:themeColor="text1"/>
          <w:left w:val="single" w:sz="4" w:space="0" w:color="3A3440" w:themeColor="text1"/>
          <w:bottom w:val="single" w:sz="4" w:space="0" w:color="3A3440" w:themeColor="text1"/>
          <w:right w:val="single" w:sz="4" w:space="0" w:color="3A3440" w:themeColor="text1"/>
        </w:tcBorders>
      </w:tcPr>
    </w:tblStylePr>
    <w:tblStylePr w:type="firstCol">
      <w:rPr>
        <w:b w:val="0"/>
        <w:sz w:val="22"/>
      </w:rPr>
    </w:tblStylePr>
    <w:tblStylePr w:type="lastCol">
      <w:rPr>
        <w:sz w:val="22"/>
      </w:rPr>
    </w:tblStylePr>
    <w:tblStylePr w:type="band1Vert">
      <w:rPr>
        <w:rFonts w:ascii="Lato" w:hAnsi="Lato"/>
        <w:sz w:val="22"/>
      </w:rPr>
    </w:tblStylePr>
    <w:tblStylePr w:type="band2Vert">
      <w:rPr>
        <w:rFonts w:ascii="Lato" w:hAnsi="Lato"/>
        <w:sz w:val="22"/>
      </w:rPr>
    </w:tblStylePr>
    <w:tblStylePr w:type="band1Horz">
      <w:rPr>
        <w:rFonts w:ascii="Lato" w:hAnsi="Lato"/>
        <w:sz w:val="22"/>
      </w:rPr>
    </w:tblStylePr>
    <w:tblStylePr w:type="band2Horz">
      <w:rPr>
        <w:rFonts w:ascii="Lato" w:hAnsi="Lato"/>
        <w:sz w:val="22"/>
      </w:rPr>
      <w:tblPr/>
      <w:tcPr>
        <w:shd w:val="clear" w:color="auto" w:fill="D9D9D9" w:themeFill="background1" w:themeFillShade="D9"/>
      </w:tcPr>
    </w:tblStylePr>
    <w:tblStylePr w:type="neCell">
      <w:rPr>
        <w:sz w:val="22"/>
      </w:rPr>
    </w:tblStylePr>
    <w:tblStylePr w:type="nwCell">
      <w:rPr>
        <w:sz w:val="22"/>
      </w:rPr>
    </w:tblStylePr>
    <w:tblStylePr w:type="seCell">
      <w:rPr>
        <w:sz w:val="22"/>
      </w:rPr>
    </w:tblStylePr>
    <w:tblStylePr w:type="swCell">
      <w:rPr>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ducation.nt.gov.au/reviews-and-consultations/review-of-ntbos-and-trb"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NTG theme new">
  <a:themeElements>
    <a:clrScheme name="NTG 2025">
      <a:dk1>
        <a:srgbClr val="3A3440"/>
      </a:dk1>
      <a:lt1>
        <a:sysClr val="window" lastClr="FFFFFF"/>
      </a:lt1>
      <a:dk2>
        <a:srgbClr val="E35205"/>
      </a:dk2>
      <a:lt2>
        <a:srgbClr val="FFFFFF"/>
      </a:lt2>
      <a:accent1>
        <a:srgbClr val="FA3E00"/>
      </a:accent1>
      <a:accent2>
        <a:srgbClr val="00235D"/>
      </a:accent2>
      <a:accent3>
        <a:srgbClr val="2E979C"/>
      </a:accent3>
      <a:accent4>
        <a:srgbClr val="566C30"/>
      </a:accent4>
      <a:accent5>
        <a:srgbClr val="552855"/>
      </a:accent5>
      <a:accent6>
        <a:srgbClr val="009DC1"/>
      </a:accent6>
      <a:hlink>
        <a:srgbClr val="0563C1"/>
      </a:hlink>
      <a:folHlink>
        <a:srgbClr val="0D5D90"/>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2026-08-01T00:00:00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6a01f1eb-d19a-4844-97a4-c9218b87514a" xsi:nil="true"/>
    <lcf76f155ced4ddcb4097134ff3c332f xmlns="3899a4f3-864c-4dd1-b384-80c320230738">
      <Terms xmlns="http://schemas.microsoft.com/office/infopath/2007/PartnerControls"/>
    </lcf76f155ced4ddcb4097134ff3c332f>
    <Comments xmlns="3899a4f3-864c-4dd1-b384-80c320230738" xsi:nil="true"/>
    <SharedWithUsers xmlns="6a01f1eb-d19a-4844-97a4-c9218b87514a">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227A774054354EBA60A9EF260D2622" ma:contentTypeVersion="15" ma:contentTypeDescription="Create a new document." ma:contentTypeScope="" ma:versionID="f4be2c2863142117cfc5284d918edf10">
  <xsd:schema xmlns:xsd="http://www.w3.org/2001/XMLSchema" xmlns:xs="http://www.w3.org/2001/XMLSchema" xmlns:p="http://schemas.microsoft.com/office/2006/metadata/properties" xmlns:ns2="3899a4f3-864c-4dd1-b384-80c320230738" xmlns:ns3="6a01f1eb-d19a-4844-97a4-c9218b87514a" targetNamespace="http://schemas.microsoft.com/office/2006/metadata/properties" ma:root="true" ma:fieldsID="e72a0feb9b42577081a6ab08d77ffb81" ns2:_="" ns3:_="">
    <xsd:import namespace="3899a4f3-864c-4dd1-b384-80c320230738"/>
    <xsd:import namespace="6a01f1eb-d19a-4844-97a4-c9218b87514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9a4f3-864c-4dd1-b384-80c3202307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4d5ad4c-798f-4112-b232-d6cf578bb7c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Comments" ma:index="22"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01f1eb-d19a-4844-97a4-c9218b87514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0e18c69-bd40-4f78-aef1-f69dda23c019}" ma:internalName="TaxCatchAll" ma:showField="CatchAllData" ma:web="6a01f1eb-d19a-4844-97a4-c9218b87514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AE24A69-6040-4984-B39D-3009426B946C}">
  <ds:schemaRefs>
    <ds:schemaRef ds:uri="http://schemas.microsoft.com/office/2006/metadata/properties"/>
    <ds:schemaRef ds:uri="http://schemas.microsoft.com/office/infopath/2007/PartnerControls"/>
    <ds:schemaRef ds:uri="6a01f1eb-d19a-4844-97a4-c9218b87514a"/>
    <ds:schemaRef ds:uri="3899a4f3-864c-4dd1-b384-80c320230738"/>
  </ds:schemaRefs>
</ds:datastoreItem>
</file>

<file path=customXml/itemProps3.xml><?xml version="1.0" encoding="utf-8"?>
<ds:datastoreItem xmlns:ds="http://schemas.openxmlformats.org/officeDocument/2006/customXml" ds:itemID="{22A2AA2C-FACB-49CE-99AB-BB9D9098C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9a4f3-864c-4dd1-b384-80c320230738"/>
    <ds:schemaRef ds:uri="6a01f1eb-d19a-4844-97a4-c9218b875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DF843C-7157-4CE9-98C1-32B395FAA9D8}">
  <ds:schemaRefs>
    <ds:schemaRef ds:uri="http://schemas.openxmlformats.org/officeDocument/2006/bibliography"/>
  </ds:schemaRefs>
</ds:datastoreItem>
</file>

<file path=customXml/itemProps5.xml><?xml version="1.0" encoding="utf-8"?>
<ds:datastoreItem xmlns:ds="http://schemas.openxmlformats.org/officeDocument/2006/customXml" ds:itemID="{31B6C4A4-E4FF-478E-B213-3DE6B98BC9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4</Pages>
  <Words>1652</Words>
  <Characters>7434</Characters>
  <Application>Microsoft Office Word</Application>
  <DocSecurity>0</DocSecurity>
  <Lines>323</Lines>
  <Paragraphs>112</Paragraphs>
  <ScaleCrop>false</ScaleCrop>
  <HeadingPairs>
    <vt:vector size="2" baseType="variant">
      <vt:variant>
        <vt:lpstr>Title</vt:lpstr>
      </vt:variant>
      <vt:variant>
        <vt:i4>1</vt:i4>
      </vt:variant>
    </vt:vector>
  </HeadingPairs>
  <TitlesOfParts>
    <vt:vector size="1" baseType="lpstr">
      <vt:lpstr>F&amp;Q</vt:lpstr>
    </vt:vector>
  </TitlesOfParts>
  <Company>EDUCATION AND TRAINING</Company>
  <LinksUpToDate>false</LinksUpToDate>
  <CharactersWithSpaces>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Standards and Registration Board Bill - Frequently Asked Questions</dc:title>
  <dc:creator>NorthernTerritoryGovernment@ntgov.onmicrosoft.com</dc:creator>
  <cp:lastModifiedBy>Andrea Ruske</cp:lastModifiedBy>
  <cp:revision>9</cp:revision>
  <cp:lastPrinted>2026-08-27T23:30:00Z</cp:lastPrinted>
  <dcterms:created xsi:type="dcterms:W3CDTF">2026-08-27T22:34:00Z</dcterms:created>
  <dcterms:modified xsi:type="dcterms:W3CDTF">2026-08-28T07:21:00Z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0x010100FE227A774054354EBA60A9EF260D2622</vt:lpwstr>
  </property>
  <property fmtid="{D5CDD505-2E9C-101B-9397-08002B2CF9AE}" pid="3" name="Order">
    <vt:r8>65700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ies>
</file>