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CF6968" w:rsidRPr="00CF6968" w:rsidRDefault="00CF6968" w:rsidP="00CF69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CF6968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29-16 Number of NTCET Completers who undertook a school based apprenticeship or traineeship*, by industry, 2016 (NT)</w:t>
      </w:r>
    </w:p>
    <w:p w:rsidR="00AA11BF" w:rsidRDefault="00AA11BF" w:rsidP="000E345A">
      <w:pPr>
        <w:spacing w:after="0"/>
        <w:rPr>
          <w:b/>
          <w:color w:val="000000"/>
          <w:lang w:eastAsia="en-AU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6680"/>
        <w:gridCol w:w="3096"/>
      </w:tblGrid>
      <w:tr w:rsidR="00CF6968" w:rsidRPr="00CF6968" w:rsidTr="00CF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before="24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Industry Area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Number of Apprenticeships</w:t>
            </w:r>
          </w:p>
        </w:tc>
      </w:tr>
      <w:tr w:rsidR="00CF6968" w:rsidRPr="00CF6968" w:rsidTr="00CF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Automotive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CF6968" w:rsidRPr="00CF6968" w:rsidTr="00CF69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Business and Finance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CF6968" w:rsidRPr="00CF6968" w:rsidTr="00CF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Services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CF6968" w:rsidRPr="00CF6968" w:rsidTr="00CF69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Construction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CF6968" w:rsidRPr="00CF6968" w:rsidTr="00CF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Engineering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CF6968" w:rsidRPr="00CF6968" w:rsidTr="00CF69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Sport and Recreation</w:t>
            </w:r>
          </w:p>
        </w:tc>
        <w:tc>
          <w:tcPr>
            <w:tcW w:w="3096" w:type="dxa"/>
            <w:noWrap/>
            <w:hideMark/>
          </w:tcPr>
          <w:p w:rsidR="00CF6968" w:rsidRPr="00CF6968" w:rsidRDefault="00CF6968" w:rsidP="00CF69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6968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</w:tbl>
    <w:p w:rsidR="00CF6968" w:rsidRDefault="00CF6968" w:rsidP="000E345A">
      <w:pPr>
        <w:spacing w:after="0"/>
        <w:rPr>
          <w:b/>
          <w:color w:val="000000"/>
          <w:lang w:eastAsia="en-AU"/>
        </w:rPr>
      </w:pPr>
    </w:p>
    <w:p w:rsidR="00620916" w:rsidRDefault="00620916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620916" w:rsidRDefault="00620916" w:rsidP="000E345A">
      <w:pPr>
        <w:spacing w:after="0"/>
        <w:rPr>
          <w:b/>
          <w:color w:val="000000"/>
          <w:lang w:eastAsia="en-AU"/>
        </w:rPr>
      </w:pPr>
    </w:p>
    <w:p w:rsidR="00CF6968" w:rsidRPr="00CF6968" w:rsidRDefault="00CF6968" w:rsidP="00CF6968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CF6968">
        <w:rPr>
          <w:rFonts w:ascii="Calibri" w:eastAsia="Times New Roman" w:hAnsi="Calibri" w:cs="Times New Roman"/>
          <w:color w:val="000000"/>
          <w:lang w:eastAsia="en-AU"/>
        </w:rPr>
        <w:t>*Industry areas are reported if five or more students studied VET qualifications in the industry area</w:t>
      </w:r>
    </w:p>
    <w:p w:rsidR="00620916" w:rsidRPr="000E345A" w:rsidRDefault="00620916" w:rsidP="000E345A">
      <w:pPr>
        <w:spacing w:after="0"/>
        <w:rPr>
          <w:b/>
          <w:color w:val="000000"/>
          <w:lang w:eastAsia="en-AU"/>
        </w:rPr>
      </w:pPr>
      <w:bookmarkStart w:id="0" w:name="_GoBack"/>
      <w:bookmarkEnd w:id="0"/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Note: This data is compiled from information supplied to the SACE Board by schools.</w:t>
      </w: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</w:p>
    <w:p w:rsidR="00AA11BF" w:rsidRDefault="00AA11BF" w:rsidP="00B34CDE">
      <w:pPr>
        <w:spacing w:after="0"/>
        <w:rPr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Schools receive the information from registered training organisations.</w:t>
      </w:r>
    </w:p>
    <w:p w:rsidR="00AA11BF" w:rsidRDefault="00AA11BF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83E4D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16D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0916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06A4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11BF"/>
    <w:rsid w:val="00AA2EB0"/>
    <w:rsid w:val="00AC1379"/>
    <w:rsid w:val="00AD0DA4"/>
    <w:rsid w:val="00AD3722"/>
    <w:rsid w:val="00AD4169"/>
    <w:rsid w:val="00AE49C0"/>
    <w:rsid w:val="00B02EF1"/>
    <w:rsid w:val="00B15EFA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6968"/>
    <w:rsid w:val="00CF7A12"/>
    <w:rsid w:val="00D140AF"/>
    <w:rsid w:val="00D23401"/>
    <w:rsid w:val="00D27858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AD17-CFE6-449B-91F0-0308B3BB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2017-05-23T05:44:00Z</dcterms:created>
  <dcterms:modified xsi:type="dcterms:W3CDTF">2017-05-23T05:46:00Z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