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BC5" w:rsidRPr="00DC2200" w:rsidRDefault="00DC2200" w:rsidP="0025705C">
      <w:pPr>
        <w:pStyle w:val="Heading3"/>
        <w:tabs>
          <w:tab w:val="left" w:pos="2268"/>
          <w:tab w:val="left" w:pos="13680"/>
        </w:tabs>
        <w:spacing w:before="0" w:after="0"/>
        <w:rPr>
          <w:noProof/>
          <w:color w:val="auto"/>
          <w:lang w:eastAsia="en-AU"/>
        </w:rPr>
      </w:pPr>
      <w:r>
        <w:rPr>
          <w:noProof/>
          <w:color w:val="auto"/>
          <w:lang w:eastAsia="en-AU"/>
        </w:rPr>
        <w:t>Board Meeting</w:t>
      </w:r>
      <w:r w:rsidR="00DD445E">
        <w:rPr>
          <w:noProof/>
          <w:color w:val="auto"/>
          <w:lang w:eastAsia="en-AU"/>
        </w:rPr>
        <w:t>:</w:t>
      </w:r>
      <w:r w:rsidR="00DD445E">
        <w:rPr>
          <w:noProof/>
          <w:color w:val="auto"/>
          <w:lang w:eastAsia="en-AU"/>
        </w:rPr>
        <w:tab/>
      </w:r>
      <w:r w:rsidR="004208BC">
        <w:rPr>
          <w:noProof/>
          <w:color w:val="auto"/>
          <w:lang w:eastAsia="en-AU"/>
        </w:rPr>
        <w:t>Friday 28 May</w:t>
      </w:r>
      <w:r w:rsidR="009D59CF">
        <w:rPr>
          <w:noProof/>
          <w:color w:val="auto"/>
          <w:lang w:eastAsia="en-AU"/>
        </w:rPr>
        <w:t xml:space="preserve"> 2021</w:t>
      </w:r>
      <w:r w:rsidR="0025705C">
        <w:rPr>
          <w:noProof/>
          <w:color w:val="auto"/>
          <w:lang w:eastAsia="en-AU"/>
        </w:rPr>
        <w:tab/>
      </w:r>
    </w:p>
    <w:p w:rsidR="001D3BC5" w:rsidRPr="00DC2200" w:rsidRDefault="001D3BC5" w:rsidP="00BB7367">
      <w:pPr>
        <w:pStyle w:val="Heading3"/>
        <w:tabs>
          <w:tab w:val="left" w:pos="2268"/>
        </w:tabs>
        <w:spacing w:before="0" w:after="0"/>
        <w:rPr>
          <w:noProof/>
          <w:color w:val="auto"/>
          <w:lang w:eastAsia="en-AU"/>
        </w:rPr>
      </w:pPr>
      <w:r w:rsidRPr="00DC2200">
        <w:rPr>
          <w:noProof/>
          <w:color w:val="auto"/>
          <w:lang w:eastAsia="en-AU"/>
        </w:rPr>
        <w:t>Venue:</w:t>
      </w:r>
      <w:r w:rsidRPr="00DC2200">
        <w:rPr>
          <w:noProof/>
          <w:color w:val="auto"/>
          <w:lang w:eastAsia="en-AU"/>
        </w:rPr>
        <w:tab/>
      </w:r>
      <w:r w:rsidR="00DC2200">
        <w:rPr>
          <w:noProof/>
          <w:color w:val="auto"/>
          <w:lang w:eastAsia="en-AU"/>
        </w:rPr>
        <w:tab/>
      </w:r>
      <w:r w:rsidRPr="00DC2200">
        <w:rPr>
          <w:noProof/>
          <w:color w:val="auto"/>
          <w:lang w:eastAsia="en-AU"/>
        </w:rPr>
        <w:t>Boardroom, 14</w:t>
      </w:r>
      <w:r w:rsidRPr="00DC2200">
        <w:rPr>
          <w:noProof/>
          <w:color w:val="auto"/>
          <w:vertAlign w:val="superscript"/>
          <w:lang w:eastAsia="en-AU"/>
        </w:rPr>
        <w:t>th</w:t>
      </w:r>
      <w:r w:rsidRPr="00DC2200">
        <w:rPr>
          <w:noProof/>
          <w:color w:val="auto"/>
          <w:lang w:eastAsia="en-AU"/>
        </w:rPr>
        <w:t xml:space="preserve"> Floor</w:t>
      </w:r>
      <w:r w:rsidR="00DD445E">
        <w:rPr>
          <w:noProof/>
          <w:color w:val="auto"/>
          <w:lang w:eastAsia="en-AU"/>
        </w:rPr>
        <w:t>,</w:t>
      </w:r>
      <w:r w:rsidRPr="00DC2200">
        <w:rPr>
          <w:noProof/>
          <w:color w:val="auto"/>
          <w:lang w:eastAsia="en-AU"/>
        </w:rPr>
        <w:t xml:space="preserve"> Mitchell Centre</w:t>
      </w:r>
      <w:r w:rsidR="00603AB2">
        <w:rPr>
          <w:noProof/>
          <w:color w:val="auto"/>
          <w:lang w:eastAsia="en-AU"/>
        </w:rPr>
        <w:t>,</w:t>
      </w:r>
      <w:r w:rsidRPr="00DC2200">
        <w:rPr>
          <w:noProof/>
          <w:color w:val="auto"/>
          <w:lang w:eastAsia="en-AU"/>
        </w:rPr>
        <w:t xml:space="preserve"> Darwin</w:t>
      </w:r>
    </w:p>
    <w:p w:rsidR="00DC2200" w:rsidRPr="00DC2200" w:rsidRDefault="00DC2200" w:rsidP="00BB7367">
      <w:pPr>
        <w:rPr>
          <w:lang w:eastAsia="en-AU"/>
        </w:rPr>
      </w:pP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enda"/>
      </w:tblPr>
      <w:tblGrid>
        <w:gridCol w:w="703"/>
        <w:gridCol w:w="3351"/>
        <w:gridCol w:w="11186"/>
      </w:tblGrid>
      <w:tr w:rsidR="001B28FB" w:rsidTr="00B15C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3" w:type="dxa"/>
          </w:tcPr>
          <w:p w:rsidR="001B28FB" w:rsidRDefault="001B28FB" w:rsidP="00BB7367">
            <w:r>
              <w:t>Item No</w:t>
            </w:r>
          </w:p>
        </w:tc>
        <w:tc>
          <w:tcPr>
            <w:tcW w:w="3351" w:type="dxa"/>
          </w:tcPr>
          <w:p w:rsidR="001B28FB" w:rsidRDefault="00FE1E87" w:rsidP="00BB7367">
            <w:pPr>
              <w:cnfStyle w:val="100000000000" w:firstRow="1" w:lastRow="0" w:firstColumn="0" w:lastColumn="0" w:oddVBand="0" w:evenVBand="0" w:oddHBand="0" w:evenHBand="0" w:firstRowFirstColumn="0" w:firstRowLastColumn="0" w:lastRowFirstColumn="0" w:lastRowLastColumn="0"/>
            </w:pPr>
            <w:r>
              <w:t>Agenda Item</w:t>
            </w:r>
          </w:p>
        </w:tc>
        <w:tc>
          <w:tcPr>
            <w:tcW w:w="11186" w:type="dxa"/>
          </w:tcPr>
          <w:p w:rsidR="001B28FB" w:rsidRDefault="00FE1E87" w:rsidP="00BB7367">
            <w:pPr>
              <w:cnfStyle w:val="100000000000" w:firstRow="1" w:lastRow="0" w:firstColumn="0" w:lastColumn="0" w:oddVBand="0" w:evenVBand="0" w:oddHBand="0" w:evenHBand="0" w:firstRowFirstColumn="0" w:firstRowLastColumn="0" w:lastRowFirstColumn="0" w:lastRowLastColumn="0"/>
            </w:pPr>
            <w:r>
              <w:t>Summary of discussions</w:t>
            </w:r>
          </w:p>
        </w:tc>
      </w:tr>
      <w:tr w:rsidR="001B28FB" w:rsidTr="00B15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B28FB" w:rsidRDefault="001B28FB" w:rsidP="00BB7367">
            <w:r>
              <w:t>1</w:t>
            </w:r>
          </w:p>
        </w:tc>
        <w:tc>
          <w:tcPr>
            <w:tcW w:w="3351" w:type="dxa"/>
          </w:tcPr>
          <w:p w:rsidR="001B28FB" w:rsidRPr="00135286" w:rsidRDefault="001B28FB" w:rsidP="00BB7367">
            <w:pPr>
              <w:cnfStyle w:val="000000100000" w:firstRow="0" w:lastRow="0" w:firstColumn="0" w:lastColumn="0" w:oddVBand="0" w:evenVBand="0" w:oddHBand="1" w:evenHBand="0" w:firstRowFirstColumn="0" w:firstRowLastColumn="0" w:lastRowFirstColumn="0" w:lastRowLastColumn="0"/>
              <w:rPr>
                <w:b/>
                <w:szCs w:val="22"/>
              </w:rPr>
            </w:pPr>
            <w:r w:rsidRPr="00135286">
              <w:rPr>
                <w:b/>
                <w:szCs w:val="22"/>
              </w:rPr>
              <w:t>Attendance</w:t>
            </w:r>
          </w:p>
        </w:tc>
        <w:tc>
          <w:tcPr>
            <w:tcW w:w="11186" w:type="dxa"/>
          </w:tcPr>
          <w:p w:rsidR="001B28FB" w:rsidRDefault="001B28FB" w:rsidP="00BB7367">
            <w:pPr>
              <w:cnfStyle w:val="000000100000" w:firstRow="0" w:lastRow="0" w:firstColumn="0" w:lastColumn="0" w:oddVBand="0" w:evenVBand="0" w:oddHBand="1" w:evenHBand="0" w:firstRowFirstColumn="0" w:firstRowLastColumn="0" w:lastRowFirstColumn="0" w:lastRowLastColumn="0"/>
            </w:pPr>
          </w:p>
        </w:tc>
      </w:tr>
      <w:tr w:rsidR="001B28FB" w:rsidTr="00B15C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B28FB" w:rsidRDefault="001B28FB" w:rsidP="00BB7367">
            <w:r>
              <w:t>1.1</w:t>
            </w:r>
          </w:p>
        </w:tc>
        <w:tc>
          <w:tcPr>
            <w:tcW w:w="3351" w:type="dxa"/>
          </w:tcPr>
          <w:p w:rsidR="001B28FB" w:rsidRPr="00A0158D" w:rsidRDefault="001B28FB" w:rsidP="00BB7367">
            <w:pPr>
              <w:cnfStyle w:val="000000010000" w:firstRow="0" w:lastRow="0" w:firstColumn="0" w:lastColumn="0" w:oddVBand="0" w:evenVBand="0" w:oddHBand="0" w:evenHBand="1" w:firstRowFirstColumn="0" w:firstRowLastColumn="0" w:lastRowFirstColumn="0" w:lastRowLastColumn="0"/>
              <w:rPr>
                <w:b/>
              </w:rPr>
            </w:pPr>
            <w:r w:rsidRPr="00A0158D">
              <w:rPr>
                <w:b/>
              </w:rPr>
              <w:t>Present – members</w:t>
            </w:r>
          </w:p>
        </w:tc>
        <w:tc>
          <w:tcPr>
            <w:tcW w:w="11186" w:type="dxa"/>
          </w:tcPr>
          <w:p w:rsidR="003D0996" w:rsidRPr="00AA76C4" w:rsidRDefault="001F7886" w:rsidP="00172487">
            <w:pPr>
              <w:cnfStyle w:val="000000010000" w:firstRow="0" w:lastRow="0" w:firstColumn="0" w:lastColumn="0" w:oddVBand="0" w:evenVBand="0" w:oddHBand="0" w:evenHBand="1" w:firstRowFirstColumn="0" w:firstRowLastColumn="0" w:lastRowFirstColumn="0" w:lastRowLastColumn="0"/>
              <w:rPr>
                <w:rFonts w:cs="Arial"/>
                <w:szCs w:val="22"/>
              </w:rPr>
            </w:pPr>
            <w:r w:rsidRPr="00172487">
              <w:rPr>
                <w:rFonts w:cs="Arial"/>
              </w:rPr>
              <w:t>Ralph Wiese,</w:t>
            </w:r>
            <w:r w:rsidR="00BB7367" w:rsidRPr="00172487">
              <w:rPr>
                <w:rFonts w:cs="Arial"/>
              </w:rPr>
              <w:t xml:space="preserve"> </w:t>
            </w:r>
            <w:r w:rsidR="007F4928" w:rsidRPr="00172487">
              <w:rPr>
                <w:rFonts w:cs="Arial"/>
              </w:rPr>
              <w:t>Rachel Boyce</w:t>
            </w:r>
            <w:r w:rsidR="008B4436" w:rsidRPr="00172487">
              <w:rPr>
                <w:rFonts w:cs="Arial"/>
              </w:rPr>
              <w:t>,</w:t>
            </w:r>
            <w:r w:rsidR="003F4664" w:rsidRPr="00172487">
              <w:rPr>
                <w:rFonts w:cs="Arial"/>
                <w:bCs/>
                <w:szCs w:val="22"/>
              </w:rPr>
              <w:t xml:space="preserve"> </w:t>
            </w:r>
            <w:r w:rsidR="00EE40F9" w:rsidRPr="00172487">
              <w:rPr>
                <w:rFonts w:cs="Arial"/>
                <w:bCs/>
                <w:szCs w:val="22"/>
              </w:rPr>
              <w:t xml:space="preserve">Pauline </w:t>
            </w:r>
            <w:proofErr w:type="spellStart"/>
            <w:r w:rsidR="00EE40F9" w:rsidRPr="00172487">
              <w:rPr>
                <w:rFonts w:cs="Arial"/>
                <w:bCs/>
                <w:szCs w:val="22"/>
              </w:rPr>
              <w:t>Schober</w:t>
            </w:r>
            <w:proofErr w:type="spellEnd"/>
            <w:r w:rsidR="00B15C1B" w:rsidRPr="00172487">
              <w:rPr>
                <w:rFonts w:cs="Arial"/>
              </w:rPr>
              <w:t xml:space="preserve">, Charles Richardson, </w:t>
            </w:r>
            <w:r w:rsidR="007F4928" w:rsidRPr="00172487">
              <w:rPr>
                <w:rFonts w:cs="Arial"/>
                <w:bCs/>
              </w:rPr>
              <w:t>Jacqui Langdon</w:t>
            </w:r>
            <w:r w:rsidR="009D59CF" w:rsidRPr="00172487">
              <w:rPr>
                <w:rFonts w:cs="Arial"/>
                <w:bCs/>
              </w:rPr>
              <w:t xml:space="preserve">, </w:t>
            </w:r>
            <w:r w:rsidR="009D59CF" w:rsidRPr="00172487">
              <w:rPr>
                <w:rFonts w:cs="Arial"/>
                <w:szCs w:val="22"/>
              </w:rPr>
              <w:t xml:space="preserve">Tabitha Fudge, </w:t>
            </w:r>
            <w:r w:rsidR="00AA76C4" w:rsidRPr="00172487">
              <w:rPr>
                <w:rFonts w:cs="Arial"/>
                <w:szCs w:val="22"/>
              </w:rPr>
              <w:t>Roland Houareau</w:t>
            </w:r>
            <w:r w:rsidR="00AA76C4">
              <w:rPr>
                <w:rFonts w:cs="Arial"/>
                <w:szCs w:val="22"/>
              </w:rPr>
              <w:t xml:space="preserve"> and </w:t>
            </w:r>
            <w:r w:rsidR="00AA76C4" w:rsidRPr="00B610C6">
              <w:rPr>
                <w:rFonts w:cs="Arial"/>
                <w:szCs w:val="22"/>
              </w:rPr>
              <w:t>Mar</w:t>
            </w:r>
            <w:r w:rsidR="003D0996">
              <w:rPr>
                <w:rFonts w:cs="Arial"/>
                <w:szCs w:val="22"/>
              </w:rPr>
              <w:t xml:space="preserve">y Ellen </w:t>
            </w:r>
            <w:proofErr w:type="spellStart"/>
            <w:r w:rsidR="003D0996">
              <w:rPr>
                <w:rFonts w:cs="Arial"/>
                <w:szCs w:val="22"/>
              </w:rPr>
              <w:t>Venes</w:t>
            </w:r>
            <w:proofErr w:type="spellEnd"/>
          </w:p>
        </w:tc>
      </w:tr>
      <w:tr w:rsidR="001B28FB" w:rsidTr="00B15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B28FB" w:rsidRDefault="001B28FB" w:rsidP="00BB7367">
            <w:r>
              <w:t>1.2</w:t>
            </w:r>
          </w:p>
        </w:tc>
        <w:tc>
          <w:tcPr>
            <w:tcW w:w="3351" w:type="dxa"/>
          </w:tcPr>
          <w:p w:rsidR="001B28FB" w:rsidRPr="00A0158D" w:rsidRDefault="001B28FB" w:rsidP="00BB7367">
            <w:pPr>
              <w:cnfStyle w:val="000000100000" w:firstRow="0" w:lastRow="0" w:firstColumn="0" w:lastColumn="0" w:oddVBand="0" w:evenVBand="0" w:oddHBand="1" w:evenHBand="0" w:firstRowFirstColumn="0" w:firstRowLastColumn="0" w:lastRowFirstColumn="0" w:lastRowLastColumn="0"/>
              <w:rPr>
                <w:b/>
              </w:rPr>
            </w:pPr>
            <w:r w:rsidRPr="00A0158D">
              <w:rPr>
                <w:b/>
              </w:rPr>
              <w:t>Apologies - members</w:t>
            </w:r>
          </w:p>
        </w:tc>
        <w:tc>
          <w:tcPr>
            <w:tcW w:w="11186" w:type="dxa"/>
          </w:tcPr>
          <w:p w:rsidR="00AA76C4" w:rsidRPr="00C97BEB" w:rsidRDefault="00AA76C4" w:rsidP="009D59CF">
            <w:pPr>
              <w:cnfStyle w:val="000000100000" w:firstRow="0" w:lastRow="0" w:firstColumn="0" w:lastColumn="0" w:oddVBand="0" w:evenVBand="0" w:oddHBand="1" w:evenHBand="0" w:firstRowFirstColumn="0" w:firstRowLastColumn="0" w:lastRowFirstColumn="0" w:lastRowLastColumn="0"/>
              <w:rPr>
                <w:rFonts w:cs="Arial"/>
                <w:bCs/>
                <w:szCs w:val="22"/>
              </w:rPr>
            </w:pPr>
            <w:r>
              <w:rPr>
                <w:rFonts w:cs="Arial"/>
                <w:bCs/>
                <w:szCs w:val="22"/>
              </w:rPr>
              <w:t>Gavin Morris</w:t>
            </w:r>
            <w:r w:rsidR="006649DE">
              <w:rPr>
                <w:rFonts w:cs="Arial"/>
                <w:bCs/>
                <w:szCs w:val="22"/>
              </w:rPr>
              <w:t xml:space="preserve">, </w:t>
            </w:r>
            <w:r w:rsidR="00172487">
              <w:rPr>
                <w:rFonts w:cs="Arial"/>
                <w:szCs w:val="22"/>
              </w:rPr>
              <w:t>Cheryl Salter</w:t>
            </w:r>
          </w:p>
        </w:tc>
      </w:tr>
      <w:tr w:rsidR="001B28FB" w:rsidTr="00B15C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B28FB" w:rsidRDefault="001B28FB" w:rsidP="00BB7367">
            <w:r>
              <w:t>1.3</w:t>
            </w:r>
          </w:p>
        </w:tc>
        <w:tc>
          <w:tcPr>
            <w:tcW w:w="3351" w:type="dxa"/>
          </w:tcPr>
          <w:p w:rsidR="001B28FB" w:rsidRPr="00A0158D" w:rsidRDefault="001B28FB" w:rsidP="00BB7367">
            <w:pPr>
              <w:cnfStyle w:val="000000010000" w:firstRow="0" w:lastRow="0" w:firstColumn="0" w:lastColumn="0" w:oddVBand="0" w:evenVBand="0" w:oddHBand="0" w:evenHBand="1" w:firstRowFirstColumn="0" w:firstRowLastColumn="0" w:lastRowFirstColumn="0" w:lastRowLastColumn="0"/>
              <w:rPr>
                <w:b/>
              </w:rPr>
            </w:pPr>
            <w:r w:rsidRPr="00A0158D">
              <w:rPr>
                <w:b/>
              </w:rPr>
              <w:t>Present –</w:t>
            </w:r>
            <w:r w:rsidR="00DC2200" w:rsidRPr="00A0158D">
              <w:rPr>
                <w:b/>
              </w:rPr>
              <w:t xml:space="preserve"> non-</w:t>
            </w:r>
            <w:r w:rsidRPr="00A0158D">
              <w:rPr>
                <w:b/>
              </w:rPr>
              <w:t>member participants</w:t>
            </w:r>
          </w:p>
        </w:tc>
        <w:tc>
          <w:tcPr>
            <w:tcW w:w="11186" w:type="dxa"/>
          </w:tcPr>
          <w:p w:rsidR="003D0996" w:rsidRDefault="00172487" w:rsidP="00AA76C4">
            <w:pPr>
              <w:cnfStyle w:val="000000010000" w:firstRow="0" w:lastRow="0" w:firstColumn="0" w:lastColumn="0" w:oddVBand="0" w:evenVBand="0" w:oddHBand="0" w:evenHBand="1" w:firstRowFirstColumn="0" w:firstRowLastColumn="0" w:lastRowFirstColumn="0" w:lastRowLastColumn="0"/>
            </w:pPr>
            <w:r>
              <w:rPr>
                <w:rFonts w:cs="Arial"/>
                <w:szCs w:val="22"/>
              </w:rPr>
              <w:t>Ms Susan Bowden</w:t>
            </w:r>
            <w:r w:rsidR="007A0294">
              <w:rPr>
                <w:rFonts w:cs="Arial"/>
                <w:szCs w:val="22"/>
              </w:rPr>
              <w:t>, Acting Deputy Chief Executive Department of Education;</w:t>
            </w:r>
            <w:r>
              <w:rPr>
                <w:rFonts w:cs="Arial"/>
                <w:szCs w:val="22"/>
              </w:rPr>
              <w:t xml:space="preserve"> </w:t>
            </w:r>
            <w:r w:rsidR="00906EE7">
              <w:t xml:space="preserve">Mr Tony Considine, Executive Director Early Years and Education Services; </w:t>
            </w:r>
            <w:r w:rsidR="00DC2200">
              <w:t xml:space="preserve">Ms Sally Hodgson, General Manager </w:t>
            </w:r>
            <w:r w:rsidR="00573077">
              <w:t xml:space="preserve">Quality </w:t>
            </w:r>
            <w:r w:rsidR="00DC2200">
              <w:t>Teaching and Learning</w:t>
            </w:r>
            <w:r w:rsidR="00916ADE">
              <w:t>;</w:t>
            </w:r>
            <w:r w:rsidR="00DC2200">
              <w:t xml:space="preserve"> </w:t>
            </w:r>
            <w:r w:rsidR="00602E2F">
              <w:t xml:space="preserve">Mrs </w:t>
            </w:r>
            <w:r w:rsidR="004813FF">
              <w:t>Hazel Horne,</w:t>
            </w:r>
            <w:r w:rsidR="00164D6B">
              <w:t xml:space="preserve"> Executive Officer to the b</w:t>
            </w:r>
            <w:r w:rsidR="006B6A34">
              <w:t>oard</w:t>
            </w:r>
          </w:p>
        </w:tc>
      </w:tr>
      <w:tr w:rsidR="001B28FB" w:rsidTr="00B15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B28FB" w:rsidRDefault="001B28FB" w:rsidP="00BB7367">
            <w:r>
              <w:t>2</w:t>
            </w:r>
          </w:p>
        </w:tc>
        <w:tc>
          <w:tcPr>
            <w:tcW w:w="3351" w:type="dxa"/>
          </w:tcPr>
          <w:p w:rsidR="001B28FB" w:rsidRPr="00A0158D" w:rsidRDefault="001B28FB" w:rsidP="00BB7367">
            <w:pPr>
              <w:cnfStyle w:val="000000100000" w:firstRow="0" w:lastRow="0" w:firstColumn="0" w:lastColumn="0" w:oddVBand="0" w:evenVBand="0" w:oddHBand="1" w:evenHBand="0" w:firstRowFirstColumn="0" w:firstRowLastColumn="0" w:lastRowFirstColumn="0" w:lastRowLastColumn="0"/>
              <w:rPr>
                <w:b/>
              </w:rPr>
            </w:pPr>
            <w:r w:rsidRPr="00A0158D">
              <w:rPr>
                <w:b/>
              </w:rPr>
              <w:t>Opening remarks</w:t>
            </w:r>
          </w:p>
        </w:tc>
        <w:tc>
          <w:tcPr>
            <w:tcW w:w="11186" w:type="dxa"/>
          </w:tcPr>
          <w:p w:rsidR="00046C0F" w:rsidRPr="00172487" w:rsidRDefault="003C52E8" w:rsidP="00144DCF">
            <w:pPr>
              <w:spacing w:after="120"/>
              <w:cnfStyle w:val="000000100000" w:firstRow="0" w:lastRow="0" w:firstColumn="0" w:lastColumn="0" w:oddVBand="0" w:evenVBand="0" w:oddHBand="1" w:evenHBand="0" w:firstRowFirstColumn="0" w:firstRowLastColumn="0" w:lastRowFirstColumn="0" w:lastRowLastColumn="0"/>
            </w:pPr>
            <w:r>
              <w:t xml:space="preserve">Meeting commenced </w:t>
            </w:r>
            <w:r w:rsidRPr="00603BF6">
              <w:t xml:space="preserve">at </w:t>
            </w:r>
            <w:r w:rsidR="00603BF6" w:rsidRPr="00603BF6">
              <w:t>8</w:t>
            </w:r>
            <w:r w:rsidR="00144DCF">
              <w:t>.</w:t>
            </w:r>
            <w:r w:rsidR="00603BF6" w:rsidRPr="00603BF6">
              <w:t>38</w:t>
            </w:r>
            <w:r w:rsidRPr="00603BF6">
              <w:t xml:space="preserve">am </w:t>
            </w:r>
            <w:r>
              <w:t>with Acknowledgement of Country provided by the Chair, Mr Ralph Wiese.</w:t>
            </w:r>
          </w:p>
        </w:tc>
      </w:tr>
      <w:tr w:rsidR="001B28FB" w:rsidTr="00B15C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B28FB" w:rsidRDefault="00164D6B" w:rsidP="00BB7367">
            <w:r>
              <w:t>3</w:t>
            </w:r>
          </w:p>
        </w:tc>
        <w:tc>
          <w:tcPr>
            <w:tcW w:w="3351" w:type="dxa"/>
          </w:tcPr>
          <w:p w:rsidR="001B28FB" w:rsidRPr="00A0158D" w:rsidRDefault="001B28FB" w:rsidP="00BB7367">
            <w:pPr>
              <w:cnfStyle w:val="000000010000" w:firstRow="0" w:lastRow="0" w:firstColumn="0" w:lastColumn="0" w:oddVBand="0" w:evenVBand="0" w:oddHBand="0" w:evenHBand="1" w:firstRowFirstColumn="0" w:firstRowLastColumn="0" w:lastRowFirstColumn="0" w:lastRowLastColumn="0"/>
              <w:rPr>
                <w:b/>
              </w:rPr>
            </w:pPr>
            <w:r w:rsidRPr="00A0158D">
              <w:rPr>
                <w:b/>
              </w:rPr>
              <w:t>Minutes of the previous meeting</w:t>
            </w:r>
          </w:p>
        </w:tc>
        <w:tc>
          <w:tcPr>
            <w:tcW w:w="11186" w:type="dxa"/>
          </w:tcPr>
          <w:p w:rsidR="00560BD2" w:rsidRDefault="003C52E8" w:rsidP="00046C0F">
            <w:pPr>
              <w:cnfStyle w:val="000000010000" w:firstRow="0" w:lastRow="0" w:firstColumn="0" w:lastColumn="0" w:oddVBand="0" w:evenVBand="0" w:oddHBand="0" w:evenHBand="1" w:firstRowFirstColumn="0" w:firstRowLastColumn="0" w:lastRowFirstColumn="0" w:lastRowLastColumn="0"/>
            </w:pPr>
            <w:r>
              <w:t xml:space="preserve">The minutes of the meeting held on </w:t>
            </w:r>
            <w:r w:rsidR="004208BC">
              <w:t>30 March 2021</w:t>
            </w:r>
            <w:r w:rsidR="00916ADE">
              <w:t xml:space="preserve"> were circulated to members </w:t>
            </w:r>
            <w:r>
              <w:t xml:space="preserve">out of session and accepted as a true record of </w:t>
            </w:r>
            <w:r w:rsidR="00144DCF">
              <w:t>the meeting</w:t>
            </w:r>
          </w:p>
        </w:tc>
      </w:tr>
      <w:tr w:rsidR="001B28FB" w:rsidTr="00B15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B28FB" w:rsidRDefault="001B28FB" w:rsidP="00BB7367">
            <w:r>
              <w:t>4</w:t>
            </w:r>
          </w:p>
        </w:tc>
        <w:tc>
          <w:tcPr>
            <w:tcW w:w="3351" w:type="dxa"/>
          </w:tcPr>
          <w:p w:rsidR="001B28FB" w:rsidRPr="00A0158D" w:rsidRDefault="001B28FB" w:rsidP="00BB7367">
            <w:pPr>
              <w:cnfStyle w:val="000000100000" w:firstRow="0" w:lastRow="0" w:firstColumn="0" w:lastColumn="0" w:oddVBand="0" w:evenVBand="0" w:oddHBand="1" w:evenHBand="0" w:firstRowFirstColumn="0" w:firstRowLastColumn="0" w:lastRowFirstColumn="0" w:lastRowLastColumn="0"/>
              <w:rPr>
                <w:b/>
              </w:rPr>
            </w:pPr>
            <w:r w:rsidRPr="00A0158D">
              <w:rPr>
                <w:b/>
              </w:rPr>
              <w:t>Business arising from previous minutes</w:t>
            </w:r>
          </w:p>
        </w:tc>
        <w:tc>
          <w:tcPr>
            <w:tcW w:w="11186" w:type="dxa"/>
          </w:tcPr>
          <w:p w:rsidR="001B28FB" w:rsidRPr="00A0158D" w:rsidRDefault="004208BC" w:rsidP="00BB7367">
            <w:pPr>
              <w:cnfStyle w:val="000000100000" w:firstRow="0" w:lastRow="0" w:firstColumn="0" w:lastColumn="0" w:oddVBand="0" w:evenVBand="0" w:oddHBand="1" w:evenHBand="0" w:firstRowFirstColumn="0" w:firstRowLastColumn="0" w:lastRowFirstColumn="0" w:lastRowLastColumn="0"/>
              <w:rPr>
                <w:b/>
              </w:rPr>
            </w:pPr>
            <w:r>
              <w:rPr>
                <w:b/>
              </w:rPr>
              <w:t>Refer to Action Sheet 1/2021</w:t>
            </w:r>
          </w:p>
          <w:p w:rsidR="003D0996" w:rsidRDefault="00A0158D" w:rsidP="00BB7367">
            <w:pPr>
              <w:cnfStyle w:val="000000100000" w:firstRow="0" w:lastRow="0" w:firstColumn="0" w:lastColumn="0" w:oddVBand="0" w:evenVBand="0" w:oddHBand="1" w:evenHBand="0" w:firstRowFirstColumn="0" w:firstRowLastColumn="0" w:lastRowFirstColumn="0" w:lastRowLastColumn="0"/>
            </w:pPr>
            <w:r>
              <w:t>All items were either completed or were agenda items</w:t>
            </w:r>
            <w:r w:rsidR="00144DCF">
              <w:t xml:space="preserve"> to be addressed at the meeting</w:t>
            </w:r>
          </w:p>
        </w:tc>
      </w:tr>
      <w:tr w:rsidR="001B28FB" w:rsidTr="00B15C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B28FB" w:rsidRDefault="001B28FB" w:rsidP="00BB7367">
            <w:r>
              <w:t>5</w:t>
            </w:r>
          </w:p>
        </w:tc>
        <w:tc>
          <w:tcPr>
            <w:tcW w:w="3351" w:type="dxa"/>
          </w:tcPr>
          <w:p w:rsidR="001B28FB" w:rsidRPr="00A0158D" w:rsidRDefault="001B28FB" w:rsidP="00BB7367">
            <w:pPr>
              <w:cnfStyle w:val="000000010000" w:firstRow="0" w:lastRow="0" w:firstColumn="0" w:lastColumn="0" w:oddVBand="0" w:evenVBand="0" w:oddHBand="0" w:evenHBand="1" w:firstRowFirstColumn="0" w:firstRowLastColumn="0" w:lastRowFirstColumn="0" w:lastRowLastColumn="0"/>
              <w:rPr>
                <w:b/>
              </w:rPr>
            </w:pPr>
            <w:r w:rsidRPr="00A0158D">
              <w:rPr>
                <w:b/>
              </w:rPr>
              <w:t>Correspondence</w:t>
            </w:r>
          </w:p>
        </w:tc>
        <w:tc>
          <w:tcPr>
            <w:tcW w:w="11186" w:type="dxa"/>
          </w:tcPr>
          <w:p w:rsidR="001B28FB" w:rsidRPr="00694188" w:rsidRDefault="00A0158D" w:rsidP="00264E11">
            <w:pPr>
              <w:tabs>
                <w:tab w:val="left" w:pos="2494"/>
              </w:tabs>
              <w:cnfStyle w:val="000000010000" w:firstRow="0" w:lastRow="0" w:firstColumn="0" w:lastColumn="0" w:oddVBand="0" w:evenVBand="0" w:oddHBand="0" w:evenHBand="1" w:firstRowFirstColumn="0" w:firstRowLastColumn="0" w:lastRowFirstColumn="0" w:lastRowLastColumn="0"/>
            </w:pPr>
            <w:r w:rsidRPr="00694188">
              <w:t>Correspondence in:</w:t>
            </w:r>
            <w:r w:rsidRPr="00694188">
              <w:tab/>
            </w:r>
            <w:r w:rsidR="00694188">
              <w:t>n</w:t>
            </w:r>
            <w:r w:rsidRPr="00694188">
              <w:t>oted</w:t>
            </w:r>
          </w:p>
          <w:p w:rsidR="00AE4B76" w:rsidRPr="00694188" w:rsidRDefault="00A0158D" w:rsidP="00264E11">
            <w:pPr>
              <w:tabs>
                <w:tab w:val="left" w:pos="2494"/>
              </w:tabs>
              <w:cnfStyle w:val="000000010000" w:firstRow="0" w:lastRow="0" w:firstColumn="0" w:lastColumn="0" w:oddVBand="0" w:evenVBand="0" w:oddHBand="0" w:evenHBand="1" w:firstRowFirstColumn="0" w:firstRowLastColumn="0" w:lastRowFirstColumn="0" w:lastRowLastColumn="0"/>
            </w:pPr>
            <w:r w:rsidRPr="00694188">
              <w:t>Correspondence out:</w:t>
            </w:r>
            <w:r w:rsidRPr="00694188">
              <w:tab/>
            </w:r>
            <w:r w:rsidR="00694188">
              <w:t>n</w:t>
            </w:r>
            <w:r w:rsidRPr="00694188">
              <w:t>oted</w:t>
            </w:r>
          </w:p>
        </w:tc>
      </w:tr>
      <w:tr w:rsidR="001B28FB" w:rsidTr="00B15C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B28FB" w:rsidRDefault="001B28FB" w:rsidP="00BB7367">
            <w:r>
              <w:t>6</w:t>
            </w:r>
          </w:p>
        </w:tc>
        <w:tc>
          <w:tcPr>
            <w:tcW w:w="3351" w:type="dxa"/>
          </w:tcPr>
          <w:p w:rsidR="001B28FB" w:rsidRPr="00A0158D" w:rsidRDefault="001B28FB" w:rsidP="00BB7367">
            <w:pPr>
              <w:cnfStyle w:val="000000100000" w:firstRow="0" w:lastRow="0" w:firstColumn="0" w:lastColumn="0" w:oddVBand="0" w:evenVBand="0" w:oddHBand="1" w:evenHBand="0" w:firstRowFirstColumn="0" w:firstRowLastColumn="0" w:lastRowFirstColumn="0" w:lastRowLastColumn="0"/>
              <w:rPr>
                <w:b/>
              </w:rPr>
            </w:pPr>
            <w:r w:rsidRPr="00A0158D">
              <w:rPr>
                <w:b/>
              </w:rPr>
              <w:t>NTBOS</w:t>
            </w:r>
            <w:r w:rsidR="00DC2200" w:rsidRPr="00A0158D">
              <w:rPr>
                <w:b/>
              </w:rPr>
              <w:t xml:space="preserve"> Governa</w:t>
            </w:r>
            <w:r w:rsidRPr="00A0158D">
              <w:rPr>
                <w:b/>
              </w:rPr>
              <w:t>nce</w:t>
            </w:r>
          </w:p>
        </w:tc>
        <w:tc>
          <w:tcPr>
            <w:tcW w:w="11186" w:type="dxa"/>
          </w:tcPr>
          <w:p w:rsidR="001B28FB" w:rsidRPr="00694188" w:rsidRDefault="00A0158D" w:rsidP="00264E11">
            <w:pPr>
              <w:tabs>
                <w:tab w:val="left" w:pos="2494"/>
              </w:tabs>
              <w:cnfStyle w:val="000000100000" w:firstRow="0" w:lastRow="0" w:firstColumn="0" w:lastColumn="0" w:oddVBand="0" w:evenVBand="0" w:oddHBand="1" w:evenHBand="0" w:firstRowFirstColumn="0" w:firstRowLastColumn="0" w:lastRowFirstColumn="0" w:lastRowLastColumn="0"/>
            </w:pPr>
            <w:r w:rsidRPr="00694188">
              <w:t xml:space="preserve">Conflict of </w:t>
            </w:r>
            <w:r w:rsidR="00916ADE">
              <w:t>i</w:t>
            </w:r>
            <w:r w:rsidRPr="00694188">
              <w:t>nterest:</w:t>
            </w:r>
            <w:r w:rsidRPr="00694188">
              <w:tab/>
              <w:t>Nil</w:t>
            </w:r>
          </w:p>
        </w:tc>
      </w:tr>
    </w:tbl>
    <w:p w:rsidR="007915C2" w:rsidRDefault="007915C2">
      <w:r>
        <w:br w:type="page"/>
      </w: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enda"/>
      </w:tblPr>
      <w:tblGrid>
        <w:gridCol w:w="703"/>
        <w:gridCol w:w="3351"/>
        <w:gridCol w:w="11186"/>
      </w:tblGrid>
      <w:tr w:rsidR="007915C2" w:rsidRPr="00154FC5" w:rsidTr="007915C2">
        <w:trPr>
          <w:cnfStyle w:val="100000000000" w:firstRow="1" w:lastRow="0" w:firstColumn="0" w:lastColumn="0" w:oddVBand="0" w:evenVBand="0" w:oddHBand="0" w:evenHBand="0" w:firstRowFirstColumn="0" w:firstRowLastColumn="0" w:lastRowFirstColumn="0" w:lastRowLastColumn="0"/>
          <w:trHeight w:val="361"/>
        </w:trPr>
        <w:tc>
          <w:tcPr>
            <w:cnfStyle w:val="001000000100" w:firstRow="0" w:lastRow="0" w:firstColumn="1" w:lastColumn="0" w:oddVBand="0" w:evenVBand="0" w:oddHBand="0" w:evenHBand="0" w:firstRowFirstColumn="1" w:firstRowLastColumn="0" w:lastRowFirstColumn="0" w:lastRowLastColumn="0"/>
            <w:tcW w:w="703" w:type="dxa"/>
          </w:tcPr>
          <w:p w:rsidR="007915C2" w:rsidRPr="007915C2" w:rsidRDefault="007915C2" w:rsidP="007915C2">
            <w:pPr>
              <w:rPr>
                <w:b w:val="0"/>
                <w:szCs w:val="22"/>
              </w:rPr>
            </w:pPr>
            <w:r w:rsidRPr="007915C2">
              <w:rPr>
                <w:b w:val="0"/>
                <w:szCs w:val="22"/>
              </w:rPr>
              <w:lastRenderedPageBreak/>
              <w:t>7</w:t>
            </w:r>
          </w:p>
        </w:tc>
        <w:tc>
          <w:tcPr>
            <w:tcW w:w="14537" w:type="dxa"/>
            <w:gridSpan w:val="2"/>
          </w:tcPr>
          <w:p w:rsidR="007915C2" w:rsidRPr="007915C2" w:rsidRDefault="007915C2" w:rsidP="007915C2">
            <w:pPr>
              <w:cnfStyle w:val="100000000000" w:firstRow="1" w:lastRow="0" w:firstColumn="0" w:lastColumn="0" w:oddVBand="0" w:evenVBand="0" w:oddHBand="0" w:evenHBand="0" w:firstRowFirstColumn="0" w:firstRowLastColumn="0" w:lastRowFirstColumn="0" w:lastRowLastColumn="0"/>
              <w:rPr>
                <w:b w:val="0"/>
                <w:szCs w:val="22"/>
              </w:rPr>
            </w:pPr>
            <w:r w:rsidRPr="007915C2">
              <w:rPr>
                <w:rFonts w:asciiTheme="minorHAnsi" w:hAnsiTheme="minorHAnsi"/>
                <w:b w:val="0"/>
                <w:szCs w:val="22"/>
              </w:rPr>
              <w:t>Presentations and discussion</w:t>
            </w:r>
          </w:p>
        </w:tc>
      </w:tr>
      <w:tr w:rsidR="009C7904" w:rsidRPr="00154FC5" w:rsidTr="007915C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703" w:type="dxa"/>
          </w:tcPr>
          <w:p w:rsidR="009C7904" w:rsidRPr="00154FC5" w:rsidRDefault="009C7904" w:rsidP="009C7904">
            <w:pPr>
              <w:spacing w:after="120"/>
            </w:pPr>
            <w:r w:rsidRPr="00154FC5">
              <w:t>7.1</w:t>
            </w:r>
          </w:p>
        </w:tc>
        <w:tc>
          <w:tcPr>
            <w:tcW w:w="3351" w:type="dxa"/>
          </w:tcPr>
          <w:p w:rsidR="009C7904" w:rsidRPr="00F86D39" w:rsidRDefault="009C7904" w:rsidP="007A0294">
            <w:pPr>
              <w:tabs>
                <w:tab w:val="left" w:pos="3264"/>
              </w:tab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 xml:space="preserve">NT Board of Studies Strategic </w:t>
            </w:r>
            <w:r w:rsidR="007A0294">
              <w:rPr>
                <w:rFonts w:asciiTheme="minorHAnsi" w:hAnsiTheme="minorHAnsi"/>
                <w:szCs w:val="22"/>
              </w:rPr>
              <w:t>Directions</w:t>
            </w:r>
            <w:r>
              <w:rPr>
                <w:rFonts w:asciiTheme="minorHAnsi" w:hAnsiTheme="minorHAnsi"/>
                <w:szCs w:val="22"/>
              </w:rPr>
              <w:t xml:space="preserve"> 2021 to 2024</w:t>
            </w:r>
          </w:p>
        </w:tc>
        <w:tc>
          <w:tcPr>
            <w:tcW w:w="11186" w:type="dxa"/>
          </w:tcPr>
          <w:p w:rsidR="009C7904" w:rsidRDefault="009C7904" w:rsidP="009C7904">
            <w:pPr>
              <w:spacing w:after="120"/>
              <w:cnfStyle w:val="000000100000" w:firstRow="0" w:lastRow="0" w:firstColumn="0" w:lastColumn="0" w:oddVBand="0" w:evenVBand="0" w:oddHBand="1" w:evenHBand="0" w:firstRowFirstColumn="0" w:firstRowLastColumn="0" w:lastRowFirstColumn="0" w:lastRowLastColumn="0"/>
            </w:pPr>
            <w:r w:rsidRPr="00525C2C">
              <w:t xml:space="preserve">The </w:t>
            </w:r>
            <w:r>
              <w:t>2017-20 Northern Territory Board of Studies (NTBOS) Strategic Directions were developed in 2017 with members participating in a facilitated workshop to review the functions of the board</w:t>
            </w:r>
            <w:r w:rsidR="00264E11">
              <w:t xml:space="preserve"> and</w:t>
            </w:r>
            <w:r>
              <w:t xml:space="preserve"> previous board activity, identify potential key activities and draft a vision for the board.</w:t>
            </w:r>
          </w:p>
          <w:p w:rsidR="007915C2" w:rsidRDefault="00264E11" w:rsidP="009C7904">
            <w:pPr>
              <w:spacing w:after="120"/>
              <w:cnfStyle w:val="000000100000" w:firstRow="0" w:lastRow="0" w:firstColumn="0" w:lastColumn="0" w:oddVBand="0" w:evenVBand="0" w:oddHBand="1" w:evenHBand="0" w:firstRowFirstColumn="0" w:firstRowLastColumn="0" w:lastRowFirstColumn="0" w:lastRowLastColumn="0"/>
            </w:pPr>
            <w:r>
              <w:t xml:space="preserve">The </w:t>
            </w:r>
            <w:r w:rsidR="009C7904">
              <w:t xml:space="preserve">draft NTBOS Strategic Directions 2021-24 </w:t>
            </w:r>
            <w:r w:rsidR="007A0294">
              <w:t xml:space="preserve">document, incorporating data from the 2017-20 plan, </w:t>
            </w:r>
            <w:r w:rsidR="00172487">
              <w:t xml:space="preserve">was provided </w:t>
            </w:r>
            <w:r w:rsidR="009529CA">
              <w:t xml:space="preserve">to members </w:t>
            </w:r>
            <w:r w:rsidR="007D4584">
              <w:t>for perusal and discussion.</w:t>
            </w:r>
          </w:p>
          <w:p w:rsidR="009529CA" w:rsidRPr="009529CA" w:rsidRDefault="009529CA" w:rsidP="009C7904">
            <w:pPr>
              <w:spacing w:after="120"/>
              <w:cnfStyle w:val="000000100000" w:firstRow="0" w:lastRow="0" w:firstColumn="0" w:lastColumn="0" w:oddVBand="0" w:evenVBand="0" w:oddHBand="1" w:evenHBand="0" w:firstRowFirstColumn="0" w:firstRowLastColumn="0" w:lastRowFirstColumn="0" w:lastRowLastColumn="0"/>
              <w:rPr>
                <w:b/>
              </w:rPr>
            </w:pPr>
            <w:r w:rsidRPr="009529CA">
              <w:rPr>
                <w:b/>
              </w:rPr>
              <w:t>Di</w:t>
            </w:r>
            <w:r w:rsidR="003D0996">
              <w:rPr>
                <w:b/>
              </w:rPr>
              <w:t>scussion outcome</w:t>
            </w:r>
          </w:p>
          <w:p w:rsidR="003D0996" w:rsidRDefault="007915C2" w:rsidP="009529CA">
            <w:pPr>
              <w:spacing w:after="120"/>
              <w:cnfStyle w:val="000000100000" w:firstRow="0" w:lastRow="0" w:firstColumn="0" w:lastColumn="0" w:oddVBand="0" w:evenVBand="0" w:oddHBand="1" w:evenHBand="0" w:firstRowFirstColumn="0" w:firstRowLastColumn="0" w:lastRowFirstColumn="0" w:lastRowLastColumn="0"/>
            </w:pPr>
            <w:r>
              <w:t>Members agreed that as</w:t>
            </w:r>
            <w:r w:rsidR="003D0996">
              <w:t xml:space="preserve"> </w:t>
            </w:r>
            <w:r w:rsidR="00BD54B4">
              <w:t xml:space="preserve">developing the strategic directions </w:t>
            </w:r>
            <w:r w:rsidR="003D0996">
              <w:t xml:space="preserve">is </w:t>
            </w:r>
            <w:r w:rsidR="00BD54B4">
              <w:t xml:space="preserve">critical </w:t>
            </w:r>
            <w:r>
              <w:t xml:space="preserve">work, </w:t>
            </w:r>
            <w:r w:rsidR="003D0996">
              <w:t>sourcing a facilitator to help them plan, forward think</w:t>
            </w:r>
            <w:r w:rsidR="00BD54B4">
              <w:t xml:space="preserve"> and </w:t>
            </w:r>
            <w:r w:rsidR="00264E11">
              <w:t>advise future direction</w:t>
            </w:r>
            <w:r>
              <w:t xml:space="preserve"> and how they plan to get there</w:t>
            </w:r>
            <w:r w:rsidR="00AB48BE">
              <w:t>,</w:t>
            </w:r>
            <w:r>
              <w:t xml:space="preserve"> could be an option.</w:t>
            </w:r>
          </w:p>
          <w:p w:rsidR="003D0996" w:rsidRPr="003D0996" w:rsidRDefault="003D0996" w:rsidP="009529CA">
            <w:pPr>
              <w:spacing w:after="120"/>
              <w:cnfStyle w:val="000000100000" w:firstRow="0" w:lastRow="0" w:firstColumn="0" w:lastColumn="0" w:oddVBand="0" w:evenVBand="0" w:oddHBand="1" w:evenHBand="0" w:firstRowFirstColumn="0" w:firstRowLastColumn="0" w:lastRowFirstColumn="0" w:lastRowLastColumn="0"/>
              <w:rPr>
                <w:b/>
              </w:rPr>
            </w:pPr>
            <w:r>
              <w:rPr>
                <w:b/>
              </w:rPr>
              <w:t>Action</w:t>
            </w:r>
          </w:p>
          <w:p w:rsidR="000A0053" w:rsidRPr="00525C2C" w:rsidRDefault="009529CA" w:rsidP="00BD54B4">
            <w:pPr>
              <w:spacing w:after="120"/>
              <w:cnfStyle w:val="000000100000" w:firstRow="0" w:lastRow="0" w:firstColumn="0" w:lastColumn="0" w:oddVBand="0" w:evenVBand="0" w:oddHBand="1" w:evenHBand="0" w:firstRowFirstColumn="0" w:firstRowLastColumn="0" w:lastRowFirstColumn="0" w:lastRowLastColumn="0"/>
            </w:pPr>
            <w:r>
              <w:t xml:space="preserve">A small working group to be convened </w:t>
            </w:r>
            <w:r w:rsidR="00EE14BD">
              <w:t xml:space="preserve">(date to be </w:t>
            </w:r>
            <w:r w:rsidR="00BD54B4">
              <w:t>determined</w:t>
            </w:r>
            <w:r w:rsidR="00EE14BD">
              <w:t xml:space="preserve">) </w:t>
            </w:r>
            <w:r>
              <w:t xml:space="preserve">to </w:t>
            </w:r>
            <w:r w:rsidR="00BD54B4">
              <w:t>consider</w:t>
            </w:r>
            <w:r>
              <w:t xml:space="preserve"> the feasibility of </w:t>
            </w:r>
            <w:r w:rsidRPr="009529CA">
              <w:t xml:space="preserve">outsourcing the refinement </w:t>
            </w:r>
            <w:r>
              <w:t xml:space="preserve">of the NTBOS Strategic Directions 2021-24 </w:t>
            </w:r>
            <w:r w:rsidRPr="009529CA">
              <w:t>to a facilitator</w:t>
            </w:r>
            <w:r>
              <w:t xml:space="preserve">. Working </w:t>
            </w:r>
            <w:r w:rsidR="00BD54B4">
              <w:t>g</w:t>
            </w:r>
            <w:r>
              <w:t xml:space="preserve">roup members </w:t>
            </w:r>
            <w:r w:rsidR="003D0996">
              <w:t>will be</w:t>
            </w:r>
            <w:r>
              <w:t xml:space="preserve"> Roland </w:t>
            </w:r>
            <w:r w:rsidRPr="00172487">
              <w:rPr>
                <w:rFonts w:cs="Arial"/>
                <w:szCs w:val="22"/>
              </w:rPr>
              <w:t>Houareau</w:t>
            </w:r>
            <w:r>
              <w:rPr>
                <w:rFonts w:cs="Arial"/>
                <w:szCs w:val="22"/>
              </w:rPr>
              <w:t>, Rachel Boyce and Sally Hodgson.</w:t>
            </w:r>
            <w:r w:rsidR="007915C2">
              <w:rPr>
                <w:rFonts w:cs="Arial"/>
                <w:szCs w:val="22"/>
              </w:rPr>
              <w:t xml:space="preserve"> Executive Officer to provide assistance.</w:t>
            </w:r>
          </w:p>
        </w:tc>
      </w:tr>
      <w:tr w:rsidR="009C7904" w:rsidRPr="009D59CF" w:rsidTr="00791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9C7904" w:rsidRPr="009D59CF" w:rsidRDefault="009C7904" w:rsidP="009C7904">
            <w:pPr>
              <w:spacing w:after="120"/>
              <w:rPr>
                <w:szCs w:val="22"/>
              </w:rPr>
            </w:pPr>
            <w:r w:rsidRPr="009D59CF">
              <w:rPr>
                <w:szCs w:val="22"/>
              </w:rPr>
              <w:lastRenderedPageBreak/>
              <w:t>7.2</w:t>
            </w:r>
          </w:p>
        </w:tc>
        <w:tc>
          <w:tcPr>
            <w:tcW w:w="3351" w:type="dxa"/>
            <w:shd w:val="clear" w:color="auto" w:fill="auto"/>
          </w:tcPr>
          <w:p w:rsidR="009C7904" w:rsidRPr="00362791" w:rsidRDefault="009C7904" w:rsidP="009C7904">
            <w:pPr>
              <w:pStyle w:val="NormalWeb"/>
              <w:shd w:val="clear" w:color="auto" w:fill="FFFFFF"/>
              <w:cnfStyle w:val="000000010000" w:firstRow="0" w:lastRow="0" w:firstColumn="0" w:lastColumn="0" w:oddVBand="0" w:evenVBand="0" w:oddHBand="0" w:evenHBand="1" w:firstRowFirstColumn="0" w:firstRowLastColumn="0" w:lastRowFirstColumn="0" w:lastRowLastColumn="0"/>
              <w:rPr>
                <w:rFonts w:ascii="Lato" w:hAnsi="Lato"/>
                <w:sz w:val="22"/>
                <w:szCs w:val="22"/>
              </w:rPr>
            </w:pPr>
            <w:r w:rsidRPr="00362791">
              <w:rPr>
                <w:rFonts w:ascii="Lato" w:hAnsi="Lato"/>
                <w:sz w:val="22"/>
                <w:szCs w:val="22"/>
              </w:rPr>
              <w:t xml:space="preserve">NT Board of Studies 2020 Annual Report </w:t>
            </w:r>
          </w:p>
        </w:tc>
        <w:tc>
          <w:tcPr>
            <w:tcW w:w="11186" w:type="dxa"/>
            <w:shd w:val="clear" w:color="auto" w:fill="auto"/>
          </w:tcPr>
          <w:p w:rsidR="009C7904" w:rsidRDefault="009C7904" w:rsidP="009C7904">
            <w:pPr>
              <w:pStyle w:val="xmsonormal"/>
              <w:spacing w:after="120"/>
              <w:cnfStyle w:val="000000010000" w:firstRow="0" w:lastRow="0" w:firstColumn="0" w:lastColumn="0" w:oddVBand="0" w:evenVBand="0" w:oddHBand="0" w:evenHBand="1" w:firstRowFirstColumn="0" w:firstRowLastColumn="0" w:lastRowFirstColumn="0" w:lastRowLastColumn="0"/>
              <w:rPr>
                <w:rFonts w:ascii="Lato" w:hAnsi="Lato"/>
                <w:sz w:val="22"/>
                <w:szCs w:val="22"/>
              </w:rPr>
            </w:pPr>
            <w:r w:rsidRPr="00777D9C">
              <w:rPr>
                <w:rFonts w:ascii="Lato" w:hAnsi="Lato"/>
                <w:sz w:val="22"/>
                <w:szCs w:val="22"/>
              </w:rPr>
              <w:t xml:space="preserve">Part 3, section 37 of the </w:t>
            </w:r>
            <w:r w:rsidRPr="00777D9C">
              <w:rPr>
                <w:rFonts w:ascii="Lato" w:hAnsi="Lato"/>
                <w:i/>
                <w:sz w:val="22"/>
                <w:szCs w:val="22"/>
              </w:rPr>
              <w:t>Education Act</w:t>
            </w:r>
            <w:r w:rsidR="00951A04">
              <w:rPr>
                <w:rFonts w:ascii="Lato" w:hAnsi="Lato"/>
                <w:sz w:val="22"/>
                <w:szCs w:val="22"/>
              </w:rPr>
              <w:t xml:space="preserve"> </w:t>
            </w:r>
            <w:r w:rsidR="00951A04" w:rsidRPr="00951A04">
              <w:rPr>
                <w:rFonts w:ascii="Lato" w:hAnsi="Lato"/>
                <w:i/>
                <w:sz w:val="22"/>
                <w:szCs w:val="22"/>
              </w:rPr>
              <w:t>2015</w:t>
            </w:r>
            <w:r w:rsidR="00951A04">
              <w:rPr>
                <w:rFonts w:ascii="Lato" w:hAnsi="Lato"/>
                <w:sz w:val="22"/>
                <w:szCs w:val="22"/>
              </w:rPr>
              <w:t xml:space="preserve"> </w:t>
            </w:r>
            <w:r w:rsidRPr="00777D9C">
              <w:rPr>
                <w:rFonts w:ascii="Lato" w:hAnsi="Lato"/>
                <w:sz w:val="22"/>
                <w:szCs w:val="22"/>
              </w:rPr>
              <w:t xml:space="preserve">requires that the Northern Territory Board of Studies </w:t>
            </w:r>
            <w:r w:rsidR="00A744F1">
              <w:rPr>
                <w:rFonts w:ascii="Lato" w:hAnsi="Lato"/>
                <w:sz w:val="22"/>
                <w:szCs w:val="22"/>
              </w:rPr>
              <w:t xml:space="preserve">(NTBOS) </w:t>
            </w:r>
            <w:r w:rsidRPr="00777D9C">
              <w:rPr>
                <w:rFonts w:ascii="Lato" w:hAnsi="Lato"/>
                <w:sz w:val="22"/>
                <w:szCs w:val="22"/>
              </w:rPr>
              <w:t>prepare a report on activities undertaken during each year, and that the report be provided to the Minister for Education as soon as practicable after 31 December each year.</w:t>
            </w:r>
          </w:p>
          <w:p w:rsidR="009C7904" w:rsidRPr="00AB48BE" w:rsidRDefault="009C7904" w:rsidP="00AB48BE">
            <w:pPr>
              <w:pStyle w:val="Footer"/>
              <w:spacing w:after="120"/>
              <w:cnfStyle w:val="000000010000" w:firstRow="0" w:lastRow="0" w:firstColumn="0" w:lastColumn="0" w:oddVBand="0" w:evenVBand="0" w:oddHBand="0" w:evenHBand="1" w:firstRowFirstColumn="0" w:firstRowLastColumn="0" w:lastRowFirstColumn="0" w:lastRowLastColumn="0"/>
              <w:rPr>
                <w:rFonts w:cs="Arial"/>
                <w:szCs w:val="22"/>
              </w:rPr>
            </w:pPr>
            <w:r w:rsidRPr="00DC0C6A">
              <w:rPr>
                <w:rFonts w:cs="Arial"/>
                <w:szCs w:val="22"/>
              </w:rPr>
              <w:t>The draft</w:t>
            </w:r>
            <w:r w:rsidRPr="00777D9C">
              <w:rPr>
                <w:rFonts w:cs="Arial"/>
                <w:i/>
                <w:szCs w:val="22"/>
              </w:rPr>
              <w:t xml:space="preserve"> NTBOS 2020 Annual Report </w:t>
            </w:r>
            <w:r>
              <w:rPr>
                <w:rFonts w:cs="Arial"/>
                <w:szCs w:val="22"/>
              </w:rPr>
              <w:t>has been</w:t>
            </w:r>
            <w:r w:rsidRPr="00777D9C">
              <w:rPr>
                <w:rFonts w:cs="Arial"/>
                <w:szCs w:val="22"/>
              </w:rPr>
              <w:t xml:space="preserve"> </w:t>
            </w:r>
            <w:r>
              <w:rPr>
                <w:rFonts w:cs="Arial"/>
                <w:szCs w:val="22"/>
              </w:rPr>
              <w:t>developed</w:t>
            </w:r>
            <w:r w:rsidRPr="00777D9C">
              <w:rPr>
                <w:rFonts w:cs="Arial"/>
                <w:szCs w:val="22"/>
              </w:rPr>
              <w:t xml:space="preserve"> as </w:t>
            </w:r>
            <w:r>
              <w:rPr>
                <w:rFonts w:cs="Arial"/>
                <w:szCs w:val="22"/>
              </w:rPr>
              <w:t>per previous years and</w:t>
            </w:r>
            <w:r w:rsidRPr="00777D9C">
              <w:rPr>
                <w:rFonts w:cs="Arial"/>
                <w:szCs w:val="22"/>
              </w:rPr>
              <w:t xml:space="preserve"> </w:t>
            </w:r>
            <w:r>
              <w:rPr>
                <w:rFonts w:cs="Arial"/>
                <w:szCs w:val="22"/>
              </w:rPr>
              <w:t>includes</w:t>
            </w:r>
            <w:r w:rsidRPr="00777D9C">
              <w:rPr>
                <w:rFonts w:cs="Arial"/>
                <w:szCs w:val="22"/>
              </w:rPr>
              <w:t xml:space="preserve"> </w:t>
            </w:r>
            <w:r>
              <w:rPr>
                <w:rFonts w:cs="Arial"/>
                <w:szCs w:val="22"/>
              </w:rPr>
              <w:t xml:space="preserve">all </w:t>
            </w:r>
            <w:r w:rsidRPr="00777D9C">
              <w:rPr>
                <w:rFonts w:cs="Arial"/>
                <w:szCs w:val="22"/>
              </w:rPr>
              <w:t xml:space="preserve">results and information </w:t>
            </w:r>
            <w:r>
              <w:rPr>
                <w:rFonts w:cs="Arial"/>
                <w:szCs w:val="22"/>
              </w:rPr>
              <w:t>data.</w:t>
            </w:r>
            <w:r w:rsidR="00AB48BE">
              <w:rPr>
                <w:rFonts w:cs="Arial"/>
                <w:szCs w:val="22"/>
              </w:rPr>
              <w:t xml:space="preserve"> </w:t>
            </w:r>
            <w:r w:rsidR="00A744F1">
              <w:rPr>
                <w:szCs w:val="22"/>
              </w:rPr>
              <w:t>A</w:t>
            </w:r>
            <w:r>
              <w:rPr>
                <w:szCs w:val="22"/>
              </w:rPr>
              <w:t>dditional option</w:t>
            </w:r>
            <w:r w:rsidR="00A744F1">
              <w:rPr>
                <w:szCs w:val="22"/>
              </w:rPr>
              <w:t>s for the development of the report were</w:t>
            </w:r>
            <w:r>
              <w:rPr>
                <w:szCs w:val="22"/>
              </w:rPr>
              <w:t xml:space="preserve"> </w:t>
            </w:r>
            <w:r w:rsidR="00AB48BE">
              <w:rPr>
                <w:szCs w:val="22"/>
              </w:rPr>
              <w:t xml:space="preserve">also </w:t>
            </w:r>
            <w:r w:rsidR="00BD54B4">
              <w:rPr>
                <w:szCs w:val="22"/>
              </w:rPr>
              <w:t>provided.</w:t>
            </w:r>
          </w:p>
          <w:p w:rsidR="009C7904" w:rsidRPr="00E477CF" w:rsidRDefault="009C7904" w:rsidP="009C7904">
            <w:pPr>
              <w:pStyle w:val="xmsonormal"/>
              <w:spacing w:after="120"/>
              <w:cnfStyle w:val="000000010000" w:firstRow="0" w:lastRow="0" w:firstColumn="0" w:lastColumn="0" w:oddVBand="0" w:evenVBand="0" w:oddHBand="0" w:evenHBand="1" w:firstRowFirstColumn="0" w:firstRowLastColumn="0" w:lastRowFirstColumn="0" w:lastRowLastColumn="0"/>
              <w:rPr>
                <w:rFonts w:ascii="Lato" w:hAnsi="Lato"/>
                <w:sz w:val="22"/>
                <w:szCs w:val="22"/>
              </w:rPr>
            </w:pPr>
            <w:r w:rsidRPr="00E477CF">
              <w:rPr>
                <w:rFonts w:ascii="Lato" w:hAnsi="Lato"/>
                <w:sz w:val="22"/>
                <w:szCs w:val="22"/>
              </w:rPr>
              <w:t>Members were requested to provide their thoughts and preferred option.</w:t>
            </w:r>
          </w:p>
          <w:p w:rsidR="009C7904" w:rsidRPr="00E477CF" w:rsidRDefault="009C7904" w:rsidP="009C7904">
            <w:pPr>
              <w:pStyle w:val="Footer"/>
              <w:spacing w:after="60"/>
              <w:ind w:left="1702" w:hanging="1418"/>
              <w:cnfStyle w:val="000000010000" w:firstRow="0" w:lastRow="0" w:firstColumn="0" w:lastColumn="0" w:oddVBand="0" w:evenVBand="0" w:oddHBand="0" w:evenHBand="1" w:firstRowFirstColumn="0" w:firstRowLastColumn="0" w:lastRowFirstColumn="0" w:lastRowLastColumn="0"/>
              <w:rPr>
                <w:rFonts w:cs="Arial"/>
                <w:szCs w:val="22"/>
              </w:rPr>
            </w:pPr>
            <w:r w:rsidRPr="00E477CF">
              <w:rPr>
                <w:rFonts w:cs="Arial"/>
                <w:szCs w:val="22"/>
              </w:rPr>
              <w:t>Option 1:</w:t>
            </w:r>
            <w:r w:rsidRPr="00E477CF">
              <w:rPr>
                <w:rFonts w:cs="Arial"/>
                <w:szCs w:val="22"/>
              </w:rPr>
              <w:tab/>
              <w:t xml:space="preserve">all results and information data </w:t>
            </w:r>
            <w:r w:rsidR="00951A04">
              <w:rPr>
                <w:rFonts w:cs="Arial"/>
                <w:szCs w:val="22"/>
              </w:rPr>
              <w:t xml:space="preserve">for </w:t>
            </w:r>
            <w:r w:rsidR="00951A04" w:rsidRPr="00E477CF">
              <w:rPr>
                <w:szCs w:val="22"/>
              </w:rPr>
              <w:t>National Assessment Program – Literacy and Numeracy</w:t>
            </w:r>
            <w:r w:rsidR="00951A04">
              <w:rPr>
                <w:szCs w:val="22"/>
              </w:rPr>
              <w:t xml:space="preserve"> (NAPLAN)</w:t>
            </w:r>
            <w:r w:rsidR="00951A04" w:rsidRPr="00E477CF">
              <w:rPr>
                <w:szCs w:val="22"/>
              </w:rPr>
              <w:t>, Northern Territory Certificate of Education and Training</w:t>
            </w:r>
            <w:r w:rsidR="00951A04">
              <w:rPr>
                <w:szCs w:val="22"/>
              </w:rPr>
              <w:t xml:space="preserve"> (NTCET)</w:t>
            </w:r>
            <w:r w:rsidR="00951A04" w:rsidRPr="00E477CF">
              <w:rPr>
                <w:szCs w:val="22"/>
              </w:rPr>
              <w:t xml:space="preserve"> and vocational education and training</w:t>
            </w:r>
            <w:r w:rsidR="00951A04">
              <w:rPr>
                <w:szCs w:val="22"/>
              </w:rPr>
              <w:t xml:space="preserve"> (VET)</w:t>
            </w:r>
            <w:r w:rsidR="00951A04" w:rsidRPr="00E477CF">
              <w:rPr>
                <w:rFonts w:cs="Arial"/>
                <w:szCs w:val="22"/>
              </w:rPr>
              <w:t xml:space="preserve"> </w:t>
            </w:r>
            <w:r w:rsidR="00951A04">
              <w:rPr>
                <w:rFonts w:cs="Arial"/>
                <w:szCs w:val="22"/>
              </w:rPr>
              <w:t xml:space="preserve">to be </w:t>
            </w:r>
            <w:r w:rsidRPr="00E477CF">
              <w:rPr>
                <w:rFonts w:cs="Arial"/>
                <w:szCs w:val="22"/>
              </w:rPr>
              <w:t xml:space="preserve">displayed in the </w:t>
            </w:r>
            <w:r w:rsidR="00951A04">
              <w:rPr>
                <w:rFonts w:cs="Arial"/>
                <w:szCs w:val="22"/>
              </w:rPr>
              <w:t>annual report as per previous years</w:t>
            </w:r>
          </w:p>
          <w:p w:rsidR="009C7904" w:rsidRPr="00E477CF" w:rsidRDefault="009C7904" w:rsidP="009C7904">
            <w:pPr>
              <w:pStyle w:val="Footer"/>
              <w:spacing w:after="60"/>
              <w:ind w:left="1702" w:hanging="1418"/>
              <w:cnfStyle w:val="000000010000" w:firstRow="0" w:lastRow="0" w:firstColumn="0" w:lastColumn="0" w:oddVBand="0" w:evenVBand="0" w:oddHBand="0" w:evenHBand="1" w:firstRowFirstColumn="0" w:firstRowLastColumn="0" w:lastRowFirstColumn="0" w:lastRowLastColumn="0"/>
              <w:rPr>
                <w:rFonts w:cs="Arial"/>
                <w:szCs w:val="22"/>
              </w:rPr>
            </w:pPr>
            <w:r w:rsidRPr="00E477CF">
              <w:rPr>
                <w:rFonts w:cs="Arial"/>
                <w:szCs w:val="22"/>
              </w:rPr>
              <w:t>Option 2:</w:t>
            </w:r>
            <w:r w:rsidRPr="00E477CF">
              <w:rPr>
                <w:rFonts w:cs="Arial"/>
                <w:szCs w:val="22"/>
              </w:rPr>
              <w:tab/>
            </w:r>
            <w:r w:rsidR="00951A04">
              <w:rPr>
                <w:rFonts w:cs="Arial"/>
                <w:szCs w:val="22"/>
              </w:rPr>
              <w:t>as per option 1</w:t>
            </w:r>
            <w:r w:rsidR="003345DD">
              <w:rPr>
                <w:rFonts w:cs="Arial"/>
                <w:szCs w:val="22"/>
              </w:rPr>
              <w:t>, but links to greater</w:t>
            </w:r>
            <w:r w:rsidR="003F3581">
              <w:rPr>
                <w:rFonts w:cs="Arial"/>
                <w:szCs w:val="22"/>
              </w:rPr>
              <w:t xml:space="preserve"> subject</w:t>
            </w:r>
            <w:r w:rsidR="00951A04">
              <w:rPr>
                <w:rFonts w:cs="Arial"/>
                <w:szCs w:val="22"/>
              </w:rPr>
              <w:t xml:space="preserve"> data online</w:t>
            </w:r>
            <w:r w:rsidR="00244A73">
              <w:rPr>
                <w:rFonts w:cs="Arial"/>
                <w:szCs w:val="22"/>
              </w:rPr>
              <w:t xml:space="preserve"> </w:t>
            </w:r>
            <w:r w:rsidR="00BD54B4">
              <w:rPr>
                <w:rFonts w:cs="Arial"/>
                <w:szCs w:val="22"/>
              </w:rPr>
              <w:t xml:space="preserve">to be </w:t>
            </w:r>
            <w:r w:rsidR="00244A73">
              <w:rPr>
                <w:rFonts w:cs="Arial"/>
                <w:szCs w:val="22"/>
              </w:rPr>
              <w:t>include</w:t>
            </w:r>
            <w:r w:rsidR="00BD54B4">
              <w:rPr>
                <w:rFonts w:cs="Arial"/>
                <w:szCs w:val="22"/>
              </w:rPr>
              <w:t>d</w:t>
            </w:r>
            <w:r w:rsidR="00244A73">
              <w:rPr>
                <w:rFonts w:cs="Arial"/>
                <w:szCs w:val="22"/>
              </w:rPr>
              <w:t xml:space="preserve"> in the report</w:t>
            </w:r>
          </w:p>
          <w:p w:rsidR="009C7904" w:rsidRPr="00E477CF" w:rsidRDefault="00951A04" w:rsidP="009C7904">
            <w:pPr>
              <w:pStyle w:val="Footer"/>
              <w:spacing w:after="120"/>
              <w:ind w:left="1702" w:hanging="1418"/>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Option 3</w:t>
            </w:r>
            <w:r w:rsidR="0091767B">
              <w:rPr>
                <w:rFonts w:cs="Arial"/>
                <w:szCs w:val="22"/>
              </w:rPr>
              <w:t>:</w:t>
            </w:r>
            <w:r w:rsidR="0091767B">
              <w:rPr>
                <w:rFonts w:cs="Arial"/>
                <w:szCs w:val="22"/>
              </w:rPr>
              <w:tab/>
              <w:t>only an explanatory statement</w:t>
            </w:r>
            <w:r w:rsidR="00244A73">
              <w:rPr>
                <w:rFonts w:cs="Arial"/>
                <w:szCs w:val="22"/>
              </w:rPr>
              <w:t xml:space="preserve"> </w:t>
            </w:r>
            <w:r>
              <w:rPr>
                <w:rFonts w:cs="Arial"/>
                <w:szCs w:val="22"/>
              </w:rPr>
              <w:t xml:space="preserve">for NAPLAN, NTCET and VET </w:t>
            </w:r>
            <w:r w:rsidR="00BD54B4">
              <w:rPr>
                <w:rFonts w:cs="Arial"/>
                <w:szCs w:val="22"/>
              </w:rPr>
              <w:t>to be</w:t>
            </w:r>
            <w:r w:rsidR="00BD54B4" w:rsidRPr="00E477CF">
              <w:rPr>
                <w:rFonts w:cs="Arial"/>
                <w:szCs w:val="22"/>
              </w:rPr>
              <w:t xml:space="preserve"> </w:t>
            </w:r>
            <w:r>
              <w:rPr>
                <w:rFonts w:cs="Arial"/>
                <w:szCs w:val="22"/>
              </w:rPr>
              <w:t>printed</w:t>
            </w:r>
            <w:r w:rsidR="009C7904" w:rsidRPr="00E477CF">
              <w:rPr>
                <w:rFonts w:cs="Arial"/>
                <w:szCs w:val="22"/>
              </w:rPr>
              <w:t xml:space="preserve"> in the </w:t>
            </w:r>
            <w:r>
              <w:rPr>
                <w:rFonts w:cs="Arial"/>
                <w:szCs w:val="22"/>
              </w:rPr>
              <w:t xml:space="preserve">annual </w:t>
            </w:r>
            <w:r w:rsidR="009C7904" w:rsidRPr="00E477CF">
              <w:rPr>
                <w:rFonts w:cs="Arial"/>
                <w:szCs w:val="22"/>
              </w:rPr>
              <w:t xml:space="preserve">report </w:t>
            </w:r>
            <w:r w:rsidR="00244A73">
              <w:rPr>
                <w:rFonts w:cs="Arial"/>
                <w:szCs w:val="22"/>
              </w:rPr>
              <w:t xml:space="preserve">with </w:t>
            </w:r>
            <w:r w:rsidR="009C7904" w:rsidRPr="00E477CF">
              <w:rPr>
                <w:rFonts w:cs="Arial"/>
                <w:szCs w:val="22"/>
              </w:rPr>
              <w:t xml:space="preserve">links </w:t>
            </w:r>
            <w:r w:rsidR="00BD54B4" w:rsidRPr="00E477CF">
              <w:rPr>
                <w:rFonts w:cs="Arial"/>
                <w:szCs w:val="22"/>
              </w:rPr>
              <w:t>to the data online</w:t>
            </w:r>
            <w:r w:rsidR="00BD54B4">
              <w:rPr>
                <w:rFonts w:cs="Arial"/>
                <w:szCs w:val="22"/>
              </w:rPr>
              <w:t xml:space="preserve"> </w:t>
            </w:r>
            <w:r w:rsidR="00244A73">
              <w:rPr>
                <w:rFonts w:cs="Arial"/>
                <w:szCs w:val="22"/>
              </w:rPr>
              <w:t>included</w:t>
            </w:r>
            <w:r w:rsidR="009C7904" w:rsidRPr="00E477CF">
              <w:rPr>
                <w:rFonts w:cs="Arial"/>
                <w:szCs w:val="22"/>
              </w:rPr>
              <w:t>.</w:t>
            </w:r>
          </w:p>
          <w:p w:rsidR="009C7904" w:rsidRPr="00DA03CF" w:rsidRDefault="009C7904" w:rsidP="009C7904">
            <w:pPr>
              <w:pStyle w:val="xmsonormal"/>
              <w:spacing w:after="120"/>
              <w:cnfStyle w:val="000000010000" w:firstRow="0" w:lastRow="0" w:firstColumn="0" w:lastColumn="0" w:oddVBand="0" w:evenVBand="0" w:oddHBand="0" w:evenHBand="1" w:firstRowFirstColumn="0" w:firstRowLastColumn="0" w:lastRowFirstColumn="0" w:lastRowLastColumn="0"/>
              <w:rPr>
                <w:rFonts w:ascii="Lato" w:hAnsi="Lato"/>
                <w:b/>
                <w:sz w:val="22"/>
                <w:szCs w:val="22"/>
              </w:rPr>
            </w:pPr>
            <w:r w:rsidRPr="00DA03CF">
              <w:rPr>
                <w:rFonts w:ascii="Lato" w:hAnsi="Lato"/>
                <w:b/>
                <w:sz w:val="22"/>
                <w:szCs w:val="22"/>
              </w:rPr>
              <w:t>Recommendation</w:t>
            </w:r>
          </w:p>
          <w:p w:rsidR="009C7904" w:rsidRDefault="009C7904" w:rsidP="009C7904">
            <w:pPr>
              <w:pStyle w:val="xmsonormal"/>
              <w:spacing w:after="120"/>
              <w:cnfStyle w:val="000000010000" w:firstRow="0" w:lastRow="0" w:firstColumn="0" w:lastColumn="0" w:oddVBand="0" w:evenVBand="0" w:oddHBand="0" w:evenHBand="1" w:firstRowFirstColumn="0" w:firstRowLastColumn="0" w:lastRowFirstColumn="0" w:lastRowLastColumn="0"/>
              <w:rPr>
                <w:rFonts w:ascii="Lato" w:hAnsi="Lato"/>
                <w:sz w:val="22"/>
                <w:szCs w:val="22"/>
              </w:rPr>
            </w:pPr>
            <w:r>
              <w:rPr>
                <w:rFonts w:ascii="Lato" w:hAnsi="Lato"/>
                <w:sz w:val="22"/>
                <w:szCs w:val="22"/>
              </w:rPr>
              <w:t>That board</w:t>
            </w:r>
            <w:r w:rsidR="00BD54B4">
              <w:rPr>
                <w:rFonts w:ascii="Lato" w:hAnsi="Lato"/>
                <w:sz w:val="22"/>
                <w:szCs w:val="22"/>
              </w:rPr>
              <w:t xml:space="preserve"> members</w:t>
            </w:r>
            <w:r>
              <w:rPr>
                <w:rFonts w:ascii="Lato" w:hAnsi="Lato"/>
                <w:sz w:val="22"/>
                <w:szCs w:val="22"/>
              </w:rPr>
              <w:t xml:space="preserve"> advise their preferred option for the 2020 Annual Report and beyond.</w:t>
            </w:r>
          </w:p>
          <w:p w:rsidR="009C7904" w:rsidRPr="006A1028" w:rsidRDefault="009C7904" w:rsidP="009C7904">
            <w:pPr>
              <w:pStyle w:val="xmsonormal"/>
              <w:spacing w:after="120"/>
              <w:cnfStyle w:val="000000010000" w:firstRow="0" w:lastRow="0" w:firstColumn="0" w:lastColumn="0" w:oddVBand="0" w:evenVBand="0" w:oddHBand="0" w:evenHBand="1" w:firstRowFirstColumn="0" w:firstRowLastColumn="0" w:lastRowFirstColumn="0" w:lastRowLastColumn="0"/>
              <w:rPr>
                <w:rFonts w:ascii="Lato" w:hAnsi="Lato"/>
                <w:b/>
                <w:sz w:val="22"/>
                <w:szCs w:val="22"/>
              </w:rPr>
            </w:pPr>
            <w:r w:rsidRPr="006A1028">
              <w:rPr>
                <w:rFonts w:ascii="Lato" w:hAnsi="Lato"/>
                <w:b/>
                <w:sz w:val="22"/>
                <w:szCs w:val="22"/>
              </w:rPr>
              <w:t>Outcome:</w:t>
            </w:r>
          </w:p>
          <w:p w:rsidR="00A744F1" w:rsidRDefault="00E75043" w:rsidP="00E75043">
            <w:pPr>
              <w:pStyle w:val="Footer"/>
              <w:spacing w:after="60"/>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Op</w:t>
            </w:r>
            <w:r w:rsidR="00B378DD">
              <w:rPr>
                <w:rFonts w:cs="Arial"/>
                <w:szCs w:val="22"/>
              </w:rPr>
              <w:t xml:space="preserve">tion 2 was </w:t>
            </w:r>
            <w:r w:rsidR="00BD54B4">
              <w:rPr>
                <w:rFonts w:cs="Arial"/>
                <w:szCs w:val="22"/>
              </w:rPr>
              <w:t xml:space="preserve">voted </w:t>
            </w:r>
            <w:r w:rsidR="00B378DD">
              <w:rPr>
                <w:rFonts w:cs="Arial"/>
                <w:szCs w:val="22"/>
              </w:rPr>
              <w:t>the preferred option</w:t>
            </w:r>
            <w:r w:rsidR="00A744F1">
              <w:rPr>
                <w:rFonts w:cs="Arial"/>
                <w:szCs w:val="22"/>
              </w:rPr>
              <w:t>.</w:t>
            </w:r>
          </w:p>
          <w:p w:rsidR="007769CD" w:rsidRPr="00951A04" w:rsidRDefault="00951A04" w:rsidP="00951A04">
            <w:pPr>
              <w:pStyle w:val="Footer"/>
              <w:numPr>
                <w:ilvl w:val="0"/>
                <w:numId w:val="29"/>
              </w:numPr>
              <w:spacing w:after="60"/>
              <w:cnfStyle w:val="000000010000" w:firstRow="0" w:lastRow="0" w:firstColumn="0" w:lastColumn="0" w:oddVBand="0" w:evenVBand="0" w:oddHBand="0" w:evenHBand="1" w:firstRowFirstColumn="0" w:firstRowLastColumn="0" w:lastRowFirstColumn="0" w:lastRowLastColumn="0"/>
              <w:rPr>
                <w:rFonts w:cs="Arial"/>
                <w:szCs w:val="22"/>
              </w:rPr>
            </w:pPr>
            <w:r w:rsidRPr="00E477CF">
              <w:rPr>
                <w:rFonts w:cs="Arial"/>
                <w:szCs w:val="22"/>
              </w:rPr>
              <w:t xml:space="preserve">all results and information data </w:t>
            </w:r>
            <w:r>
              <w:rPr>
                <w:rFonts w:cs="Arial"/>
                <w:szCs w:val="22"/>
              </w:rPr>
              <w:t xml:space="preserve">for </w:t>
            </w:r>
            <w:r w:rsidRPr="00E477CF">
              <w:rPr>
                <w:szCs w:val="22"/>
              </w:rPr>
              <w:t>National Assessment Program – Literacy and Numeracy, Northern Territory Certificate of Education and Training</w:t>
            </w:r>
            <w:r>
              <w:rPr>
                <w:szCs w:val="22"/>
              </w:rPr>
              <w:t xml:space="preserve"> </w:t>
            </w:r>
            <w:r w:rsidRPr="00E477CF">
              <w:rPr>
                <w:szCs w:val="22"/>
              </w:rPr>
              <w:t>and vocational education and training</w:t>
            </w:r>
            <w:r w:rsidRPr="00E477CF">
              <w:rPr>
                <w:rFonts w:cs="Arial"/>
                <w:szCs w:val="22"/>
              </w:rPr>
              <w:t xml:space="preserve"> </w:t>
            </w:r>
            <w:r>
              <w:rPr>
                <w:rFonts w:cs="Arial"/>
                <w:szCs w:val="22"/>
              </w:rPr>
              <w:t xml:space="preserve">to be </w:t>
            </w:r>
            <w:r w:rsidRPr="00E477CF">
              <w:rPr>
                <w:rFonts w:cs="Arial"/>
                <w:szCs w:val="22"/>
              </w:rPr>
              <w:t xml:space="preserve">displayed in the </w:t>
            </w:r>
            <w:r>
              <w:rPr>
                <w:rFonts w:cs="Arial"/>
                <w:szCs w:val="22"/>
              </w:rPr>
              <w:t>annual report as per previous years</w:t>
            </w:r>
            <w:r w:rsidR="00E75043" w:rsidRPr="00951A04">
              <w:rPr>
                <w:rFonts w:cs="Arial"/>
                <w:szCs w:val="22"/>
              </w:rPr>
              <w:t xml:space="preserve">, </w:t>
            </w:r>
            <w:r w:rsidR="00A744F1" w:rsidRPr="00951A04">
              <w:rPr>
                <w:rFonts w:cs="Arial"/>
                <w:szCs w:val="22"/>
              </w:rPr>
              <w:t>and</w:t>
            </w:r>
            <w:r w:rsidR="00E75043" w:rsidRPr="00951A04">
              <w:rPr>
                <w:rFonts w:cs="Arial"/>
                <w:szCs w:val="22"/>
              </w:rPr>
              <w:t xml:space="preserve"> links to greater subject data online</w:t>
            </w:r>
            <w:r w:rsidR="001F681E">
              <w:rPr>
                <w:rFonts w:cs="Arial"/>
                <w:szCs w:val="22"/>
              </w:rPr>
              <w:t xml:space="preserve"> to also be included</w:t>
            </w:r>
            <w:r w:rsidR="00E75043" w:rsidRPr="00951A04">
              <w:rPr>
                <w:rFonts w:cs="Arial"/>
                <w:szCs w:val="22"/>
              </w:rPr>
              <w:t>.</w:t>
            </w:r>
          </w:p>
          <w:p w:rsidR="00A744F1" w:rsidRPr="00E75043" w:rsidRDefault="00A744F1" w:rsidP="00A744F1">
            <w:pPr>
              <w:pStyle w:val="Footer"/>
              <w:spacing w:after="60"/>
              <w:ind w:left="720"/>
              <w:cnfStyle w:val="000000010000" w:firstRow="0" w:lastRow="0" w:firstColumn="0" w:lastColumn="0" w:oddVBand="0" w:evenVBand="0" w:oddHBand="0" w:evenHBand="1" w:firstRowFirstColumn="0" w:firstRowLastColumn="0" w:lastRowFirstColumn="0" w:lastRowLastColumn="0"/>
              <w:rPr>
                <w:rFonts w:cs="Arial"/>
                <w:szCs w:val="22"/>
              </w:rPr>
            </w:pPr>
          </w:p>
        </w:tc>
      </w:tr>
      <w:tr w:rsidR="009C7904" w:rsidTr="00791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9C7904" w:rsidRDefault="009C7904" w:rsidP="009C7904">
            <w:pPr>
              <w:spacing w:after="120"/>
            </w:pPr>
            <w:r>
              <w:lastRenderedPageBreak/>
              <w:t>7.3</w:t>
            </w:r>
          </w:p>
        </w:tc>
        <w:tc>
          <w:tcPr>
            <w:tcW w:w="3351" w:type="dxa"/>
          </w:tcPr>
          <w:p w:rsidR="009C7904" w:rsidRPr="00F86D39" w:rsidRDefault="009C7904" w:rsidP="000828D4">
            <w:pPr>
              <w:tabs>
                <w:tab w:val="left" w:pos="4428"/>
              </w:tab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Au</w:t>
            </w:r>
            <w:r w:rsidR="00B378DD">
              <w:rPr>
                <w:rFonts w:asciiTheme="minorHAnsi" w:hAnsiTheme="minorHAnsi"/>
                <w:szCs w:val="22"/>
              </w:rPr>
              <w:t xml:space="preserve">stralian National </w:t>
            </w:r>
            <w:r w:rsidR="00330845">
              <w:rPr>
                <w:rFonts w:asciiTheme="minorHAnsi" w:hAnsiTheme="minorHAnsi"/>
                <w:szCs w:val="22"/>
              </w:rPr>
              <w:t>University</w:t>
            </w:r>
            <w:r w:rsidR="000828D4">
              <w:rPr>
                <w:rFonts w:asciiTheme="minorHAnsi" w:hAnsiTheme="minorHAnsi"/>
                <w:szCs w:val="22"/>
              </w:rPr>
              <w:t xml:space="preserve"> </w:t>
            </w:r>
            <w:r>
              <w:rPr>
                <w:rFonts w:asciiTheme="minorHAnsi" w:hAnsiTheme="minorHAnsi"/>
                <w:szCs w:val="22"/>
              </w:rPr>
              <w:t>early entry</w:t>
            </w:r>
            <w:r w:rsidRPr="00F86D39">
              <w:rPr>
                <w:rFonts w:asciiTheme="minorHAnsi" w:hAnsiTheme="minorHAnsi"/>
                <w:b/>
                <w:szCs w:val="22"/>
              </w:rPr>
              <w:t xml:space="preserve"> </w:t>
            </w:r>
            <w:r w:rsidRPr="00F86D39">
              <w:rPr>
                <w:rFonts w:asciiTheme="minorHAnsi" w:hAnsiTheme="minorHAnsi"/>
                <w:b/>
                <w:szCs w:val="22"/>
              </w:rPr>
              <w:tab/>
            </w:r>
          </w:p>
        </w:tc>
        <w:tc>
          <w:tcPr>
            <w:tcW w:w="11186" w:type="dxa"/>
          </w:tcPr>
          <w:p w:rsidR="009C7904" w:rsidRDefault="00D36A97" w:rsidP="009C7904">
            <w:pPr>
              <w:spacing w:after="120"/>
              <w:ind w:right="272"/>
              <w:cnfStyle w:val="000000100000" w:firstRow="0" w:lastRow="0" w:firstColumn="0" w:lastColumn="0" w:oddVBand="0" w:evenVBand="0" w:oddHBand="1" w:evenHBand="0" w:firstRowFirstColumn="0" w:firstRowLastColumn="0" w:lastRowFirstColumn="0" w:lastRowLastColumn="0"/>
            </w:pPr>
            <w:r>
              <w:t>In 2020, the COVID-19 pandemic caused differential disruption to schooling across the country. Each curriculum authority adjusted curriculum and assessment for the senior years of schooling to allow the determination of valid and reliable subject results. The curriculum authorities, via the Australasian Curriculum</w:t>
            </w:r>
            <w:r w:rsidR="000828D4">
              <w:t>,</w:t>
            </w:r>
            <w:r>
              <w:t xml:space="preserve"> Assessment and Certification Authorities </w:t>
            </w:r>
            <w:r w:rsidR="00D14EA5">
              <w:t>(ACACA)</w:t>
            </w:r>
            <w:r w:rsidR="000828D4">
              <w:t>,</w:t>
            </w:r>
            <w:r w:rsidR="00D14EA5">
              <w:t xml:space="preserve"> </w:t>
            </w:r>
            <w:r>
              <w:t xml:space="preserve">committed to a set of principles to ensure that across the country, these adjustments were comparable and allowed the calculation of a valid Australian Tertiary Admissions Rank </w:t>
            </w:r>
            <w:r w:rsidR="00D14EA5">
              <w:t>(ATAR) by Tertiary Admission Centres (TAC).</w:t>
            </w:r>
            <w:r w:rsidR="00B378DD">
              <w:t xml:space="preserve"> </w:t>
            </w:r>
            <w:r w:rsidR="00D14EA5">
              <w:t>The Northern Territory Department of Education is a member of ACACA.</w:t>
            </w:r>
          </w:p>
          <w:p w:rsidR="00D14EA5" w:rsidRDefault="00D14EA5" w:rsidP="009C7904">
            <w:pPr>
              <w:spacing w:after="120"/>
              <w:ind w:right="272"/>
              <w:cnfStyle w:val="000000100000" w:firstRow="0" w:lastRow="0" w:firstColumn="0" w:lastColumn="0" w:oddVBand="0" w:evenVBand="0" w:oddHBand="1" w:evenHBand="0" w:firstRowFirstColumn="0" w:firstRowLastColumn="0" w:lastRowFirstColumn="0" w:lastRowLastColumn="0"/>
            </w:pPr>
            <w:r>
              <w:t>The ATAR is an indicator of a student’s academic performance relative to all other eligible students completing Year 12 in the same year. Universities use the ATAR, as well as adjustments put in place by TACs to address particular areas of disadvantage, to admit students to courses.</w:t>
            </w:r>
          </w:p>
          <w:p w:rsidR="00402C5B" w:rsidRDefault="00D14EA5" w:rsidP="009C7904">
            <w:pPr>
              <w:spacing w:after="120"/>
              <w:ind w:right="272"/>
              <w:cnfStyle w:val="000000100000" w:firstRow="0" w:lastRow="0" w:firstColumn="0" w:lastColumn="0" w:oddVBand="0" w:evenVBand="0" w:oddHBand="1" w:evenHBand="0" w:firstRowFirstColumn="0" w:firstRowLastColumn="0" w:lastRowFirstColumn="0" w:lastRowLastColumn="0"/>
            </w:pPr>
            <w:r>
              <w:t xml:space="preserve">In 2020, a number of interstate universities offered students early entry to many undergraduate courses based on their results in Year 11. </w:t>
            </w:r>
            <w:r w:rsidR="00EB0ABD">
              <w:t xml:space="preserve">This was a response to uncertainty in the early phase of the COVID-19 pandemic and did not involve consultation with ACACA or the TACs. </w:t>
            </w:r>
            <w:r>
              <w:t>ACACA opposed early entry via Year 11 results.</w:t>
            </w:r>
          </w:p>
          <w:p w:rsidR="00D14EA5" w:rsidRDefault="00402C5B" w:rsidP="009C7904">
            <w:pPr>
              <w:spacing w:after="120"/>
              <w:ind w:right="272"/>
              <w:cnfStyle w:val="000000100000" w:firstRow="0" w:lastRow="0" w:firstColumn="0" w:lastColumn="0" w:oddVBand="0" w:evenVBand="0" w:oddHBand="1" w:evenHBand="0" w:firstRowFirstColumn="0" w:firstRowLastColumn="0" w:lastRowFirstColumn="0" w:lastRowLastColumn="0"/>
            </w:pPr>
            <w:r>
              <w:t>The Australian National University (ANU) and othe</w:t>
            </w:r>
            <w:r w:rsidR="00EB0ABD">
              <w:t>r universities have continued the</w:t>
            </w:r>
            <w:r>
              <w:t xml:space="preserve"> early entry program based on Year 11 results in 2021. ANU requires verification of Stage 1/Year 11 subjects prior to accepting a student on their results.</w:t>
            </w:r>
          </w:p>
          <w:p w:rsidR="00402C5B" w:rsidRDefault="00402C5B" w:rsidP="009C7904">
            <w:pPr>
              <w:spacing w:after="120"/>
              <w:ind w:right="272"/>
              <w:cnfStyle w:val="000000100000" w:firstRow="0" w:lastRow="0" w:firstColumn="0" w:lastColumn="0" w:oddVBand="0" w:evenVBand="0" w:oddHBand="1" w:evenHBand="0" w:firstRowFirstColumn="0" w:firstRowLastColumn="0" w:lastRowFirstColumn="0" w:lastRowLastColumn="0"/>
            </w:pPr>
            <w:r>
              <w:t>Teaching and Learning 10-12, Department of Education, the operational arm of the NT Board of Studies for the Northern Territory Certificate of Education and Training</w:t>
            </w:r>
            <w:r w:rsidR="000828D4">
              <w:t>,</w:t>
            </w:r>
            <w:r>
              <w:t xml:space="preserve"> has been requested to verify Year 11 results for early entry.</w:t>
            </w:r>
          </w:p>
          <w:p w:rsidR="00402C5B" w:rsidRDefault="00402C5B" w:rsidP="00EB0ABD">
            <w:pPr>
              <w:spacing w:after="120"/>
              <w:ind w:right="272"/>
              <w:cnfStyle w:val="000000100000" w:firstRow="0" w:lastRow="0" w:firstColumn="0" w:lastColumn="0" w:oddVBand="0" w:evenVBand="0" w:oddHBand="1" w:evenHBand="0" w:firstRowFirstColumn="0" w:firstRowLastColumn="0" w:lastRowFirstColumn="0" w:lastRowLastColumn="0"/>
            </w:pPr>
            <w:r>
              <w:t xml:space="preserve">The SACE Board of South Australia </w:t>
            </w:r>
            <w:r w:rsidR="00EB0ABD">
              <w:t>do</w:t>
            </w:r>
            <w:r w:rsidR="000828D4">
              <w:t>es</w:t>
            </w:r>
            <w:r>
              <w:t xml:space="preserve"> not endorse Year 11 results for </w:t>
            </w:r>
            <w:r w:rsidR="000828D4">
              <w:t xml:space="preserve">early entry to </w:t>
            </w:r>
            <w:r>
              <w:t>university. This is consistent</w:t>
            </w:r>
            <w:r w:rsidR="00EB0ABD">
              <w:t xml:space="preserve"> with the position of </w:t>
            </w:r>
            <w:r w:rsidR="000828D4">
              <w:t xml:space="preserve">curriculum authorities </w:t>
            </w:r>
            <w:r w:rsidR="00EB0ABD">
              <w:t>in other jurisdictions.</w:t>
            </w:r>
          </w:p>
          <w:p w:rsidR="00EB0ABD" w:rsidRDefault="00EB0ABD" w:rsidP="00EB0ABD">
            <w:pPr>
              <w:spacing w:after="120"/>
              <w:ind w:right="272"/>
              <w:cnfStyle w:val="000000100000" w:firstRow="0" w:lastRow="0" w:firstColumn="0" w:lastColumn="0" w:oddVBand="0" w:evenVBand="0" w:oddHBand="1" w:evenHBand="0" w:firstRowFirstColumn="0" w:firstRowLastColumn="0" w:lastRowFirstColumn="0" w:lastRowLastColumn="0"/>
            </w:pPr>
            <w:r>
              <w:t xml:space="preserve">NT Board of Studies </w:t>
            </w:r>
            <w:r w:rsidR="000828D4">
              <w:t>was</w:t>
            </w:r>
            <w:r>
              <w:t xml:space="preserve"> </w:t>
            </w:r>
            <w:r w:rsidR="00B378DD">
              <w:t xml:space="preserve">asked </w:t>
            </w:r>
            <w:r>
              <w:t xml:space="preserve">to advise Teaching and Learning 10-12 of </w:t>
            </w:r>
            <w:r w:rsidR="000828D4">
              <w:t>its</w:t>
            </w:r>
            <w:r>
              <w:t xml:space="preserve"> position on verifying Year 11 student results for early entry into interstate universities.</w:t>
            </w:r>
          </w:p>
          <w:p w:rsidR="00A72789" w:rsidRPr="00A72789" w:rsidRDefault="00A72789" w:rsidP="00CD1F9D">
            <w:pPr>
              <w:spacing w:after="120"/>
              <w:ind w:right="272"/>
              <w:cnfStyle w:val="000000100000" w:firstRow="0" w:lastRow="0" w:firstColumn="0" w:lastColumn="0" w:oddVBand="0" w:evenVBand="0" w:oddHBand="1" w:evenHBand="0" w:firstRowFirstColumn="0" w:firstRowLastColumn="0" w:lastRowFirstColumn="0" w:lastRowLastColumn="0"/>
              <w:rPr>
                <w:b/>
              </w:rPr>
            </w:pPr>
            <w:r w:rsidRPr="00A72789">
              <w:rPr>
                <w:b/>
              </w:rPr>
              <w:t>Action:</w:t>
            </w:r>
          </w:p>
          <w:p w:rsidR="007769CD" w:rsidRPr="00EE3AB8" w:rsidRDefault="00A72789" w:rsidP="00C612C8">
            <w:pPr>
              <w:spacing w:after="120"/>
              <w:ind w:right="272"/>
              <w:cnfStyle w:val="000000100000" w:firstRow="0" w:lastRow="0" w:firstColumn="0" w:lastColumn="0" w:oddVBand="0" w:evenVBand="0" w:oddHBand="1" w:evenHBand="0" w:firstRowFirstColumn="0" w:firstRowLastColumn="0" w:lastRowFirstColumn="0" w:lastRowLastColumn="0"/>
            </w:pPr>
            <w:r>
              <w:t xml:space="preserve">Mr </w:t>
            </w:r>
            <w:r w:rsidR="00CD1F9D">
              <w:t xml:space="preserve">Tony </w:t>
            </w:r>
            <w:r w:rsidR="00A744F1">
              <w:t>Considine, Northern Territory representative on ACACA</w:t>
            </w:r>
            <w:r w:rsidR="000828D4">
              <w:t>,</w:t>
            </w:r>
            <w:r w:rsidR="00A744F1">
              <w:t xml:space="preserve"> </w:t>
            </w:r>
            <w:r w:rsidR="00153954">
              <w:t xml:space="preserve">to be advised </w:t>
            </w:r>
            <w:r w:rsidR="00CD1F9D">
              <w:t xml:space="preserve">that the </w:t>
            </w:r>
            <w:r w:rsidR="000828D4">
              <w:t>b</w:t>
            </w:r>
            <w:r w:rsidR="00CD1F9D">
              <w:t xml:space="preserve">oard </w:t>
            </w:r>
            <w:r w:rsidR="00C612C8">
              <w:t>agrees with</w:t>
            </w:r>
            <w:r w:rsidR="00CD1F9D">
              <w:t xml:space="preserve"> ACACA</w:t>
            </w:r>
            <w:r w:rsidR="000828D4">
              <w:t>’</w:t>
            </w:r>
            <w:r>
              <w:t>s</w:t>
            </w:r>
            <w:r w:rsidR="00CD1F9D">
              <w:t xml:space="preserve"> position to not support early entry of </w:t>
            </w:r>
            <w:r w:rsidR="000828D4">
              <w:t>Y</w:t>
            </w:r>
            <w:r w:rsidR="00CD1F9D">
              <w:t>ear 11</w:t>
            </w:r>
            <w:r>
              <w:t>.</w:t>
            </w:r>
          </w:p>
        </w:tc>
      </w:tr>
      <w:tr w:rsidR="009C7904" w:rsidTr="00791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9C7904" w:rsidRDefault="009C7904" w:rsidP="009C7904">
            <w:r>
              <w:lastRenderedPageBreak/>
              <w:t>7.4</w:t>
            </w:r>
          </w:p>
        </w:tc>
        <w:tc>
          <w:tcPr>
            <w:tcW w:w="3351" w:type="dxa"/>
            <w:shd w:val="clear" w:color="auto" w:fill="auto"/>
          </w:tcPr>
          <w:p w:rsidR="009C7904" w:rsidRDefault="009C7904" w:rsidP="009C7904">
            <w:pPr>
              <w:tabs>
                <w:tab w:val="left" w:pos="3264"/>
              </w:tabs>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4208BC">
              <w:rPr>
                <w:rFonts w:asciiTheme="minorHAnsi" w:hAnsiTheme="minorHAnsi"/>
                <w:szCs w:val="22"/>
              </w:rPr>
              <w:t xml:space="preserve">Review of </w:t>
            </w:r>
            <w:r w:rsidR="000828D4">
              <w:rPr>
                <w:rFonts w:asciiTheme="minorHAnsi" w:hAnsiTheme="minorHAnsi"/>
                <w:szCs w:val="22"/>
              </w:rPr>
              <w:t xml:space="preserve">Senior </w:t>
            </w:r>
            <w:r w:rsidRPr="004208BC">
              <w:rPr>
                <w:rFonts w:asciiTheme="minorHAnsi" w:hAnsiTheme="minorHAnsi"/>
                <w:szCs w:val="22"/>
              </w:rPr>
              <w:t xml:space="preserve">Secondary Education Pathways – </w:t>
            </w:r>
            <w:proofErr w:type="spellStart"/>
            <w:r w:rsidRPr="004208BC">
              <w:rPr>
                <w:rFonts w:asciiTheme="minorHAnsi" w:hAnsiTheme="minorHAnsi"/>
                <w:szCs w:val="22"/>
              </w:rPr>
              <w:t>Shergold</w:t>
            </w:r>
            <w:proofErr w:type="spellEnd"/>
            <w:r w:rsidRPr="004208BC">
              <w:rPr>
                <w:rFonts w:asciiTheme="minorHAnsi" w:hAnsiTheme="minorHAnsi"/>
                <w:szCs w:val="22"/>
              </w:rPr>
              <w:t xml:space="preserve"> Review</w:t>
            </w:r>
          </w:p>
          <w:p w:rsidR="009C7904" w:rsidRPr="004208BC" w:rsidRDefault="009C7904" w:rsidP="009C7904">
            <w:pPr>
              <w:tabs>
                <w:tab w:val="left" w:pos="3264"/>
              </w:tabs>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p>
        </w:tc>
        <w:tc>
          <w:tcPr>
            <w:tcW w:w="11186" w:type="dxa"/>
            <w:shd w:val="clear" w:color="auto" w:fill="auto"/>
          </w:tcPr>
          <w:p w:rsidR="009C7904" w:rsidRPr="00A72870" w:rsidRDefault="009C7904" w:rsidP="009C7904">
            <w:pPr>
              <w:pStyle w:val="xmsonormal"/>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72870">
              <w:rPr>
                <w:rFonts w:asciiTheme="minorHAnsi" w:hAnsiTheme="minorHAnsi"/>
                <w:sz w:val="22"/>
                <w:szCs w:val="22"/>
              </w:rPr>
              <w:t xml:space="preserve">The </w:t>
            </w:r>
            <w:r w:rsidR="000828D4">
              <w:rPr>
                <w:rFonts w:asciiTheme="minorHAnsi" w:hAnsiTheme="minorHAnsi"/>
                <w:sz w:val="22"/>
                <w:szCs w:val="22"/>
              </w:rPr>
              <w:t>r</w:t>
            </w:r>
            <w:r w:rsidRPr="00A72870">
              <w:rPr>
                <w:rFonts w:asciiTheme="minorHAnsi" w:hAnsiTheme="minorHAnsi"/>
                <w:sz w:val="22"/>
                <w:szCs w:val="22"/>
              </w:rPr>
              <w:t>eview of senior secondary pathways into work, further education and</w:t>
            </w:r>
            <w:r w:rsidR="002933E6">
              <w:rPr>
                <w:rFonts w:asciiTheme="minorHAnsi" w:hAnsiTheme="minorHAnsi"/>
                <w:sz w:val="22"/>
                <w:szCs w:val="22"/>
              </w:rPr>
              <w:t xml:space="preserve"> training was led by an expert p</w:t>
            </w:r>
            <w:r w:rsidRPr="00A72870">
              <w:rPr>
                <w:rFonts w:asciiTheme="minorHAnsi" w:hAnsiTheme="minorHAnsi"/>
                <w:sz w:val="22"/>
                <w:szCs w:val="22"/>
              </w:rPr>
              <w:t xml:space="preserve">anel chaired by Professor Peter </w:t>
            </w:r>
            <w:proofErr w:type="spellStart"/>
            <w:r w:rsidRPr="00A72870">
              <w:rPr>
                <w:rFonts w:asciiTheme="minorHAnsi" w:hAnsiTheme="minorHAnsi"/>
                <w:sz w:val="22"/>
                <w:szCs w:val="22"/>
              </w:rPr>
              <w:t>Shergold</w:t>
            </w:r>
            <w:proofErr w:type="spellEnd"/>
            <w:r w:rsidRPr="00A72870">
              <w:rPr>
                <w:rFonts w:asciiTheme="minorHAnsi" w:hAnsiTheme="minorHAnsi"/>
                <w:sz w:val="22"/>
                <w:szCs w:val="22"/>
              </w:rPr>
              <w:t xml:space="preserve"> AC. The panel provided the Council of Australian Gov</w:t>
            </w:r>
            <w:r w:rsidR="002933E6">
              <w:rPr>
                <w:rFonts w:asciiTheme="minorHAnsi" w:hAnsiTheme="minorHAnsi"/>
                <w:sz w:val="22"/>
                <w:szCs w:val="22"/>
              </w:rPr>
              <w:t>ernments</w:t>
            </w:r>
            <w:r w:rsidRPr="00A72870">
              <w:rPr>
                <w:rFonts w:asciiTheme="minorHAnsi" w:hAnsiTheme="minorHAnsi"/>
                <w:sz w:val="22"/>
                <w:szCs w:val="22"/>
              </w:rPr>
              <w:t xml:space="preserve"> Education Council with advice and recommendations </w:t>
            </w:r>
            <w:r w:rsidR="000828D4">
              <w:rPr>
                <w:rFonts w:asciiTheme="minorHAnsi" w:hAnsiTheme="minorHAnsi"/>
                <w:sz w:val="22"/>
                <w:szCs w:val="22"/>
              </w:rPr>
              <w:t>about</w:t>
            </w:r>
            <w:r w:rsidRPr="00A72870">
              <w:rPr>
                <w:rFonts w:asciiTheme="minorHAnsi" w:hAnsiTheme="minorHAnsi"/>
                <w:sz w:val="22"/>
                <w:szCs w:val="22"/>
              </w:rPr>
              <w:t xml:space="preserve"> h</w:t>
            </w:r>
            <w:r w:rsidR="00A72789" w:rsidRPr="00A72870">
              <w:rPr>
                <w:rFonts w:asciiTheme="minorHAnsi" w:hAnsiTheme="minorHAnsi"/>
                <w:sz w:val="22"/>
                <w:szCs w:val="22"/>
              </w:rPr>
              <w:t>ow senior secondary students could</w:t>
            </w:r>
            <w:r w:rsidRPr="00A72870">
              <w:rPr>
                <w:rFonts w:asciiTheme="minorHAnsi" w:hAnsiTheme="minorHAnsi"/>
                <w:sz w:val="22"/>
                <w:szCs w:val="22"/>
              </w:rPr>
              <w:t xml:space="preserve"> be better supported to choose </w:t>
            </w:r>
            <w:r w:rsidR="000828D4">
              <w:rPr>
                <w:rFonts w:asciiTheme="minorHAnsi" w:hAnsiTheme="minorHAnsi"/>
                <w:sz w:val="22"/>
                <w:szCs w:val="22"/>
              </w:rPr>
              <w:t>a</w:t>
            </w:r>
            <w:r w:rsidRPr="00A72870">
              <w:rPr>
                <w:rFonts w:asciiTheme="minorHAnsi" w:hAnsiTheme="minorHAnsi"/>
                <w:sz w:val="22"/>
                <w:szCs w:val="22"/>
              </w:rPr>
              <w:t xml:space="preserve"> pathway into work, further education and/or training that is right for them.</w:t>
            </w:r>
          </w:p>
          <w:p w:rsidR="00B378DD" w:rsidRPr="000828D4" w:rsidRDefault="00B378DD" w:rsidP="009C7904">
            <w:pPr>
              <w:pStyle w:val="xmsonormal"/>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0828D4">
              <w:rPr>
                <w:rFonts w:asciiTheme="minorHAnsi" w:hAnsiTheme="minorHAnsi" w:cs="Segoe UI"/>
                <w:sz w:val="22"/>
                <w:szCs w:val="22"/>
                <w:lang w:val="en"/>
              </w:rPr>
              <w:t xml:space="preserve">The </w:t>
            </w:r>
            <w:r w:rsidR="000828D4">
              <w:rPr>
                <w:rFonts w:asciiTheme="minorHAnsi" w:hAnsiTheme="minorHAnsi" w:cs="Segoe UI"/>
                <w:sz w:val="22"/>
                <w:szCs w:val="22"/>
                <w:lang w:val="en"/>
              </w:rPr>
              <w:t>r</w:t>
            </w:r>
            <w:r w:rsidRPr="000828D4">
              <w:rPr>
                <w:rFonts w:asciiTheme="minorHAnsi" w:hAnsiTheme="minorHAnsi" w:cs="Segoe UI"/>
                <w:sz w:val="22"/>
                <w:szCs w:val="22"/>
                <w:lang w:val="en"/>
              </w:rPr>
              <w:t xml:space="preserve">eview of senior secondary pathways into work, further education and training developed from a recommendation in the Through Growth to Achievement: Report of the Review to Achieve Educational Excellence in Australian Schools. The </w:t>
            </w:r>
            <w:r w:rsidR="000828D4">
              <w:rPr>
                <w:rFonts w:asciiTheme="minorHAnsi" w:hAnsiTheme="minorHAnsi" w:cs="Segoe UI"/>
                <w:sz w:val="22"/>
                <w:szCs w:val="22"/>
                <w:lang w:val="en"/>
              </w:rPr>
              <w:t>r</w:t>
            </w:r>
            <w:r w:rsidRPr="000828D4">
              <w:rPr>
                <w:rFonts w:asciiTheme="minorHAnsi" w:hAnsiTheme="minorHAnsi" w:cs="Segoe UI"/>
                <w:sz w:val="22"/>
                <w:szCs w:val="22"/>
                <w:lang w:val="en"/>
              </w:rPr>
              <w:t>eview is one of eight national priority initiatives included in the</w:t>
            </w:r>
            <w:r w:rsidR="00A72870" w:rsidRPr="000828D4">
              <w:rPr>
                <w:rFonts w:asciiTheme="minorHAnsi" w:hAnsiTheme="minorHAnsi" w:cs="Segoe UI"/>
                <w:sz w:val="22"/>
                <w:szCs w:val="22"/>
                <w:lang w:val="en"/>
              </w:rPr>
              <w:t xml:space="preserve"> National School Reform Agreement</w:t>
            </w:r>
            <w:r w:rsidRPr="000828D4">
              <w:rPr>
                <w:rFonts w:asciiTheme="minorHAnsi" w:hAnsiTheme="minorHAnsi" w:cs="Segoe UI"/>
                <w:sz w:val="22"/>
                <w:szCs w:val="22"/>
                <w:lang w:val="en"/>
              </w:rPr>
              <w:t>.</w:t>
            </w:r>
          </w:p>
          <w:p w:rsidR="009C7904" w:rsidRDefault="009C7904" w:rsidP="009C7904">
            <w:pPr>
              <w:pStyle w:val="xmsonormal"/>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A72870">
              <w:rPr>
                <w:rFonts w:asciiTheme="minorHAnsi" w:hAnsiTheme="minorHAnsi"/>
                <w:sz w:val="22"/>
                <w:szCs w:val="22"/>
              </w:rPr>
              <w:t xml:space="preserve">The final report, </w:t>
            </w:r>
            <w:r w:rsidRPr="00A72870">
              <w:rPr>
                <w:rFonts w:asciiTheme="minorHAnsi" w:hAnsiTheme="minorHAnsi"/>
                <w:i/>
                <w:sz w:val="22"/>
                <w:szCs w:val="22"/>
              </w:rPr>
              <w:t>Looking to the Future: Report of the Review of senior secondary pathways into work, further education and training</w:t>
            </w:r>
            <w:r w:rsidRPr="00A72870">
              <w:rPr>
                <w:rFonts w:asciiTheme="minorHAnsi" w:hAnsiTheme="minorHAnsi"/>
                <w:sz w:val="22"/>
                <w:szCs w:val="22"/>
              </w:rPr>
              <w:t>, was published by Education Council on 23 July 2020.</w:t>
            </w:r>
          </w:p>
          <w:p w:rsidR="00A72870" w:rsidRPr="00A72870" w:rsidRDefault="00A72870" w:rsidP="009C7904">
            <w:pPr>
              <w:pStyle w:val="xmsonormal"/>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Dr Don Zoellner, University Fellow, Charles Darwin University</w:t>
            </w:r>
            <w:r w:rsidR="000828D4">
              <w:rPr>
                <w:rFonts w:asciiTheme="minorHAnsi" w:hAnsiTheme="minorHAnsi"/>
                <w:sz w:val="22"/>
                <w:szCs w:val="22"/>
              </w:rPr>
              <w:t>,</w:t>
            </w:r>
            <w:r>
              <w:rPr>
                <w:rFonts w:asciiTheme="minorHAnsi" w:hAnsiTheme="minorHAnsi"/>
                <w:sz w:val="22"/>
                <w:szCs w:val="22"/>
              </w:rPr>
              <w:t xml:space="preserve"> was the expert member on the panel in the areas of vocational education and training, senior secondary education, higher education, career education, Aboriginal and Torres Strait Islander education</w:t>
            </w:r>
            <w:r w:rsidR="000828D4">
              <w:rPr>
                <w:rFonts w:asciiTheme="minorHAnsi" w:hAnsiTheme="minorHAnsi"/>
                <w:sz w:val="22"/>
                <w:szCs w:val="22"/>
              </w:rPr>
              <w:t xml:space="preserve"> and</w:t>
            </w:r>
            <w:r>
              <w:rPr>
                <w:rFonts w:asciiTheme="minorHAnsi" w:hAnsiTheme="minorHAnsi"/>
                <w:sz w:val="22"/>
                <w:szCs w:val="22"/>
              </w:rPr>
              <w:t xml:space="preserve"> regional</w:t>
            </w:r>
            <w:r w:rsidR="000828D4">
              <w:rPr>
                <w:rFonts w:asciiTheme="minorHAnsi" w:hAnsiTheme="minorHAnsi"/>
                <w:sz w:val="22"/>
                <w:szCs w:val="22"/>
              </w:rPr>
              <w:t>,</w:t>
            </w:r>
            <w:r>
              <w:rPr>
                <w:rFonts w:asciiTheme="minorHAnsi" w:hAnsiTheme="minorHAnsi"/>
                <w:sz w:val="22"/>
                <w:szCs w:val="22"/>
              </w:rPr>
              <w:t xml:space="preserve"> rural and remote education.</w:t>
            </w:r>
          </w:p>
          <w:p w:rsidR="00A37124" w:rsidRPr="00A72870" w:rsidRDefault="00A72870" w:rsidP="000828D4">
            <w:pPr>
              <w:pStyle w:val="xmsonormal"/>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Dr Zoellner </w:t>
            </w:r>
            <w:r w:rsidR="009C7904" w:rsidRPr="00A72870">
              <w:rPr>
                <w:rFonts w:asciiTheme="minorHAnsi" w:hAnsiTheme="minorHAnsi"/>
                <w:sz w:val="22"/>
                <w:szCs w:val="22"/>
              </w:rPr>
              <w:t xml:space="preserve">attended the </w:t>
            </w:r>
            <w:r w:rsidR="00AB48BE">
              <w:rPr>
                <w:rFonts w:asciiTheme="minorHAnsi" w:hAnsiTheme="minorHAnsi"/>
                <w:sz w:val="22"/>
                <w:szCs w:val="22"/>
              </w:rPr>
              <w:t xml:space="preserve">board </w:t>
            </w:r>
            <w:r w:rsidR="009C7904" w:rsidRPr="00A72870">
              <w:rPr>
                <w:rFonts w:asciiTheme="minorHAnsi" w:hAnsiTheme="minorHAnsi"/>
                <w:sz w:val="22"/>
                <w:szCs w:val="22"/>
              </w:rPr>
              <w:t>meet</w:t>
            </w:r>
            <w:r>
              <w:rPr>
                <w:rFonts w:asciiTheme="minorHAnsi" w:hAnsiTheme="minorHAnsi"/>
                <w:sz w:val="22"/>
                <w:szCs w:val="22"/>
              </w:rPr>
              <w:t xml:space="preserve">ing to </w:t>
            </w:r>
            <w:r w:rsidR="00432E38" w:rsidRPr="00A72870">
              <w:rPr>
                <w:rFonts w:asciiTheme="minorHAnsi" w:hAnsiTheme="minorHAnsi"/>
                <w:sz w:val="22"/>
                <w:szCs w:val="22"/>
              </w:rPr>
              <w:t xml:space="preserve">share information </w:t>
            </w:r>
            <w:r w:rsidR="00487FDB" w:rsidRPr="00A72870">
              <w:rPr>
                <w:rFonts w:asciiTheme="minorHAnsi" w:hAnsiTheme="minorHAnsi"/>
                <w:sz w:val="22"/>
                <w:szCs w:val="22"/>
              </w:rPr>
              <w:t>and provide</w:t>
            </w:r>
            <w:r>
              <w:rPr>
                <w:rFonts w:asciiTheme="minorHAnsi" w:hAnsiTheme="minorHAnsi"/>
                <w:sz w:val="22"/>
                <w:szCs w:val="22"/>
              </w:rPr>
              <w:t>d</w:t>
            </w:r>
            <w:r w:rsidR="00487FDB" w:rsidRPr="00A72870">
              <w:rPr>
                <w:rFonts w:asciiTheme="minorHAnsi" w:hAnsiTheme="minorHAnsi"/>
                <w:sz w:val="22"/>
                <w:szCs w:val="22"/>
              </w:rPr>
              <w:t xml:space="preserve"> general comments on the </w:t>
            </w:r>
            <w:proofErr w:type="spellStart"/>
            <w:r w:rsidR="00AB48BE">
              <w:rPr>
                <w:rFonts w:asciiTheme="minorHAnsi" w:hAnsiTheme="minorHAnsi"/>
                <w:sz w:val="22"/>
                <w:szCs w:val="22"/>
              </w:rPr>
              <w:t>Shergold</w:t>
            </w:r>
            <w:proofErr w:type="spellEnd"/>
            <w:r w:rsidR="00AB48BE">
              <w:rPr>
                <w:rFonts w:asciiTheme="minorHAnsi" w:hAnsiTheme="minorHAnsi"/>
                <w:sz w:val="22"/>
                <w:szCs w:val="22"/>
              </w:rPr>
              <w:t xml:space="preserve"> </w:t>
            </w:r>
            <w:r w:rsidR="000828D4">
              <w:rPr>
                <w:rFonts w:asciiTheme="minorHAnsi" w:hAnsiTheme="minorHAnsi"/>
                <w:sz w:val="22"/>
                <w:szCs w:val="22"/>
              </w:rPr>
              <w:t>r</w:t>
            </w:r>
            <w:r w:rsidR="00487FDB" w:rsidRPr="00A72870">
              <w:rPr>
                <w:rFonts w:asciiTheme="minorHAnsi" w:hAnsiTheme="minorHAnsi"/>
                <w:sz w:val="22"/>
                <w:szCs w:val="22"/>
              </w:rPr>
              <w:t>eview</w:t>
            </w:r>
            <w:r>
              <w:rPr>
                <w:rFonts w:asciiTheme="minorHAnsi" w:hAnsiTheme="minorHAnsi"/>
                <w:sz w:val="22"/>
                <w:szCs w:val="22"/>
              </w:rPr>
              <w:t>.</w:t>
            </w:r>
          </w:p>
        </w:tc>
      </w:tr>
      <w:tr w:rsidR="009C7904" w:rsidTr="00791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9C7904" w:rsidRDefault="009C7904" w:rsidP="009C7904">
            <w:r>
              <w:t>7.5</w:t>
            </w:r>
          </w:p>
        </w:tc>
        <w:tc>
          <w:tcPr>
            <w:tcW w:w="3351" w:type="dxa"/>
          </w:tcPr>
          <w:p w:rsidR="009C7904" w:rsidRPr="00EE3AB8" w:rsidRDefault="009C7904" w:rsidP="009C7904">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EE3AB8">
              <w:rPr>
                <w:rFonts w:asciiTheme="minorHAnsi" w:hAnsiTheme="minorHAnsi"/>
                <w:b/>
              </w:rPr>
              <w:t>Presentation:</w:t>
            </w:r>
          </w:p>
          <w:p w:rsidR="009C7904" w:rsidRDefault="009C7904" w:rsidP="009C790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Transition Support Unit</w:t>
            </w:r>
          </w:p>
          <w:p w:rsidR="009C7904" w:rsidRPr="00F86D39" w:rsidRDefault="009C7904" w:rsidP="009C790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1186" w:type="dxa"/>
          </w:tcPr>
          <w:p w:rsidR="009C7904" w:rsidRPr="00307E0F" w:rsidRDefault="000828D4" w:rsidP="00AB48BE">
            <w:pPr>
              <w:spacing w:after="120"/>
              <w:ind w:right="272"/>
              <w:cnfStyle w:val="000000100000" w:firstRow="0" w:lastRow="0" w:firstColumn="0" w:lastColumn="0" w:oddVBand="0" w:evenVBand="0" w:oddHBand="1" w:evenHBand="0" w:firstRowFirstColumn="0" w:firstRowLastColumn="0" w:lastRowFirstColumn="0" w:lastRowLastColumn="0"/>
            </w:pPr>
            <w:r>
              <w:t xml:space="preserve">Department of Education Transition Support Unit (TSU) staff, </w:t>
            </w:r>
            <w:r w:rsidR="009C7904">
              <w:t>Mr Nathan Baunach, Director, Mr Lance Po-Ching, Senior Transition Manager and Mr Justin Sorensen, Boarding Relationships Manager</w:t>
            </w:r>
            <w:r w:rsidR="00487FDB">
              <w:t xml:space="preserve">, </w:t>
            </w:r>
            <w:r w:rsidR="009C7904">
              <w:t xml:space="preserve">provided a presentation </w:t>
            </w:r>
            <w:r w:rsidR="00487FDB">
              <w:t xml:space="preserve">on the TSU </w:t>
            </w:r>
            <w:r w:rsidR="00AB48BE">
              <w:t>outlining</w:t>
            </w:r>
            <w:r w:rsidR="009C7904">
              <w:t xml:space="preserve"> </w:t>
            </w:r>
            <w:r w:rsidR="009C7904" w:rsidRPr="00307E0F">
              <w:t>the history, roles and service</w:t>
            </w:r>
            <w:r w:rsidR="009C7904">
              <w:t>s</w:t>
            </w:r>
            <w:r w:rsidR="009C7904" w:rsidRPr="00307E0F">
              <w:t xml:space="preserve"> offered, </w:t>
            </w:r>
            <w:r w:rsidR="00D37BDC">
              <w:t>effects</w:t>
            </w:r>
            <w:r w:rsidR="00D37BDC" w:rsidRPr="00307E0F">
              <w:t xml:space="preserve"> </w:t>
            </w:r>
            <w:r w:rsidR="009C7904" w:rsidRPr="00307E0F">
              <w:t>of COVID-19, pandemic silver linings, case st</w:t>
            </w:r>
            <w:r w:rsidR="00487FDB">
              <w:t>udies and looking to the future.</w:t>
            </w:r>
          </w:p>
          <w:p w:rsidR="009C7904" w:rsidRDefault="009C7904" w:rsidP="009C7904">
            <w:pPr>
              <w:ind w:right="272"/>
              <w:cnfStyle w:val="000000100000" w:firstRow="0" w:lastRow="0" w:firstColumn="0" w:lastColumn="0" w:oddVBand="0" w:evenVBand="0" w:oddHBand="1" w:evenHBand="0" w:firstRowFirstColumn="0" w:firstRowLastColumn="0" w:lastRowFirstColumn="0" w:lastRowLastColumn="0"/>
            </w:pPr>
            <w:r>
              <w:t>The TSU was established in October 2015</w:t>
            </w:r>
            <w:r w:rsidR="00D37BDC">
              <w:t xml:space="preserve"> and</w:t>
            </w:r>
            <w:r>
              <w:t xml:space="preserve"> works with more than 1000 NT based Indigenous students who utilise boarding facilities to access a secondary education. </w:t>
            </w:r>
            <w:r w:rsidR="00D37BDC">
              <w:t>Seventy-</w:t>
            </w:r>
            <w:r>
              <w:t xml:space="preserve">four per cent of students board within the NT and </w:t>
            </w:r>
            <w:r w:rsidR="00D37BDC">
              <w:t>26</w:t>
            </w:r>
            <w:r>
              <w:t xml:space="preserve"> per cent board interstate. The TSU currently has 23 staff in offices in Darwin, Nhulunbuy, Katherine, Tennant Creek and Alice Springs who service the whole of the NT and all board</w:t>
            </w:r>
            <w:r w:rsidR="00AB48BE">
              <w:t>ing</w:t>
            </w:r>
            <w:r>
              <w:t xml:space="preserve"> schools nationally.</w:t>
            </w:r>
          </w:p>
          <w:p w:rsidR="009C7904" w:rsidRDefault="009C7904" w:rsidP="009C7904">
            <w:pPr>
              <w:ind w:right="272"/>
              <w:cnfStyle w:val="000000100000" w:firstRow="0" w:lastRow="0" w:firstColumn="0" w:lastColumn="0" w:oddVBand="0" w:evenVBand="0" w:oddHBand="1" w:evenHBand="0" w:firstRowFirstColumn="0" w:firstRowLastColumn="0" w:lastRowFirstColumn="0" w:lastRowLastColumn="0"/>
            </w:pPr>
          </w:p>
          <w:p w:rsidR="002E5160" w:rsidRDefault="00662CBC" w:rsidP="00AB48BE">
            <w:pPr>
              <w:cnfStyle w:val="000000100000" w:firstRow="0" w:lastRow="0" w:firstColumn="0" w:lastColumn="0" w:oddVBand="0" w:evenVBand="0" w:oddHBand="1" w:evenHBand="0" w:firstRowFirstColumn="0" w:firstRowLastColumn="0" w:lastRowFirstColumn="0" w:lastRowLastColumn="0"/>
            </w:pPr>
            <w:r w:rsidRPr="002E5160">
              <w:rPr>
                <w:b/>
              </w:rPr>
              <w:t>Action:</w:t>
            </w:r>
            <w:r w:rsidRPr="002E5160">
              <w:br/>
            </w:r>
            <w:r w:rsidR="00AB48BE" w:rsidRPr="002E5160">
              <w:rPr>
                <w:rFonts w:asciiTheme="minorHAnsi" w:hAnsiTheme="minorHAnsi"/>
              </w:rPr>
              <w:t xml:space="preserve">Transition Support Unit </w:t>
            </w:r>
            <w:r w:rsidRPr="002E5160">
              <w:t xml:space="preserve">to be </w:t>
            </w:r>
            <w:r w:rsidR="00AB48BE" w:rsidRPr="002E5160">
              <w:t>invite</w:t>
            </w:r>
            <w:r w:rsidR="00D37BDC">
              <w:t>d</w:t>
            </w:r>
            <w:r w:rsidRPr="002E5160">
              <w:t xml:space="preserve"> to </w:t>
            </w:r>
            <w:r w:rsidR="00A70630" w:rsidRPr="002E5160">
              <w:t xml:space="preserve">a </w:t>
            </w:r>
            <w:r w:rsidR="00D37BDC">
              <w:t>future</w:t>
            </w:r>
            <w:r w:rsidR="00D37BDC" w:rsidRPr="002E5160">
              <w:t xml:space="preserve"> </w:t>
            </w:r>
            <w:r w:rsidR="002E5160" w:rsidRPr="002E5160">
              <w:t xml:space="preserve">board </w:t>
            </w:r>
            <w:r w:rsidRPr="002E5160">
              <w:t xml:space="preserve">meeting to provide </w:t>
            </w:r>
            <w:r w:rsidR="00A70630" w:rsidRPr="002E5160">
              <w:t xml:space="preserve">information </w:t>
            </w:r>
            <w:r w:rsidR="00D37BDC">
              <w:t>about</w:t>
            </w:r>
            <w:r w:rsidR="002E5160">
              <w:t>:</w:t>
            </w:r>
          </w:p>
          <w:p w:rsidR="00662CBC" w:rsidRPr="002E5160" w:rsidRDefault="002E5160" w:rsidP="002E5160">
            <w:pPr>
              <w:pStyle w:val="ListParagraph"/>
              <w:numPr>
                <w:ilvl w:val="0"/>
                <w:numId w:val="28"/>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t xml:space="preserve">Indigenous </w:t>
            </w:r>
            <w:r w:rsidR="00D37BDC">
              <w:t xml:space="preserve">boarding </w:t>
            </w:r>
            <w:r>
              <w:t>– comparable data</w:t>
            </w:r>
          </w:p>
          <w:p w:rsidR="002933E6" w:rsidRPr="002933E6" w:rsidRDefault="002E5160" w:rsidP="002933E6">
            <w:pPr>
              <w:pStyle w:val="ListParagraph"/>
              <w:numPr>
                <w:ilvl w:val="0"/>
                <w:numId w:val="28"/>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t>number of schools that do not provide secondary provision</w:t>
            </w:r>
          </w:p>
        </w:tc>
      </w:tr>
      <w:tr w:rsidR="009C7904" w:rsidTr="00791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9C7904" w:rsidRDefault="009C7904" w:rsidP="009C7904">
            <w:r>
              <w:t>7.6</w:t>
            </w:r>
          </w:p>
        </w:tc>
        <w:tc>
          <w:tcPr>
            <w:tcW w:w="3351" w:type="dxa"/>
            <w:shd w:val="clear" w:color="auto" w:fill="auto"/>
          </w:tcPr>
          <w:p w:rsidR="009C7904" w:rsidRPr="00F86D39" w:rsidRDefault="00E9141C" w:rsidP="009C7904">
            <w:pPr>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Pr>
                <w:rFonts w:asciiTheme="minorHAnsi" w:hAnsiTheme="minorHAnsi"/>
                <w:szCs w:val="22"/>
              </w:rPr>
              <w:t>SACE Report</w:t>
            </w:r>
          </w:p>
        </w:tc>
        <w:tc>
          <w:tcPr>
            <w:tcW w:w="11186" w:type="dxa"/>
            <w:shd w:val="clear" w:color="auto" w:fill="auto"/>
          </w:tcPr>
          <w:p w:rsidR="007769CD" w:rsidRPr="0030688D" w:rsidRDefault="00E9141C" w:rsidP="00BD1C52">
            <w:pPr>
              <w:spacing w:after="120"/>
              <w:cnfStyle w:val="000000010000" w:firstRow="0" w:lastRow="0" w:firstColumn="0" w:lastColumn="0" w:oddVBand="0" w:evenVBand="0" w:oddHBand="0" w:evenHBand="1" w:firstRowFirstColumn="0" w:firstRowLastColumn="0" w:lastRowFirstColumn="0" w:lastRowLastColumn="0"/>
            </w:pPr>
            <w:r>
              <w:t xml:space="preserve">See item 8.4 – Report for </w:t>
            </w:r>
            <w:r w:rsidR="00D37BDC">
              <w:t>noting</w:t>
            </w:r>
          </w:p>
        </w:tc>
      </w:tr>
      <w:tr w:rsidR="009C7904" w:rsidTr="00791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9C7904" w:rsidRDefault="009C7904" w:rsidP="009C7904">
            <w:r>
              <w:lastRenderedPageBreak/>
              <w:t>7.7</w:t>
            </w:r>
          </w:p>
        </w:tc>
        <w:tc>
          <w:tcPr>
            <w:tcW w:w="3351" w:type="dxa"/>
          </w:tcPr>
          <w:p w:rsidR="009C7904" w:rsidRPr="00154FC5" w:rsidRDefault="009C7904" w:rsidP="009C7904">
            <w:pPr>
              <w:cnfStyle w:val="000000100000" w:firstRow="0" w:lastRow="0" w:firstColumn="0" w:lastColumn="0" w:oddVBand="0" w:evenVBand="0" w:oddHBand="1" w:evenHBand="0" w:firstRowFirstColumn="0" w:firstRowLastColumn="0" w:lastRowFirstColumn="0" w:lastRowLastColumn="0"/>
            </w:pPr>
            <w:r>
              <w:t>Chief Executive update</w:t>
            </w:r>
          </w:p>
        </w:tc>
        <w:tc>
          <w:tcPr>
            <w:tcW w:w="11186" w:type="dxa"/>
          </w:tcPr>
          <w:p w:rsidR="009C7904" w:rsidRDefault="009C7904" w:rsidP="003565E0">
            <w:pPr>
              <w:pStyle w:val="xmsonormal"/>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66782">
              <w:rPr>
                <w:rFonts w:asciiTheme="minorHAnsi" w:hAnsiTheme="minorHAnsi"/>
                <w:sz w:val="22"/>
                <w:szCs w:val="22"/>
              </w:rPr>
              <w:t>Ms Karen Weston, Chief Executive Department of Education</w:t>
            </w:r>
            <w:r>
              <w:rPr>
                <w:rFonts w:asciiTheme="minorHAnsi" w:hAnsiTheme="minorHAnsi"/>
                <w:sz w:val="22"/>
                <w:szCs w:val="22"/>
              </w:rPr>
              <w:t>,</w:t>
            </w:r>
            <w:r w:rsidRPr="00566782">
              <w:rPr>
                <w:rFonts w:asciiTheme="minorHAnsi" w:hAnsiTheme="minorHAnsi"/>
                <w:sz w:val="22"/>
                <w:szCs w:val="22"/>
              </w:rPr>
              <w:t xml:space="preserve"> provided members with a </w:t>
            </w:r>
            <w:r>
              <w:rPr>
                <w:rFonts w:asciiTheme="minorHAnsi" w:hAnsiTheme="minorHAnsi"/>
                <w:sz w:val="22"/>
                <w:szCs w:val="22"/>
              </w:rPr>
              <w:t>brief update</w:t>
            </w:r>
            <w:r w:rsidRPr="00566782">
              <w:rPr>
                <w:rFonts w:asciiTheme="minorHAnsi" w:hAnsiTheme="minorHAnsi"/>
                <w:sz w:val="22"/>
                <w:szCs w:val="22"/>
              </w:rPr>
              <w:t xml:space="preserve"> on</w:t>
            </w:r>
            <w:r>
              <w:rPr>
                <w:rFonts w:asciiTheme="minorHAnsi" w:hAnsiTheme="minorHAnsi"/>
                <w:sz w:val="22"/>
                <w:szCs w:val="22"/>
              </w:rPr>
              <w:t xml:space="preserve"> various matters that are occurring in the education sector both in the NT and nationally.</w:t>
            </w:r>
          </w:p>
          <w:p w:rsidR="009631F3" w:rsidRPr="003565E0" w:rsidRDefault="003565E0" w:rsidP="002E5160">
            <w:pPr>
              <w:pStyle w:val="xmsonormal"/>
              <w:numPr>
                <w:ilvl w:val="0"/>
                <w:numId w:val="16"/>
              </w:numPr>
              <w:spacing w:after="4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Australian C</w:t>
            </w:r>
            <w:r w:rsidR="009631F3" w:rsidRPr="003565E0">
              <w:rPr>
                <w:rFonts w:asciiTheme="minorHAnsi" w:hAnsiTheme="minorHAnsi"/>
                <w:sz w:val="22"/>
                <w:szCs w:val="22"/>
              </w:rPr>
              <w:t>urriculum Review</w:t>
            </w:r>
            <w:r w:rsidR="00BD1C52">
              <w:rPr>
                <w:rFonts w:asciiTheme="minorHAnsi" w:hAnsiTheme="minorHAnsi"/>
                <w:sz w:val="22"/>
                <w:szCs w:val="22"/>
              </w:rPr>
              <w:t xml:space="preserve"> – the </w:t>
            </w:r>
            <w:r>
              <w:rPr>
                <w:rFonts w:asciiTheme="minorHAnsi" w:hAnsiTheme="minorHAnsi"/>
                <w:sz w:val="22"/>
                <w:szCs w:val="22"/>
              </w:rPr>
              <w:t>Australian Curriculum</w:t>
            </w:r>
            <w:r w:rsidR="00BD1C52">
              <w:rPr>
                <w:rFonts w:asciiTheme="minorHAnsi" w:hAnsiTheme="minorHAnsi"/>
                <w:sz w:val="22"/>
                <w:szCs w:val="22"/>
              </w:rPr>
              <w:t>,</w:t>
            </w:r>
            <w:r>
              <w:rPr>
                <w:rFonts w:asciiTheme="minorHAnsi" w:hAnsiTheme="minorHAnsi"/>
                <w:sz w:val="22"/>
                <w:szCs w:val="22"/>
              </w:rPr>
              <w:t xml:space="preserve"> Assessment and Reporting Authority (</w:t>
            </w:r>
            <w:r w:rsidR="009631F3" w:rsidRPr="003565E0">
              <w:rPr>
                <w:rFonts w:asciiTheme="minorHAnsi" w:hAnsiTheme="minorHAnsi"/>
                <w:sz w:val="22"/>
                <w:szCs w:val="22"/>
              </w:rPr>
              <w:t>ACARA</w:t>
            </w:r>
            <w:r>
              <w:rPr>
                <w:rFonts w:asciiTheme="minorHAnsi" w:hAnsiTheme="minorHAnsi"/>
                <w:sz w:val="22"/>
                <w:szCs w:val="22"/>
              </w:rPr>
              <w:t xml:space="preserve">) </w:t>
            </w:r>
            <w:r w:rsidR="00BD1C52">
              <w:rPr>
                <w:rFonts w:asciiTheme="minorHAnsi" w:hAnsiTheme="minorHAnsi"/>
                <w:sz w:val="22"/>
                <w:szCs w:val="22"/>
              </w:rPr>
              <w:t xml:space="preserve">is </w:t>
            </w:r>
            <w:r>
              <w:rPr>
                <w:rFonts w:asciiTheme="minorHAnsi" w:hAnsiTheme="minorHAnsi"/>
                <w:sz w:val="22"/>
                <w:szCs w:val="22"/>
              </w:rPr>
              <w:t xml:space="preserve">undertaking a review of the Australian Curriculum. The public consultation period for the </w:t>
            </w:r>
            <w:r w:rsidR="00BD1C52">
              <w:rPr>
                <w:rFonts w:asciiTheme="minorHAnsi" w:hAnsiTheme="minorHAnsi"/>
                <w:sz w:val="22"/>
                <w:szCs w:val="22"/>
              </w:rPr>
              <w:t>review</w:t>
            </w:r>
            <w:r>
              <w:rPr>
                <w:rFonts w:asciiTheme="minorHAnsi" w:hAnsiTheme="minorHAnsi"/>
                <w:sz w:val="22"/>
                <w:szCs w:val="22"/>
              </w:rPr>
              <w:t xml:space="preserve"> has opened and will close on Thursday 8 July 2021. NTBOS members are invited to provide their feedback by completing the ACARA online survey. ACARA</w:t>
            </w:r>
            <w:r w:rsidR="009631F3" w:rsidRPr="003565E0">
              <w:rPr>
                <w:rFonts w:asciiTheme="minorHAnsi" w:hAnsiTheme="minorHAnsi"/>
                <w:sz w:val="22"/>
                <w:szCs w:val="22"/>
              </w:rPr>
              <w:t xml:space="preserve"> has consulted with schools</w:t>
            </w:r>
            <w:r>
              <w:rPr>
                <w:rFonts w:asciiTheme="minorHAnsi" w:hAnsiTheme="minorHAnsi"/>
                <w:sz w:val="22"/>
                <w:szCs w:val="22"/>
              </w:rPr>
              <w:t>.</w:t>
            </w:r>
          </w:p>
          <w:p w:rsidR="009631F3" w:rsidRDefault="009631F3" w:rsidP="002E5160">
            <w:pPr>
              <w:pStyle w:val="xmsonormal"/>
              <w:numPr>
                <w:ilvl w:val="0"/>
                <w:numId w:val="16"/>
              </w:numPr>
              <w:spacing w:after="4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NAPLAN Online 2021 – </w:t>
            </w:r>
            <w:r w:rsidR="00BD1C52">
              <w:rPr>
                <w:rFonts w:asciiTheme="minorHAnsi" w:hAnsiTheme="minorHAnsi"/>
                <w:sz w:val="22"/>
                <w:szCs w:val="22"/>
              </w:rPr>
              <w:t xml:space="preserve">the </w:t>
            </w:r>
            <w:r w:rsidR="00C601CB">
              <w:rPr>
                <w:rFonts w:asciiTheme="minorHAnsi" w:hAnsiTheme="minorHAnsi"/>
                <w:sz w:val="22"/>
                <w:szCs w:val="22"/>
              </w:rPr>
              <w:t xml:space="preserve">Department of Education </w:t>
            </w:r>
            <w:r>
              <w:rPr>
                <w:rFonts w:asciiTheme="minorHAnsi" w:hAnsiTheme="minorHAnsi"/>
                <w:sz w:val="22"/>
                <w:szCs w:val="22"/>
              </w:rPr>
              <w:t xml:space="preserve">team </w:t>
            </w:r>
            <w:r w:rsidR="00BD1C52">
              <w:rPr>
                <w:rFonts w:asciiTheme="minorHAnsi" w:hAnsiTheme="minorHAnsi"/>
                <w:sz w:val="22"/>
                <w:szCs w:val="22"/>
              </w:rPr>
              <w:t xml:space="preserve">is </w:t>
            </w:r>
            <w:r>
              <w:rPr>
                <w:rFonts w:asciiTheme="minorHAnsi" w:hAnsiTheme="minorHAnsi"/>
                <w:sz w:val="22"/>
                <w:szCs w:val="22"/>
              </w:rPr>
              <w:t>to be congratulated for their comprehensive support</w:t>
            </w:r>
            <w:r w:rsidR="00C601CB">
              <w:rPr>
                <w:rFonts w:asciiTheme="minorHAnsi" w:hAnsiTheme="minorHAnsi"/>
                <w:sz w:val="22"/>
                <w:szCs w:val="22"/>
              </w:rPr>
              <w:t xml:space="preserve"> to schools.</w:t>
            </w:r>
          </w:p>
          <w:p w:rsidR="00D60877" w:rsidRDefault="00C601CB" w:rsidP="002E5160">
            <w:pPr>
              <w:pStyle w:val="xmsonormal"/>
              <w:numPr>
                <w:ilvl w:val="0"/>
                <w:numId w:val="16"/>
              </w:numPr>
              <w:spacing w:after="4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ACARA e</w:t>
            </w:r>
            <w:r w:rsidR="009631F3">
              <w:rPr>
                <w:rFonts w:asciiTheme="minorHAnsi" w:hAnsiTheme="minorHAnsi"/>
                <w:sz w:val="22"/>
                <w:szCs w:val="22"/>
              </w:rPr>
              <w:t>stablishment of the Australian Education Research Authority</w:t>
            </w:r>
            <w:r>
              <w:rPr>
                <w:rFonts w:asciiTheme="minorHAnsi" w:hAnsiTheme="minorHAnsi"/>
                <w:sz w:val="22"/>
                <w:szCs w:val="22"/>
              </w:rPr>
              <w:t>.</w:t>
            </w:r>
          </w:p>
          <w:p w:rsidR="00640D9B" w:rsidRPr="00640D9B" w:rsidRDefault="00C601CB" w:rsidP="00640D9B">
            <w:pPr>
              <w:pStyle w:val="xmsonormal"/>
              <w:numPr>
                <w:ilvl w:val="0"/>
                <w:numId w:val="16"/>
              </w:numPr>
              <w:spacing w:after="4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Education Engagement Strategy –</w:t>
            </w:r>
            <w:r w:rsidR="007E4152">
              <w:rPr>
                <w:rFonts w:asciiTheme="minorHAnsi" w:hAnsiTheme="minorHAnsi"/>
                <w:sz w:val="22"/>
                <w:szCs w:val="22"/>
              </w:rPr>
              <w:t>will be</w:t>
            </w:r>
            <w:r>
              <w:rPr>
                <w:rFonts w:asciiTheme="minorHAnsi" w:hAnsiTheme="minorHAnsi"/>
                <w:sz w:val="22"/>
                <w:szCs w:val="22"/>
              </w:rPr>
              <w:t xml:space="preserve"> launched by the Hon Lauren Moss MLA, Minister for Education</w:t>
            </w:r>
            <w:r w:rsidR="007E4152">
              <w:rPr>
                <w:rFonts w:asciiTheme="minorHAnsi" w:hAnsiTheme="minorHAnsi"/>
                <w:sz w:val="22"/>
                <w:szCs w:val="22"/>
              </w:rPr>
              <w:t xml:space="preserve"> in late 2021</w:t>
            </w:r>
            <w:r>
              <w:rPr>
                <w:rFonts w:asciiTheme="minorHAnsi" w:hAnsiTheme="minorHAnsi"/>
                <w:sz w:val="22"/>
                <w:szCs w:val="22"/>
              </w:rPr>
              <w:t xml:space="preserve">. The </w:t>
            </w:r>
            <w:r w:rsidR="00BD1C52">
              <w:rPr>
                <w:rFonts w:asciiTheme="minorHAnsi" w:hAnsiTheme="minorHAnsi"/>
                <w:sz w:val="22"/>
                <w:szCs w:val="22"/>
              </w:rPr>
              <w:t>s</w:t>
            </w:r>
            <w:r>
              <w:rPr>
                <w:rFonts w:asciiTheme="minorHAnsi" w:hAnsiTheme="minorHAnsi"/>
                <w:sz w:val="22"/>
                <w:szCs w:val="22"/>
              </w:rPr>
              <w:t>trategy will be a framework for meaningful, accessible education stemming from purposeful and engaging learning proce</w:t>
            </w:r>
            <w:r w:rsidR="00BD1C52">
              <w:rPr>
                <w:rFonts w:asciiTheme="minorHAnsi" w:hAnsiTheme="minorHAnsi"/>
                <w:sz w:val="22"/>
                <w:szCs w:val="22"/>
              </w:rPr>
              <w:t>sses.</w:t>
            </w:r>
          </w:p>
          <w:p w:rsidR="00640D9B" w:rsidRPr="00640D9B" w:rsidRDefault="00D60877" w:rsidP="002E5160">
            <w:pPr>
              <w:pStyle w:val="xmsonormal"/>
              <w:numPr>
                <w:ilvl w:val="0"/>
                <w:numId w:val="16"/>
              </w:numPr>
              <w:spacing w:after="12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60877">
              <w:rPr>
                <w:rFonts w:asciiTheme="minorHAnsi" w:eastAsiaTheme="minorEastAsia" w:hAnsiTheme="minorHAnsi"/>
                <w:iCs/>
                <w:sz w:val="22"/>
                <w:szCs w:val="22"/>
              </w:rPr>
              <w:t xml:space="preserve">Grow our own teachers in the </w:t>
            </w:r>
            <w:r w:rsidR="00BD1C52">
              <w:rPr>
                <w:rFonts w:asciiTheme="minorHAnsi" w:eastAsiaTheme="minorEastAsia" w:hAnsiTheme="minorHAnsi"/>
                <w:iCs/>
                <w:sz w:val="22"/>
                <w:szCs w:val="22"/>
              </w:rPr>
              <w:t>T</w:t>
            </w:r>
            <w:r w:rsidRPr="00D60877">
              <w:rPr>
                <w:rFonts w:asciiTheme="minorHAnsi" w:eastAsiaTheme="minorEastAsia" w:hAnsiTheme="minorHAnsi"/>
                <w:iCs/>
                <w:sz w:val="22"/>
                <w:szCs w:val="22"/>
              </w:rPr>
              <w:t xml:space="preserve">erritory – need to continue to work in partnership with </w:t>
            </w:r>
            <w:r w:rsidR="000663D6">
              <w:rPr>
                <w:rFonts w:asciiTheme="minorHAnsi" w:eastAsiaTheme="minorEastAsia" w:hAnsiTheme="minorHAnsi"/>
                <w:iCs/>
                <w:sz w:val="22"/>
                <w:szCs w:val="22"/>
              </w:rPr>
              <w:t>Charles Darwin University</w:t>
            </w:r>
            <w:r w:rsidR="002E5160">
              <w:rPr>
                <w:rFonts w:asciiTheme="minorHAnsi" w:eastAsiaTheme="minorEastAsia" w:hAnsiTheme="minorHAnsi"/>
                <w:iCs/>
                <w:sz w:val="22"/>
                <w:szCs w:val="22"/>
              </w:rPr>
              <w:t>.</w:t>
            </w:r>
          </w:p>
          <w:p w:rsidR="00D60877" w:rsidRPr="00D60877" w:rsidRDefault="00EE14BD" w:rsidP="002E5160">
            <w:pPr>
              <w:pStyle w:val="xmsonormal"/>
              <w:numPr>
                <w:ilvl w:val="0"/>
                <w:numId w:val="16"/>
              </w:numPr>
              <w:spacing w:after="12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eastAsiaTheme="minorEastAsia" w:hAnsiTheme="minorHAnsi"/>
                <w:iCs/>
                <w:sz w:val="22"/>
                <w:szCs w:val="22"/>
              </w:rPr>
              <w:t xml:space="preserve">Chief Executive </w:t>
            </w:r>
            <w:r w:rsidR="00640D9B">
              <w:rPr>
                <w:rFonts w:asciiTheme="minorHAnsi" w:eastAsiaTheme="minorEastAsia" w:hAnsiTheme="minorHAnsi"/>
                <w:iCs/>
                <w:sz w:val="22"/>
                <w:szCs w:val="22"/>
              </w:rPr>
              <w:t xml:space="preserve">supports the </w:t>
            </w:r>
            <w:r w:rsidR="00BD1C52">
              <w:rPr>
                <w:rFonts w:asciiTheme="minorHAnsi" w:eastAsiaTheme="minorEastAsia" w:hAnsiTheme="minorHAnsi"/>
                <w:iCs/>
                <w:sz w:val="22"/>
                <w:szCs w:val="22"/>
              </w:rPr>
              <w:t>b</w:t>
            </w:r>
            <w:r w:rsidR="00640D9B">
              <w:rPr>
                <w:rFonts w:asciiTheme="minorHAnsi" w:eastAsiaTheme="minorEastAsia" w:hAnsiTheme="minorHAnsi"/>
                <w:iCs/>
                <w:sz w:val="22"/>
                <w:szCs w:val="22"/>
              </w:rPr>
              <w:t>oar</w:t>
            </w:r>
            <w:r>
              <w:rPr>
                <w:rFonts w:asciiTheme="minorHAnsi" w:eastAsiaTheme="minorEastAsia" w:hAnsiTheme="minorHAnsi"/>
                <w:iCs/>
                <w:sz w:val="22"/>
                <w:szCs w:val="22"/>
              </w:rPr>
              <w:t>d</w:t>
            </w:r>
            <w:r w:rsidR="00BD1C52">
              <w:rPr>
                <w:rFonts w:asciiTheme="minorHAnsi" w:eastAsiaTheme="minorEastAsia" w:hAnsiTheme="minorHAnsi"/>
                <w:iCs/>
                <w:sz w:val="22"/>
                <w:szCs w:val="22"/>
              </w:rPr>
              <w:t>’s 2021-</w:t>
            </w:r>
            <w:r>
              <w:rPr>
                <w:rFonts w:asciiTheme="minorHAnsi" w:eastAsiaTheme="minorEastAsia" w:hAnsiTheme="minorHAnsi"/>
                <w:iCs/>
                <w:sz w:val="22"/>
                <w:szCs w:val="22"/>
              </w:rPr>
              <w:t xml:space="preserve">24 Strategic Directions planning processes. </w:t>
            </w:r>
            <w:r w:rsidR="002933E6">
              <w:rPr>
                <w:rFonts w:asciiTheme="minorHAnsi" w:eastAsiaTheme="minorEastAsia" w:hAnsiTheme="minorHAnsi"/>
                <w:iCs/>
                <w:sz w:val="22"/>
                <w:szCs w:val="22"/>
              </w:rPr>
              <w:br/>
            </w:r>
          </w:p>
          <w:p w:rsidR="00C601CB" w:rsidRPr="00A73627" w:rsidRDefault="00C601CB" w:rsidP="00A73627">
            <w:pPr>
              <w:cnfStyle w:val="000000100000" w:firstRow="0" w:lastRow="0" w:firstColumn="0" w:lastColumn="0" w:oddVBand="0" w:evenVBand="0" w:oddHBand="1" w:evenHBand="0" w:firstRowFirstColumn="0" w:firstRowLastColumn="0" w:lastRowFirstColumn="0" w:lastRowLastColumn="0"/>
            </w:pPr>
            <w:r>
              <w:rPr>
                <w:rFonts w:asciiTheme="minorHAnsi" w:hAnsiTheme="minorHAnsi"/>
                <w:szCs w:val="22"/>
              </w:rPr>
              <w:t xml:space="preserve">The Chief Executive </w:t>
            </w:r>
            <w:r w:rsidR="00A73627">
              <w:rPr>
                <w:rFonts w:asciiTheme="minorHAnsi" w:hAnsiTheme="minorHAnsi"/>
                <w:szCs w:val="22"/>
              </w:rPr>
              <w:t xml:space="preserve">also </w:t>
            </w:r>
            <w:r w:rsidR="001A0C66">
              <w:rPr>
                <w:rFonts w:asciiTheme="minorHAnsi" w:hAnsiTheme="minorHAnsi"/>
                <w:szCs w:val="22"/>
              </w:rPr>
              <w:t xml:space="preserve">spoke to the seven </w:t>
            </w:r>
            <w:r w:rsidR="00A73627">
              <w:rPr>
                <w:rFonts w:asciiTheme="minorHAnsi" w:hAnsiTheme="minorHAnsi"/>
                <w:szCs w:val="22"/>
              </w:rPr>
              <w:t xml:space="preserve">system </w:t>
            </w:r>
            <w:r w:rsidR="001A0C66">
              <w:rPr>
                <w:rFonts w:asciiTheme="minorHAnsi" w:hAnsiTheme="minorHAnsi"/>
                <w:szCs w:val="22"/>
              </w:rPr>
              <w:t>priorities</w:t>
            </w:r>
            <w:r w:rsidR="00A73627">
              <w:rPr>
                <w:rFonts w:asciiTheme="minorHAnsi" w:hAnsiTheme="minorHAnsi"/>
                <w:szCs w:val="22"/>
              </w:rPr>
              <w:t xml:space="preserve"> within the Education NT Strategy: </w:t>
            </w:r>
          </w:p>
          <w:p w:rsidR="00A73627" w:rsidRPr="00A73627" w:rsidRDefault="002E5160" w:rsidP="00A73627">
            <w:pPr>
              <w:pStyle w:val="ListParagraph"/>
              <w:numPr>
                <w:ilvl w:val="0"/>
                <w:numId w:val="2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w:t>
            </w:r>
            <w:r w:rsidR="00A73627" w:rsidRPr="00A73627">
              <w:rPr>
                <w:rFonts w:asciiTheme="minorHAnsi" w:hAnsiTheme="minorHAnsi"/>
              </w:rPr>
              <w:t>trengthen instruction for young Territorians</w:t>
            </w:r>
          </w:p>
          <w:p w:rsidR="00A73627" w:rsidRPr="00A73627" w:rsidRDefault="002E5160" w:rsidP="00A73627">
            <w:pPr>
              <w:pStyle w:val="ListParagraph"/>
              <w:numPr>
                <w:ilvl w:val="0"/>
                <w:numId w:val="2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w:t>
            </w:r>
            <w:r w:rsidR="00A73627" w:rsidRPr="00A73627">
              <w:rPr>
                <w:rFonts w:asciiTheme="minorHAnsi" w:hAnsiTheme="minorHAnsi"/>
              </w:rPr>
              <w:t>mprove cultural responsiveness</w:t>
            </w:r>
          </w:p>
          <w:p w:rsidR="00A73627" w:rsidRPr="00A73627" w:rsidRDefault="002E5160" w:rsidP="00A73627">
            <w:pPr>
              <w:pStyle w:val="ListParagraph"/>
              <w:numPr>
                <w:ilvl w:val="0"/>
                <w:numId w:val="2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e</w:t>
            </w:r>
            <w:r w:rsidR="00A73627" w:rsidRPr="00A73627">
              <w:rPr>
                <w:rFonts w:asciiTheme="minorHAnsi" w:hAnsiTheme="minorHAnsi"/>
              </w:rPr>
              <w:t>ngage every child and student in learning</w:t>
            </w:r>
          </w:p>
          <w:p w:rsidR="00A73627" w:rsidRPr="00A73627" w:rsidRDefault="002E5160" w:rsidP="00A73627">
            <w:pPr>
              <w:pStyle w:val="ListParagraph"/>
              <w:numPr>
                <w:ilvl w:val="0"/>
                <w:numId w:val="2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b</w:t>
            </w:r>
            <w:r w:rsidR="00A73627" w:rsidRPr="00A73627">
              <w:rPr>
                <w:rFonts w:asciiTheme="minorHAnsi" w:hAnsiTheme="minorHAnsi"/>
              </w:rPr>
              <w:t>uild the foundations for learning</w:t>
            </w:r>
          </w:p>
          <w:p w:rsidR="00A73627" w:rsidRPr="00A73627" w:rsidRDefault="002E5160" w:rsidP="00A73627">
            <w:pPr>
              <w:pStyle w:val="ListParagraph"/>
              <w:numPr>
                <w:ilvl w:val="0"/>
                <w:numId w:val="2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w:t>
            </w:r>
            <w:r w:rsidR="00A73627" w:rsidRPr="00A73627">
              <w:rPr>
                <w:rFonts w:asciiTheme="minorHAnsi" w:hAnsiTheme="minorHAnsi"/>
              </w:rPr>
              <w:t>upport successful transitions beyond schooling</w:t>
            </w:r>
          </w:p>
          <w:p w:rsidR="00A73627" w:rsidRPr="00A73627" w:rsidRDefault="002E5160" w:rsidP="00A73627">
            <w:pPr>
              <w:pStyle w:val="ListParagraph"/>
              <w:numPr>
                <w:ilvl w:val="0"/>
                <w:numId w:val="2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p</w:t>
            </w:r>
            <w:r w:rsidR="00A73627" w:rsidRPr="00A73627">
              <w:rPr>
                <w:rFonts w:asciiTheme="minorHAnsi" w:hAnsiTheme="minorHAnsi"/>
              </w:rPr>
              <w:t xml:space="preserve">rovide differentiated support for </w:t>
            </w:r>
            <w:r w:rsidR="00BD1C52">
              <w:rPr>
                <w:rFonts w:asciiTheme="minorHAnsi" w:hAnsiTheme="minorHAnsi"/>
              </w:rPr>
              <w:t>e</w:t>
            </w:r>
            <w:r w:rsidR="00A73627" w:rsidRPr="00A73627">
              <w:rPr>
                <w:rFonts w:asciiTheme="minorHAnsi" w:hAnsiTheme="minorHAnsi"/>
              </w:rPr>
              <w:t xml:space="preserve">arly </w:t>
            </w:r>
            <w:r w:rsidR="00BD1C52">
              <w:rPr>
                <w:rFonts w:asciiTheme="minorHAnsi" w:hAnsiTheme="minorHAnsi"/>
              </w:rPr>
              <w:t>c</w:t>
            </w:r>
            <w:r w:rsidR="00A73627" w:rsidRPr="00A73627">
              <w:rPr>
                <w:rFonts w:asciiTheme="minorHAnsi" w:hAnsiTheme="minorHAnsi"/>
              </w:rPr>
              <w:t xml:space="preserve">hildhood </w:t>
            </w:r>
            <w:r w:rsidR="00BD1C52">
              <w:rPr>
                <w:rFonts w:asciiTheme="minorHAnsi" w:hAnsiTheme="minorHAnsi"/>
              </w:rPr>
              <w:t>e</w:t>
            </w:r>
            <w:r w:rsidR="00A73627" w:rsidRPr="00A73627">
              <w:rPr>
                <w:rFonts w:asciiTheme="minorHAnsi" w:hAnsiTheme="minorHAnsi"/>
              </w:rPr>
              <w:t xml:space="preserve">ducation and </w:t>
            </w:r>
            <w:r w:rsidR="00BD1C52">
              <w:rPr>
                <w:rFonts w:asciiTheme="minorHAnsi" w:hAnsiTheme="minorHAnsi"/>
              </w:rPr>
              <w:t>c</w:t>
            </w:r>
            <w:r w:rsidR="00A73627" w:rsidRPr="00A73627">
              <w:rPr>
                <w:rFonts w:asciiTheme="minorHAnsi" w:hAnsiTheme="minorHAnsi"/>
              </w:rPr>
              <w:t>are services</w:t>
            </w:r>
          </w:p>
          <w:p w:rsidR="00A73627" w:rsidRPr="002E5160" w:rsidRDefault="002E5160" w:rsidP="002E5160">
            <w:pPr>
              <w:pStyle w:val="ListParagraph"/>
              <w:numPr>
                <w:ilvl w:val="0"/>
                <w:numId w:val="25"/>
              </w:numPr>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gramStart"/>
            <w:r>
              <w:rPr>
                <w:rFonts w:asciiTheme="minorHAnsi" w:hAnsiTheme="minorHAnsi"/>
              </w:rPr>
              <w:t>b</w:t>
            </w:r>
            <w:r w:rsidR="00A73627" w:rsidRPr="00A73627">
              <w:rPr>
                <w:rFonts w:asciiTheme="minorHAnsi" w:hAnsiTheme="minorHAnsi"/>
              </w:rPr>
              <w:t>uild</w:t>
            </w:r>
            <w:proofErr w:type="gramEnd"/>
            <w:r w:rsidR="00A73627" w:rsidRPr="00A73627">
              <w:rPr>
                <w:rFonts w:asciiTheme="minorHAnsi" w:hAnsiTheme="minorHAnsi"/>
              </w:rPr>
              <w:t xml:space="preserve"> an expert education workforce</w:t>
            </w:r>
            <w:r>
              <w:rPr>
                <w:rFonts w:asciiTheme="minorHAnsi" w:hAnsiTheme="minorHAnsi"/>
              </w:rPr>
              <w:t>.</w:t>
            </w:r>
          </w:p>
          <w:p w:rsidR="001A0C66" w:rsidRDefault="001A0C66" w:rsidP="005C33F1">
            <w:pPr>
              <w:pStyle w:val="xmsonormal"/>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A0C66">
              <w:rPr>
                <w:rFonts w:asciiTheme="minorHAnsi" w:hAnsiTheme="minorHAnsi"/>
                <w:b/>
                <w:sz w:val="22"/>
                <w:szCs w:val="22"/>
              </w:rPr>
              <w:t>Action</w:t>
            </w:r>
          </w:p>
          <w:p w:rsidR="00E9141C" w:rsidRDefault="00A73627" w:rsidP="002E5160">
            <w:pPr>
              <w:pStyle w:val="xmsonormal"/>
              <w:numPr>
                <w:ilvl w:val="0"/>
                <w:numId w:val="26"/>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Executive Officer to arrange for NTBOS members to have </w:t>
            </w:r>
            <w:r w:rsidR="001A0C66">
              <w:rPr>
                <w:rFonts w:asciiTheme="minorHAnsi" w:hAnsiTheme="minorHAnsi"/>
                <w:sz w:val="22"/>
                <w:szCs w:val="22"/>
              </w:rPr>
              <w:t xml:space="preserve">access to </w:t>
            </w:r>
            <w:r>
              <w:rPr>
                <w:rFonts w:asciiTheme="minorHAnsi" w:hAnsiTheme="minorHAnsi"/>
                <w:sz w:val="22"/>
                <w:szCs w:val="22"/>
              </w:rPr>
              <w:t xml:space="preserve">Department of Education </w:t>
            </w:r>
            <w:proofErr w:type="spellStart"/>
            <w:r w:rsidR="00BD1C52">
              <w:rPr>
                <w:rFonts w:asciiTheme="minorHAnsi" w:hAnsiTheme="minorHAnsi"/>
                <w:sz w:val="22"/>
                <w:szCs w:val="22"/>
              </w:rPr>
              <w:t>eLearn</w:t>
            </w:r>
            <w:proofErr w:type="spellEnd"/>
            <w:r w:rsidR="001A0C66">
              <w:rPr>
                <w:rFonts w:asciiTheme="minorHAnsi" w:hAnsiTheme="minorHAnsi"/>
                <w:sz w:val="22"/>
                <w:szCs w:val="22"/>
              </w:rPr>
              <w:t xml:space="preserve"> site</w:t>
            </w:r>
            <w:r w:rsidR="00EE14BD">
              <w:rPr>
                <w:rFonts w:asciiTheme="minorHAnsi" w:hAnsiTheme="minorHAnsi"/>
                <w:sz w:val="22"/>
                <w:szCs w:val="22"/>
              </w:rPr>
              <w:t xml:space="preserve"> to enable view</w:t>
            </w:r>
            <w:r w:rsidR="0030033F">
              <w:rPr>
                <w:rFonts w:asciiTheme="minorHAnsi" w:hAnsiTheme="minorHAnsi"/>
                <w:sz w:val="22"/>
                <w:szCs w:val="22"/>
              </w:rPr>
              <w:t>ing</w:t>
            </w:r>
            <w:r w:rsidR="00EE14BD">
              <w:rPr>
                <w:rFonts w:asciiTheme="minorHAnsi" w:hAnsiTheme="minorHAnsi"/>
                <w:sz w:val="22"/>
                <w:szCs w:val="22"/>
              </w:rPr>
              <w:t xml:space="preserve"> of the Education NT Strategy</w:t>
            </w:r>
            <w:r w:rsidR="001A0C66">
              <w:rPr>
                <w:rFonts w:asciiTheme="minorHAnsi" w:hAnsiTheme="minorHAnsi"/>
                <w:sz w:val="22"/>
                <w:szCs w:val="22"/>
              </w:rPr>
              <w:t>.</w:t>
            </w:r>
          </w:p>
          <w:p w:rsidR="002E5160" w:rsidRPr="002E5160" w:rsidRDefault="002E5160" w:rsidP="002E5160">
            <w:pPr>
              <w:pStyle w:val="xmsonormal"/>
              <w:spacing w:after="40"/>
              <w:ind w:left="7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rsidR="002E5160" w:rsidRDefault="002E5160">
      <w:r>
        <w:br w:type="page"/>
      </w:r>
    </w:p>
    <w:tbl>
      <w:tblPr>
        <w:tblStyle w:val="NTG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ms for Noting"/>
      </w:tblPr>
      <w:tblGrid>
        <w:gridCol w:w="703"/>
        <w:gridCol w:w="3351"/>
        <w:gridCol w:w="11186"/>
      </w:tblGrid>
      <w:tr w:rsidR="009C7904" w:rsidRPr="00DA71EA" w:rsidTr="007915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3" w:type="dxa"/>
            <w:shd w:val="clear" w:color="auto" w:fill="D9D9D9" w:themeFill="background2" w:themeFillShade="D9"/>
          </w:tcPr>
          <w:p w:rsidR="009C7904" w:rsidRPr="00DA71EA" w:rsidRDefault="009C7904" w:rsidP="009C7904">
            <w:pPr>
              <w:rPr>
                <w:b w:val="0"/>
              </w:rPr>
            </w:pPr>
            <w:bookmarkStart w:id="0" w:name="_GoBack" w:colFirst="0" w:colLast="3"/>
            <w:r w:rsidRPr="00DA71EA">
              <w:lastRenderedPageBreak/>
              <w:t>8</w:t>
            </w:r>
          </w:p>
        </w:tc>
        <w:tc>
          <w:tcPr>
            <w:tcW w:w="3351" w:type="dxa"/>
            <w:shd w:val="clear" w:color="auto" w:fill="D9D9D9" w:themeFill="background2" w:themeFillShade="D9"/>
          </w:tcPr>
          <w:p w:rsidR="009C7904" w:rsidRPr="00DA71EA" w:rsidRDefault="009C7904" w:rsidP="009C7904">
            <w:pPr>
              <w:cnfStyle w:val="100000000000" w:firstRow="1" w:lastRow="0" w:firstColumn="0" w:lastColumn="0" w:oddVBand="0" w:evenVBand="0" w:oddHBand="0" w:evenHBand="0" w:firstRowFirstColumn="0" w:firstRowLastColumn="0" w:lastRowFirstColumn="0" w:lastRowLastColumn="0"/>
              <w:rPr>
                <w:b w:val="0"/>
              </w:rPr>
            </w:pPr>
            <w:r w:rsidRPr="00DA71EA">
              <w:t>Items for Noting</w:t>
            </w:r>
          </w:p>
        </w:tc>
        <w:tc>
          <w:tcPr>
            <w:tcW w:w="11186" w:type="dxa"/>
            <w:shd w:val="clear" w:color="auto" w:fill="D9D9D9" w:themeFill="background2" w:themeFillShade="D9"/>
          </w:tcPr>
          <w:p w:rsidR="009C7904" w:rsidRPr="00DA71EA" w:rsidRDefault="009C7904" w:rsidP="009C7904">
            <w:pPr>
              <w:cnfStyle w:val="100000000000" w:firstRow="1" w:lastRow="0" w:firstColumn="0" w:lastColumn="0" w:oddVBand="0" w:evenVBand="0" w:oddHBand="0" w:evenHBand="0" w:firstRowFirstColumn="0" w:firstRowLastColumn="0" w:lastRowFirstColumn="0" w:lastRowLastColumn="0"/>
              <w:rPr>
                <w:b w:val="0"/>
              </w:rPr>
            </w:pPr>
          </w:p>
        </w:tc>
      </w:tr>
      <w:tr w:rsidR="009C7904" w:rsidTr="00791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9C7904" w:rsidRDefault="009C7904" w:rsidP="009C7904">
            <w:r>
              <w:t>8.1</w:t>
            </w:r>
          </w:p>
        </w:tc>
        <w:tc>
          <w:tcPr>
            <w:tcW w:w="3351" w:type="dxa"/>
          </w:tcPr>
          <w:p w:rsidR="009C7904" w:rsidRDefault="009C7904" w:rsidP="009C7904">
            <w:pPr>
              <w:cnfStyle w:val="000000100000" w:firstRow="0" w:lastRow="0" w:firstColumn="0" w:lastColumn="0" w:oddVBand="0" w:evenVBand="0" w:oddHBand="1" w:evenHBand="0" w:firstRowFirstColumn="0" w:firstRowLastColumn="0" w:lastRowFirstColumn="0" w:lastRowLastColumn="0"/>
            </w:pPr>
            <w:r>
              <w:t>ACACA report</w:t>
            </w:r>
          </w:p>
          <w:p w:rsidR="009C7904" w:rsidRDefault="009C7904" w:rsidP="009C7904">
            <w:pPr>
              <w:cnfStyle w:val="000000100000" w:firstRow="0" w:lastRow="0" w:firstColumn="0" w:lastColumn="0" w:oddVBand="0" w:evenVBand="0" w:oddHBand="1" w:evenHBand="0" w:firstRowFirstColumn="0" w:firstRowLastColumn="0" w:lastRowFirstColumn="0" w:lastRowLastColumn="0"/>
            </w:pPr>
          </w:p>
        </w:tc>
        <w:tc>
          <w:tcPr>
            <w:tcW w:w="11186" w:type="dxa"/>
          </w:tcPr>
          <w:p w:rsidR="009C7904" w:rsidRDefault="009C7904" w:rsidP="009C7904">
            <w:pPr>
              <w:pStyle w:val="Header"/>
              <w:spacing w:after="120"/>
              <w:jc w:val="left"/>
              <w:cnfStyle w:val="000000100000" w:firstRow="0" w:lastRow="0" w:firstColumn="0" w:lastColumn="0" w:oddVBand="0" w:evenVBand="0" w:oddHBand="1" w:evenHBand="0" w:firstRowFirstColumn="0" w:firstRowLastColumn="0" w:lastRowFirstColumn="0" w:lastRowLastColumn="0"/>
              <w:rPr>
                <w:rFonts w:cs="Arial"/>
                <w:bCs/>
                <w:szCs w:val="22"/>
              </w:rPr>
            </w:pPr>
            <w:r>
              <w:rPr>
                <w:rFonts w:cs="Arial"/>
                <w:bCs/>
                <w:szCs w:val="22"/>
              </w:rPr>
              <w:t>Mr Tony Considine, Acting Executive Director Early Years and Education Services, Department of Education</w:t>
            </w:r>
            <w:r w:rsidRPr="000A4E67">
              <w:rPr>
                <w:rFonts w:cs="Arial"/>
                <w:bCs/>
                <w:szCs w:val="22"/>
              </w:rPr>
              <w:t xml:space="preserve"> is the Northern Territory</w:t>
            </w:r>
            <w:r>
              <w:rPr>
                <w:rFonts w:cs="Arial"/>
                <w:bCs/>
                <w:szCs w:val="22"/>
              </w:rPr>
              <w:t xml:space="preserve"> representative </w:t>
            </w:r>
            <w:r w:rsidR="00BD1C52">
              <w:rPr>
                <w:rFonts w:cs="Arial"/>
                <w:bCs/>
                <w:szCs w:val="22"/>
              </w:rPr>
              <w:t>for</w:t>
            </w:r>
            <w:r>
              <w:rPr>
                <w:rFonts w:cs="Arial"/>
                <w:bCs/>
                <w:szCs w:val="22"/>
              </w:rPr>
              <w:t xml:space="preserve"> </w:t>
            </w:r>
            <w:r w:rsidR="00C5298E">
              <w:rPr>
                <w:rFonts w:cs="Arial"/>
                <w:bCs/>
                <w:szCs w:val="22"/>
              </w:rPr>
              <w:t>ACACA</w:t>
            </w:r>
            <w:r>
              <w:rPr>
                <w:rFonts w:cs="Arial"/>
                <w:bCs/>
                <w:szCs w:val="22"/>
              </w:rPr>
              <w:t xml:space="preserve"> Chief Executive Officers meetings. </w:t>
            </w:r>
            <w:r w:rsidR="00BD1C52">
              <w:rPr>
                <w:rFonts w:cs="Arial"/>
                <w:bCs/>
                <w:szCs w:val="22"/>
              </w:rPr>
              <w:t>ACACA meet four times per year.</w:t>
            </w:r>
          </w:p>
          <w:p w:rsidR="008116E5" w:rsidRPr="00F24C68" w:rsidRDefault="009C7904" w:rsidP="00BD1C52">
            <w:pPr>
              <w:spacing w:after="120"/>
              <w:cnfStyle w:val="000000100000" w:firstRow="0" w:lastRow="0" w:firstColumn="0" w:lastColumn="0" w:oddVBand="0" w:evenVBand="0" w:oddHBand="1" w:evenHBand="0" w:firstRowFirstColumn="0" w:firstRowLastColumn="0" w:lastRowFirstColumn="0" w:lastRowLastColumn="0"/>
            </w:pPr>
            <w:r>
              <w:t>The key items discussed at the meeting</w:t>
            </w:r>
            <w:r w:rsidR="00E9141C">
              <w:t>s</w:t>
            </w:r>
            <w:r>
              <w:t xml:space="preserve"> held on 5 March </w:t>
            </w:r>
            <w:r w:rsidR="00E9141C">
              <w:t xml:space="preserve">and 21 May </w:t>
            </w:r>
            <w:r>
              <w:t xml:space="preserve">2021 included: updates on senior secondary certification; transnational school education; tertiary entrance admission; </w:t>
            </w:r>
            <w:r w:rsidR="00BD1C52">
              <w:t>l</w:t>
            </w:r>
            <w:r>
              <w:t>ife and career skills develop</w:t>
            </w:r>
            <w:r w:rsidR="00E9141C">
              <w:t xml:space="preserve">ment among </w:t>
            </w:r>
            <w:r w:rsidR="00BD1C52">
              <w:t>Y</w:t>
            </w:r>
            <w:r w:rsidR="00E9141C">
              <w:t xml:space="preserve">ear 12 students, </w:t>
            </w:r>
            <w:r>
              <w:t>vo</w:t>
            </w:r>
            <w:r w:rsidR="00E9141C">
              <w:t>cational education and training and the learner profile project.</w:t>
            </w:r>
          </w:p>
        </w:tc>
      </w:tr>
      <w:tr w:rsidR="009C7904" w:rsidTr="00791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9C7904" w:rsidRDefault="009C7904" w:rsidP="009C7904">
            <w:r>
              <w:t>8.2</w:t>
            </w:r>
          </w:p>
        </w:tc>
        <w:tc>
          <w:tcPr>
            <w:tcW w:w="3351" w:type="dxa"/>
            <w:shd w:val="clear" w:color="auto" w:fill="auto"/>
          </w:tcPr>
          <w:p w:rsidR="009C7904" w:rsidRDefault="009C7904" w:rsidP="009C7904">
            <w:pPr>
              <w:cnfStyle w:val="000000010000" w:firstRow="0" w:lastRow="0" w:firstColumn="0" w:lastColumn="0" w:oddVBand="0" w:evenVBand="0" w:oddHBand="0" w:evenHBand="1" w:firstRowFirstColumn="0" w:firstRowLastColumn="0" w:lastRowFirstColumn="0" w:lastRowLastColumn="0"/>
            </w:pPr>
            <w:r>
              <w:t>ACARA report</w:t>
            </w:r>
          </w:p>
        </w:tc>
        <w:tc>
          <w:tcPr>
            <w:tcW w:w="11186" w:type="dxa"/>
            <w:shd w:val="clear" w:color="auto" w:fill="auto"/>
          </w:tcPr>
          <w:p w:rsidR="009C7904" w:rsidRDefault="009C7904" w:rsidP="009C7904">
            <w:pPr>
              <w:pStyle w:val="Default"/>
              <w:spacing w:after="12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Ms Leanne Nixon, </w:t>
            </w:r>
            <w:r w:rsidR="00BD1C52">
              <w:rPr>
                <w:sz w:val="22"/>
                <w:szCs w:val="22"/>
              </w:rPr>
              <w:t>former</w:t>
            </w:r>
            <w:r>
              <w:rPr>
                <w:sz w:val="22"/>
                <w:szCs w:val="22"/>
              </w:rPr>
              <w:t xml:space="preserve"> Deputy Chief Executive Department of Education remains the NT representative on the </w:t>
            </w:r>
            <w:r w:rsidR="00276B47">
              <w:rPr>
                <w:sz w:val="22"/>
                <w:szCs w:val="22"/>
              </w:rPr>
              <w:t>ACARA</w:t>
            </w:r>
            <w:r>
              <w:rPr>
                <w:sz w:val="22"/>
                <w:szCs w:val="22"/>
              </w:rPr>
              <w:t xml:space="preserve"> Board. Ms Nixon has taken up the position of Deputy Secretary, School Performance (North) with the </w:t>
            </w:r>
            <w:r w:rsidR="00C5298E">
              <w:rPr>
                <w:sz w:val="22"/>
                <w:szCs w:val="22"/>
              </w:rPr>
              <w:t>New South Wales</w:t>
            </w:r>
            <w:r>
              <w:rPr>
                <w:sz w:val="22"/>
                <w:szCs w:val="22"/>
              </w:rPr>
              <w:t xml:space="preserve"> Department of Education.</w:t>
            </w:r>
          </w:p>
          <w:p w:rsidR="009C7904" w:rsidRDefault="00C5298E" w:rsidP="009C7904">
            <w:pPr>
              <w:pStyle w:val="Default"/>
              <w:spacing w:after="12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The ACARA Board met on </w:t>
            </w:r>
            <w:r w:rsidR="009C7904">
              <w:rPr>
                <w:sz w:val="22"/>
                <w:szCs w:val="22"/>
              </w:rPr>
              <w:t>23 April 2021.</w:t>
            </w:r>
          </w:p>
          <w:p w:rsidR="009C7904" w:rsidRDefault="009C7904" w:rsidP="009C7904">
            <w:pPr>
              <w:pStyle w:val="Default"/>
              <w:spacing w:after="12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Key items from that meeting were the ACARA Board Cultural Responsiveness Training, Australian Curriculum Review communications update, potential further enhancements to NAPLAN and NAPLAN 2021 Readiness update.</w:t>
            </w:r>
          </w:p>
          <w:p w:rsidR="00000CE8" w:rsidRPr="00000CE8" w:rsidRDefault="00000CE8" w:rsidP="009C7904">
            <w:pPr>
              <w:pStyle w:val="Default"/>
              <w:spacing w:after="120"/>
              <w:cnfStyle w:val="000000010000" w:firstRow="0" w:lastRow="0" w:firstColumn="0" w:lastColumn="0" w:oddVBand="0" w:evenVBand="0" w:oddHBand="0" w:evenHBand="1" w:firstRowFirstColumn="0" w:firstRowLastColumn="0" w:lastRowFirstColumn="0" w:lastRowLastColumn="0"/>
              <w:rPr>
                <w:b/>
                <w:sz w:val="22"/>
                <w:szCs w:val="22"/>
              </w:rPr>
            </w:pPr>
            <w:r w:rsidRPr="00000CE8">
              <w:rPr>
                <w:b/>
                <w:sz w:val="22"/>
                <w:szCs w:val="22"/>
              </w:rPr>
              <w:t>Action:</w:t>
            </w:r>
          </w:p>
          <w:p w:rsidR="00000CE8" w:rsidRPr="00F24C68" w:rsidRDefault="00000CE8" w:rsidP="009C7904">
            <w:pPr>
              <w:pStyle w:val="Default"/>
              <w:spacing w:after="12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Ms Sally Hodgson, General Manager Quality Teaching and Learning undertook to ascertain from Ms Nixon a timeframe/date as to when the ACARA Board Cultural Responsiveness Training will commence.</w:t>
            </w:r>
          </w:p>
        </w:tc>
      </w:tr>
      <w:tr w:rsidR="009C7904" w:rsidTr="00791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9C7904" w:rsidRDefault="009C7904" w:rsidP="009C7904">
            <w:r>
              <w:t>8.3</w:t>
            </w:r>
          </w:p>
        </w:tc>
        <w:tc>
          <w:tcPr>
            <w:tcW w:w="3351" w:type="dxa"/>
          </w:tcPr>
          <w:p w:rsidR="009C7904" w:rsidRDefault="009C7904" w:rsidP="009C7904">
            <w:pPr>
              <w:cnfStyle w:val="000000100000" w:firstRow="0" w:lastRow="0" w:firstColumn="0" w:lastColumn="0" w:oddVBand="0" w:evenVBand="0" w:oddHBand="1" w:evenHBand="0" w:firstRowFirstColumn="0" w:firstRowLastColumn="0" w:lastRowFirstColumn="0" w:lastRowLastColumn="0"/>
            </w:pPr>
            <w:r>
              <w:t>Employment Pathways Realignment in 2021</w:t>
            </w:r>
          </w:p>
        </w:tc>
        <w:tc>
          <w:tcPr>
            <w:tcW w:w="11186" w:type="dxa"/>
          </w:tcPr>
          <w:p w:rsidR="009C7904" w:rsidRDefault="009C7904" w:rsidP="009C7904">
            <w:pPr>
              <w:pStyle w:val="Default"/>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Employment Pathways started as a project under the Indigenous Education Strategy that began implementation in Semester 2, 2016. On 11 November 2016, the </w:t>
            </w:r>
            <w:r w:rsidR="00C5298E">
              <w:rPr>
                <w:sz w:val="22"/>
                <w:szCs w:val="22"/>
              </w:rPr>
              <w:t>NTBOS</w:t>
            </w:r>
            <w:r>
              <w:rPr>
                <w:sz w:val="22"/>
                <w:szCs w:val="22"/>
              </w:rPr>
              <w:t xml:space="preserve"> endorsed Employment Pathways as an approved alternative curriculum for secondary students. The curriculum included a </w:t>
            </w:r>
            <w:r w:rsidR="00C5298E">
              <w:rPr>
                <w:sz w:val="22"/>
                <w:szCs w:val="22"/>
              </w:rPr>
              <w:t>c</w:t>
            </w:r>
            <w:r>
              <w:rPr>
                <w:sz w:val="22"/>
                <w:szCs w:val="22"/>
              </w:rPr>
              <w:t xml:space="preserve">ertificate of completion for Year 12 leavers and a </w:t>
            </w:r>
            <w:r w:rsidR="00C5298E">
              <w:rPr>
                <w:sz w:val="22"/>
                <w:szCs w:val="22"/>
              </w:rPr>
              <w:t>s</w:t>
            </w:r>
            <w:r>
              <w:rPr>
                <w:sz w:val="22"/>
                <w:szCs w:val="22"/>
              </w:rPr>
              <w:t xml:space="preserve">tatement of </w:t>
            </w:r>
            <w:r w:rsidR="00C5298E">
              <w:rPr>
                <w:sz w:val="22"/>
                <w:szCs w:val="22"/>
              </w:rPr>
              <w:t>a</w:t>
            </w:r>
            <w:r>
              <w:rPr>
                <w:sz w:val="22"/>
                <w:szCs w:val="22"/>
              </w:rPr>
              <w:t>chievement to record outcomes.</w:t>
            </w:r>
          </w:p>
          <w:p w:rsidR="009C7904" w:rsidRDefault="009C7904" w:rsidP="009C7904">
            <w:pPr>
              <w:pStyle w:val="Default"/>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 June 2020</w:t>
            </w:r>
            <w:r w:rsidR="00C5298E">
              <w:rPr>
                <w:sz w:val="22"/>
                <w:szCs w:val="22"/>
              </w:rPr>
              <w:t>,</w:t>
            </w:r>
            <w:r>
              <w:rPr>
                <w:sz w:val="22"/>
                <w:szCs w:val="22"/>
              </w:rPr>
              <w:t xml:space="preserve"> the Australian Government released the </w:t>
            </w:r>
            <w:r w:rsidRPr="006A1028">
              <w:rPr>
                <w:i/>
                <w:sz w:val="22"/>
                <w:szCs w:val="22"/>
              </w:rPr>
              <w:t>Looking to the Future report of the review of senior secondary pathways into work, further education and training</w:t>
            </w:r>
            <w:r>
              <w:rPr>
                <w:sz w:val="22"/>
                <w:szCs w:val="22"/>
              </w:rPr>
              <w:t xml:space="preserve">. One of the recommendations was </w:t>
            </w:r>
            <w:r w:rsidR="00C5298E">
              <w:rPr>
                <w:sz w:val="22"/>
                <w:szCs w:val="22"/>
              </w:rPr>
              <w:t xml:space="preserve">to develop </w:t>
            </w:r>
            <w:r>
              <w:rPr>
                <w:sz w:val="22"/>
                <w:szCs w:val="22"/>
              </w:rPr>
              <w:t>one certificate for all.</w:t>
            </w:r>
          </w:p>
          <w:p w:rsidR="009C7904" w:rsidRDefault="009C7904" w:rsidP="009C7904">
            <w:pPr>
              <w:pStyle w:val="Default"/>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 2021, the </w:t>
            </w:r>
            <w:r w:rsidRPr="006644F9">
              <w:rPr>
                <w:i/>
                <w:sz w:val="22"/>
                <w:szCs w:val="22"/>
              </w:rPr>
              <w:t>Secondary Education Roadmap</w:t>
            </w:r>
            <w:r>
              <w:rPr>
                <w:sz w:val="22"/>
                <w:szCs w:val="22"/>
              </w:rPr>
              <w:t xml:space="preserve"> is focused on meeting minimum literacy, numeracy and digital literacy requirements, careers and VET delivered to secondary students, industry partnerships and one certificate – the NTCET.</w:t>
            </w:r>
          </w:p>
          <w:p w:rsidR="003F3581" w:rsidRDefault="003F3581" w:rsidP="009C7904">
            <w:pPr>
              <w:pStyle w:val="Default"/>
              <w:spacing w:after="120"/>
              <w:cnfStyle w:val="000000100000" w:firstRow="0" w:lastRow="0" w:firstColumn="0" w:lastColumn="0" w:oddVBand="0" w:evenVBand="0" w:oddHBand="1" w:evenHBand="0" w:firstRowFirstColumn="0" w:firstRowLastColumn="0" w:lastRowFirstColumn="0" w:lastRowLastColumn="0"/>
              <w:rPr>
                <w:b/>
                <w:sz w:val="22"/>
                <w:szCs w:val="22"/>
              </w:rPr>
            </w:pPr>
            <w:r>
              <w:rPr>
                <w:b/>
                <w:sz w:val="22"/>
                <w:szCs w:val="22"/>
              </w:rPr>
              <w:t>Action:</w:t>
            </w:r>
          </w:p>
          <w:p w:rsidR="003F3581" w:rsidRPr="00AB424C" w:rsidRDefault="00400A0C" w:rsidP="00C5298E">
            <w:pPr>
              <w:pStyle w:val="Default"/>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A presentation </w:t>
            </w:r>
            <w:r w:rsidR="003F3581" w:rsidRPr="00000CE8">
              <w:rPr>
                <w:sz w:val="22"/>
                <w:szCs w:val="22"/>
              </w:rPr>
              <w:t>out</w:t>
            </w:r>
            <w:r w:rsidR="00C7331E">
              <w:rPr>
                <w:sz w:val="22"/>
                <w:szCs w:val="22"/>
              </w:rPr>
              <w:t>lining</w:t>
            </w:r>
            <w:r w:rsidR="00000CE8" w:rsidRPr="00000CE8">
              <w:rPr>
                <w:sz w:val="22"/>
                <w:szCs w:val="22"/>
              </w:rPr>
              <w:t xml:space="preserve"> </w:t>
            </w:r>
            <w:r w:rsidR="00C5298E">
              <w:rPr>
                <w:sz w:val="22"/>
                <w:szCs w:val="22"/>
              </w:rPr>
              <w:t>current actions will</w:t>
            </w:r>
            <w:r>
              <w:rPr>
                <w:sz w:val="22"/>
                <w:szCs w:val="22"/>
              </w:rPr>
              <w:t xml:space="preserve"> be provided at the August 2021 meeting.</w:t>
            </w:r>
          </w:p>
        </w:tc>
      </w:tr>
      <w:tr w:rsidR="004C5F36" w:rsidTr="00791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4C5F36" w:rsidRDefault="004C5F36" w:rsidP="004C5F36">
            <w:r>
              <w:lastRenderedPageBreak/>
              <w:t>8.4</w:t>
            </w:r>
          </w:p>
        </w:tc>
        <w:tc>
          <w:tcPr>
            <w:tcW w:w="3351" w:type="dxa"/>
            <w:shd w:val="clear" w:color="auto" w:fill="auto"/>
          </w:tcPr>
          <w:p w:rsidR="004C5F36" w:rsidRPr="00F86D39" w:rsidRDefault="004C5F36" w:rsidP="004C5F36">
            <w:pPr>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Pr>
                <w:rFonts w:asciiTheme="minorHAnsi" w:hAnsiTheme="minorHAnsi"/>
                <w:szCs w:val="22"/>
              </w:rPr>
              <w:t>SACE Report</w:t>
            </w:r>
          </w:p>
        </w:tc>
        <w:tc>
          <w:tcPr>
            <w:tcW w:w="11186" w:type="dxa"/>
            <w:shd w:val="clear" w:color="auto" w:fill="auto"/>
          </w:tcPr>
          <w:p w:rsidR="004C5F36" w:rsidRDefault="004C5F36" w:rsidP="004C5F36">
            <w:pPr>
              <w:spacing w:after="120"/>
              <w:cnfStyle w:val="000000010000" w:firstRow="0" w:lastRow="0" w:firstColumn="0" w:lastColumn="0" w:oddVBand="0" w:evenVBand="0" w:oddHBand="0" w:evenHBand="1" w:firstRowFirstColumn="0" w:firstRowLastColumn="0" w:lastRowFirstColumn="0" w:lastRowLastColumn="0"/>
            </w:pPr>
            <w:r>
              <w:t>Mr Trevor Read is the Northern Territory representative on the South Australian Certificate of Education (SACE) Board. A report is provided post each SACE Board meeting to keep NT Board of Studies members up to dat</w:t>
            </w:r>
            <w:r w:rsidR="00C5298E">
              <w:t>e on issues that are occurring.</w:t>
            </w:r>
          </w:p>
          <w:p w:rsidR="00710974" w:rsidRPr="002933E6" w:rsidRDefault="004C5F36" w:rsidP="001D31AE">
            <w:pPr>
              <w:spacing w:after="120"/>
              <w:cnfStyle w:val="000000010000" w:firstRow="0" w:lastRow="0" w:firstColumn="0" w:lastColumn="0" w:oddVBand="0" w:evenVBand="0" w:oddHBand="0" w:evenHBand="1" w:firstRowFirstColumn="0" w:firstRowLastColumn="0" w:lastRowFirstColumn="0" w:lastRowLastColumn="0"/>
            </w:pPr>
            <w:r>
              <w:t>The following was discusse</w:t>
            </w:r>
            <w:r w:rsidR="00710974">
              <w:t xml:space="preserve">d at the May SACE Board meeting - </w:t>
            </w:r>
            <w:r w:rsidRPr="00710974">
              <w:t>SACE Governance Review 2021</w:t>
            </w:r>
            <w:r w:rsidR="00710974">
              <w:t xml:space="preserve">, </w:t>
            </w:r>
            <w:r w:rsidRPr="00710974">
              <w:t>Aboriginal Education – Recognition of Cultural Learning</w:t>
            </w:r>
            <w:r w:rsidR="00710974">
              <w:t xml:space="preserve">, </w:t>
            </w:r>
            <w:r w:rsidR="001D31AE">
              <w:t>u</w:t>
            </w:r>
            <w:r w:rsidRPr="00710974">
              <w:t xml:space="preserve">niversity </w:t>
            </w:r>
            <w:r w:rsidR="001D31AE">
              <w:t>e</w:t>
            </w:r>
            <w:r w:rsidRPr="00710974">
              <w:t>ntrance</w:t>
            </w:r>
            <w:r w:rsidR="00710974">
              <w:t xml:space="preserve">, </w:t>
            </w:r>
            <w:r w:rsidRPr="00710974">
              <w:t>SACE Board member renewal</w:t>
            </w:r>
            <w:r w:rsidR="00710974">
              <w:t xml:space="preserve">, </w:t>
            </w:r>
            <w:r w:rsidR="001D31AE">
              <w:t>r</w:t>
            </w:r>
            <w:r w:rsidRPr="00710974">
              <w:t>esearch on gender and school achievement</w:t>
            </w:r>
            <w:r w:rsidR="00710974">
              <w:t xml:space="preserve">, </w:t>
            </w:r>
            <w:r w:rsidRPr="00710974">
              <w:t>SACE International Program</w:t>
            </w:r>
            <w:r w:rsidR="00710974">
              <w:t xml:space="preserve">, </w:t>
            </w:r>
            <w:r w:rsidRPr="00710974">
              <w:t>SACE Year 12 results</w:t>
            </w:r>
            <w:r w:rsidR="00710974">
              <w:t xml:space="preserve"> and SACE Board meeting in </w:t>
            </w:r>
            <w:r w:rsidRPr="00710974">
              <w:t>Darwin</w:t>
            </w:r>
            <w:r w:rsidR="001D31AE">
              <w:t>,</w:t>
            </w:r>
            <w:r w:rsidRPr="00710974">
              <w:t xml:space="preserve"> August 2021</w:t>
            </w:r>
            <w:r w:rsidR="002933E6">
              <w:t>.</w:t>
            </w:r>
          </w:p>
        </w:tc>
      </w:tr>
      <w:tr w:rsidR="009C7904" w:rsidTr="00791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BFBFBF" w:themeFill="background1" w:themeFillShade="BF"/>
          </w:tcPr>
          <w:p w:rsidR="009C7904" w:rsidRPr="00127620" w:rsidRDefault="009C7904" w:rsidP="009C7904">
            <w:pPr>
              <w:rPr>
                <w:b/>
              </w:rPr>
            </w:pPr>
            <w:r w:rsidRPr="00127620">
              <w:rPr>
                <w:b/>
              </w:rPr>
              <w:t>9</w:t>
            </w:r>
          </w:p>
        </w:tc>
        <w:tc>
          <w:tcPr>
            <w:tcW w:w="3351" w:type="dxa"/>
            <w:shd w:val="clear" w:color="auto" w:fill="BFBFBF" w:themeFill="background1" w:themeFillShade="BF"/>
          </w:tcPr>
          <w:p w:rsidR="009C7904" w:rsidRPr="00127620" w:rsidRDefault="009C7904" w:rsidP="009C7904">
            <w:pPr>
              <w:cnfStyle w:val="000000100000" w:firstRow="0" w:lastRow="0" w:firstColumn="0" w:lastColumn="0" w:oddVBand="0" w:evenVBand="0" w:oddHBand="1" w:evenHBand="0" w:firstRowFirstColumn="0" w:firstRowLastColumn="0" w:lastRowFirstColumn="0" w:lastRowLastColumn="0"/>
              <w:rPr>
                <w:b/>
              </w:rPr>
            </w:pPr>
            <w:r w:rsidRPr="00127620">
              <w:rPr>
                <w:b/>
              </w:rPr>
              <w:t>General Business</w:t>
            </w:r>
          </w:p>
        </w:tc>
        <w:tc>
          <w:tcPr>
            <w:tcW w:w="11186" w:type="dxa"/>
            <w:shd w:val="clear" w:color="auto" w:fill="BFBFBF" w:themeFill="background1" w:themeFillShade="BF"/>
          </w:tcPr>
          <w:p w:rsidR="009C7904" w:rsidRDefault="009C7904" w:rsidP="009C7904">
            <w:pPr>
              <w:cnfStyle w:val="000000100000" w:firstRow="0" w:lastRow="0" w:firstColumn="0" w:lastColumn="0" w:oddVBand="0" w:evenVBand="0" w:oddHBand="1" w:evenHBand="0" w:firstRowFirstColumn="0" w:firstRowLastColumn="0" w:lastRowFirstColumn="0" w:lastRowLastColumn="0"/>
            </w:pPr>
          </w:p>
        </w:tc>
      </w:tr>
      <w:tr w:rsidR="009C7904" w:rsidTr="00791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auto"/>
          </w:tcPr>
          <w:p w:rsidR="009C7904" w:rsidRDefault="009C7904" w:rsidP="009C7904">
            <w:pPr>
              <w:jc w:val="right"/>
            </w:pPr>
            <w:r>
              <w:t>9.1</w:t>
            </w:r>
          </w:p>
        </w:tc>
        <w:tc>
          <w:tcPr>
            <w:tcW w:w="3351" w:type="dxa"/>
            <w:shd w:val="clear" w:color="auto" w:fill="auto"/>
          </w:tcPr>
          <w:p w:rsidR="002E5160" w:rsidRDefault="002E5160" w:rsidP="009C7904">
            <w:pPr>
              <w:tabs>
                <w:tab w:val="left" w:pos="4428"/>
              </w:tabs>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2E5160">
              <w:rPr>
                <w:rFonts w:asciiTheme="minorHAnsi" w:hAnsiTheme="minorHAnsi"/>
                <w:b/>
                <w:szCs w:val="22"/>
              </w:rPr>
              <w:t>Update</w:t>
            </w:r>
            <w:r>
              <w:rPr>
                <w:rFonts w:asciiTheme="minorHAnsi" w:hAnsiTheme="minorHAnsi"/>
                <w:szCs w:val="22"/>
              </w:rPr>
              <w:t>:</w:t>
            </w:r>
          </w:p>
          <w:p w:rsidR="009C7904" w:rsidRPr="0010242B" w:rsidRDefault="009C7904" w:rsidP="002E5160">
            <w:pPr>
              <w:tabs>
                <w:tab w:val="left" w:pos="4428"/>
              </w:tabs>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Pr>
                <w:rFonts w:asciiTheme="minorHAnsi" w:hAnsiTheme="minorHAnsi"/>
                <w:szCs w:val="22"/>
              </w:rPr>
              <w:t xml:space="preserve">SACE / NT Board </w:t>
            </w:r>
            <w:r w:rsidR="00710974">
              <w:rPr>
                <w:rFonts w:asciiTheme="minorHAnsi" w:hAnsiTheme="minorHAnsi"/>
                <w:szCs w:val="22"/>
              </w:rPr>
              <w:t xml:space="preserve">joint </w:t>
            </w:r>
            <w:r w:rsidR="002E5160">
              <w:rPr>
                <w:rFonts w:asciiTheme="minorHAnsi" w:hAnsiTheme="minorHAnsi"/>
                <w:szCs w:val="22"/>
              </w:rPr>
              <w:t xml:space="preserve">meeting </w:t>
            </w:r>
          </w:p>
        </w:tc>
        <w:tc>
          <w:tcPr>
            <w:tcW w:w="11186" w:type="dxa"/>
            <w:shd w:val="clear" w:color="auto" w:fill="auto"/>
          </w:tcPr>
          <w:p w:rsidR="009C7904" w:rsidRDefault="009C7904" w:rsidP="009C7904">
            <w:pPr>
              <w:spacing w:after="120"/>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Professor Martin </w:t>
            </w:r>
            <w:proofErr w:type="spellStart"/>
            <w:r>
              <w:rPr>
                <w:rFonts w:cs="Arial"/>
              </w:rPr>
              <w:t>Westwell</w:t>
            </w:r>
            <w:proofErr w:type="spellEnd"/>
            <w:r>
              <w:rPr>
                <w:rFonts w:cs="Arial"/>
              </w:rPr>
              <w:t>, Chief Executive of the SACE Board</w:t>
            </w:r>
            <w:r w:rsidR="001D31AE">
              <w:rPr>
                <w:rFonts w:cs="Arial"/>
              </w:rPr>
              <w:t>, has indicated that the</w:t>
            </w:r>
            <w:r>
              <w:rPr>
                <w:rFonts w:cs="Arial"/>
              </w:rPr>
              <w:t xml:space="preserve"> </w:t>
            </w:r>
            <w:r w:rsidR="00710974">
              <w:rPr>
                <w:rFonts w:cs="Arial"/>
              </w:rPr>
              <w:t>26</w:t>
            </w:r>
            <w:r w:rsidR="007769CD">
              <w:rPr>
                <w:rFonts w:cs="Arial"/>
              </w:rPr>
              <w:t xml:space="preserve"> August 2021</w:t>
            </w:r>
            <w:r w:rsidR="002E5160">
              <w:rPr>
                <w:rFonts w:cs="Arial"/>
              </w:rPr>
              <w:t xml:space="preserve"> </w:t>
            </w:r>
            <w:r w:rsidR="001D31AE">
              <w:rPr>
                <w:rFonts w:cs="Arial"/>
              </w:rPr>
              <w:t>SACE B</w:t>
            </w:r>
            <w:r w:rsidR="002E5160">
              <w:rPr>
                <w:rFonts w:cs="Arial"/>
              </w:rPr>
              <w:t>oard meeting will be held in Darwin.</w:t>
            </w:r>
          </w:p>
          <w:p w:rsidR="009C7904" w:rsidRDefault="002E5160" w:rsidP="009C7904">
            <w:pPr>
              <w:spacing w:after="120"/>
              <w:cnfStyle w:val="000000010000" w:firstRow="0" w:lastRow="0" w:firstColumn="0" w:lastColumn="0" w:oddVBand="0" w:evenVBand="0" w:oddHBand="0" w:evenHBand="1" w:firstRowFirstColumn="0" w:firstRowLastColumn="0" w:lastRowFirstColumn="0" w:lastRowLastColumn="0"/>
              <w:rPr>
                <w:rFonts w:cs="Arial"/>
              </w:rPr>
            </w:pPr>
            <w:r>
              <w:rPr>
                <w:rFonts w:cs="Arial"/>
              </w:rPr>
              <w:t>A</w:t>
            </w:r>
            <w:r w:rsidR="009C7904">
              <w:rPr>
                <w:rFonts w:cs="Arial"/>
              </w:rPr>
              <w:t xml:space="preserve">ll SACE </w:t>
            </w:r>
            <w:r w:rsidR="001D31AE">
              <w:rPr>
                <w:rFonts w:cs="Arial"/>
              </w:rPr>
              <w:t>B</w:t>
            </w:r>
            <w:r w:rsidR="009C7904">
              <w:rPr>
                <w:rFonts w:cs="Arial"/>
              </w:rPr>
              <w:t>oard members</w:t>
            </w:r>
            <w:r w:rsidR="001D31AE">
              <w:rPr>
                <w:rFonts w:cs="Arial"/>
              </w:rPr>
              <w:t>’</w:t>
            </w:r>
            <w:r w:rsidR="009C7904">
              <w:rPr>
                <w:rFonts w:cs="Arial"/>
              </w:rPr>
              <w:t xml:space="preserve"> </w:t>
            </w:r>
            <w:r>
              <w:rPr>
                <w:rFonts w:cs="Arial"/>
              </w:rPr>
              <w:t xml:space="preserve">terms of office </w:t>
            </w:r>
            <w:r w:rsidR="009C7904">
              <w:rPr>
                <w:rFonts w:cs="Arial"/>
              </w:rPr>
              <w:t>expire on 30 June 2021</w:t>
            </w:r>
            <w:r>
              <w:rPr>
                <w:rFonts w:cs="Arial"/>
              </w:rPr>
              <w:t xml:space="preserve">. </w:t>
            </w:r>
            <w:r w:rsidR="00B85CB5">
              <w:rPr>
                <w:rFonts w:cs="Arial"/>
              </w:rPr>
              <w:t xml:space="preserve">Advice </w:t>
            </w:r>
            <w:r w:rsidR="001D31AE">
              <w:rPr>
                <w:rFonts w:cs="Arial"/>
              </w:rPr>
              <w:t>about</w:t>
            </w:r>
            <w:r w:rsidR="009C7904">
              <w:rPr>
                <w:rFonts w:cs="Arial"/>
              </w:rPr>
              <w:t xml:space="preserve"> arrangements </w:t>
            </w:r>
            <w:r w:rsidR="00B85CB5">
              <w:rPr>
                <w:rFonts w:cs="Arial"/>
              </w:rPr>
              <w:t>for the Darwin meeting will</w:t>
            </w:r>
            <w:r w:rsidR="009C7904">
              <w:rPr>
                <w:rFonts w:cs="Arial"/>
              </w:rPr>
              <w:t xml:space="preserve"> </w:t>
            </w:r>
            <w:r w:rsidR="00B85CB5">
              <w:rPr>
                <w:rFonts w:cs="Arial"/>
              </w:rPr>
              <w:t>be provided once the</w:t>
            </w:r>
            <w:r w:rsidR="009C7904">
              <w:rPr>
                <w:rFonts w:cs="Arial"/>
              </w:rPr>
              <w:t xml:space="preserve"> new board has been officially appointed.</w:t>
            </w:r>
          </w:p>
          <w:p w:rsidR="00A37124" w:rsidRDefault="009E4DE2" w:rsidP="009C7904">
            <w:pPr>
              <w:spacing w:after="120"/>
              <w:cnfStyle w:val="000000010000" w:firstRow="0" w:lastRow="0" w:firstColumn="0" w:lastColumn="0" w:oddVBand="0" w:evenVBand="0" w:oddHBand="0" w:evenHBand="1" w:firstRowFirstColumn="0" w:firstRowLastColumn="0" w:lastRowFirstColumn="0" w:lastRowLastColumn="0"/>
              <w:rPr>
                <w:rFonts w:cs="Arial"/>
                <w:b/>
              </w:rPr>
            </w:pPr>
            <w:r>
              <w:rPr>
                <w:rFonts w:cs="Arial"/>
                <w:b/>
              </w:rPr>
              <w:t>Action</w:t>
            </w:r>
            <w:r w:rsidR="00710974">
              <w:rPr>
                <w:rFonts w:cs="Arial"/>
                <w:b/>
              </w:rPr>
              <w:t>s</w:t>
            </w:r>
            <w:r>
              <w:rPr>
                <w:rFonts w:cs="Arial"/>
                <w:b/>
              </w:rPr>
              <w:t>:</w:t>
            </w:r>
          </w:p>
          <w:p w:rsidR="002933E6" w:rsidRDefault="002933E6" w:rsidP="00710974">
            <w:pPr>
              <w:pStyle w:val="ListParagraph"/>
              <w:numPr>
                <w:ilvl w:val="0"/>
                <w:numId w:val="27"/>
              </w:numPr>
              <w:spacing w:after="40"/>
              <w:cnfStyle w:val="000000010000" w:firstRow="0" w:lastRow="0" w:firstColumn="0" w:lastColumn="0" w:oddVBand="0" w:evenVBand="0" w:oddHBand="0" w:evenHBand="1" w:firstRowFirstColumn="0" w:firstRowLastColumn="0" w:lastRowFirstColumn="0" w:lastRowLastColumn="0"/>
              <w:rPr>
                <w:rFonts w:cs="Arial"/>
              </w:rPr>
            </w:pPr>
            <w:r>
              <w:rPr>
                <w:rFonts w:cs="Arial"/>
              </w:rPr>
              <w:t>Board</w:t>
            </w:r>
            <w:r w:rsidRPr="00710974">
              <w:rPr>
                <w:rFonts w:cs="Arial"/>
              </w:rPr>
              <w:t xml:space="preserve"> members to ensure the date of </w:t>
            </w:r>
            <w:r>
              <w:rPr>
                <w:rFonts w:cs="Arial"/>
              </w:rPr>
              <w:t>Thursday 26</w:t>
            </w:r>
            <w:r w:rsidRPr="00710974">
              <w:rPr>
                <w:rFonts w:cs="Arial"/>
              </w:rPr>
              <w:t xml:space="preserve"> August 2021 is in their diaries</w:t>
            </w:r>
            <w:r>
              <w:rPr>
                <w:rFonts w:cs="Arial"/>
              </w:rPr>
              <w:t>.</w:t>
            </w:r>
          </w:p>
          <w:p w:rsidR="00710974" w:rsidRDefault="00710974" w:rsidP="00710974">
            <w:pPr>
              <w:pStyle w:val="ListParagraph"/>
              <w:numPr>
                <w:ilvl w:val="0"/>
                <w:numId w:val="27"/>
              </w:numPr>
              <w:spacing w:after="40"/>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Board members to email Executive Officer any items </w:t>
            </w:r>
            <w:r w:rsidR="001D31AE">
              <w:rPr>
                <w:rFonts w:cs="Arial"/>
              </w:rPr>
              <w:t>for</w:t>
            </w:r>
            <w:r>
              <w:rPr>
                <w:rFonts w:cs="Arial"/>
              </w:rPr>
              <w:t xml:space="preserve"> the joint agenda.</w:t>
            </w:r>
          </w:p>
          <w:p w:rsidR="00A37124" w:rsidRPr="00710974" w:rsidRDefault="00710974" w:rsidP="001D31AE">
            <w:pPr>
              <w:pStyle w:val="ListParagraph"/>
              <w:numPr>
                <w:ilvl w:val="0"/>
                <w:numId w:val="27"/>
              </w:numPr>
              <w:ind w:left="714" w:hanging="357"/>
              <w:cnfStyle w:val="000000010000" w:firstRow="0" w:lastRow="0" w:firstColumn="0" w:lastColumn="0" w:oddVBand="0" w:evenVBand="0" w:oddHBand="0" w:evenHBand="1" w:firstRowFirstColumn="0" w:firstRowLastColumn="0" w:lastRowFirstColumn="0" w:lastRowLastColumn="0"/>
              <w:rPr>
                <w:rFonts w:cs="Arial"/>
              </w:rPr>
            </w:pPr>
            <w:r>
              <w:rPr>
                <w:rFonts w:cs="Arial"/>
              </w:rPr>
              <w:t>Minister for Education</w:t>
            </w:r>
            <w:r w:rsidR="00D50C4D">
              <w:rPr>
                <w:rFonts w:cs="Arial"/>
              </w:rPr>
              <w:t xml:space="preserve"> to be </w:t>
            </w:r>
            <w:r w:rsidR="001D31AE">
              <w:rPr>
                <w:rFonts w:cs="Arial"/>
              </w:rPr>
              <w:t>invited</w:t>
            </w:r>
            <w:r w:rsidR="00400A0C">
              <w:rPr>
                <w:rFonts w:cs="Arial"/>
              </w:rPr>
              <w:t xml:space="preserve"> to the </w:t>
            </w:r>
            <w:r>
              <w:rPr>
                <w:rFonts w:cs="Arial"/>
              </w:rPr>
              <w:t>SACE</w:t>
            </w:r>
            <w:r w:rsidR="00D50C4D">
              <w:rPr>
                <w:rFonts w:cs="Arial"/>
              </w:rPr>
              <w:t xml:space="preserve"> Board meeting</w:t>
            </w:r>
            <w:r w:rsidR="0091767B">
              <w:rPr>
                <w:rFonts w:cs="Arial"/>
              </w:rPr>
              <w:t>.</w:t>
            </w:r>
          </w:p>
        </w:tc>
      </w:tr>
      <w:tr w:rsidR="009C7904" w:rsidTr="00791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9C7904" w:rsidRDefault="009C7904" w:rsidP="009C7904">
            <w:pPr>
              <w:jc w:val="right"/>
            </w:pPr>
            <w:r>
              <w:t>9.2</w:t>
            </w:r>
          </w:p>
        </w:tc>
        <w:tc>
          <w:tcPr>
            <w:tcW w:w="3351" w:type="dxa"/>
          </w:tcPr>
          <w:p w:rsidR="009C7904" w:rsidRDefault="009C7904" w:rsidP="009C7904">
            <w:pPr>
              <w:tabs>
                <w:tab w:val="left" w:pos="4428"/>
              </w:tabs>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Review of the Australian Curriculum T-10</w:t>
            </w:r>
          </w:p>
        </w:tc>
        <w:tc>
          <w:tcPr>
            <w:tcW w:w="11186" w:type="dxa"/>
          </w:tcPr>
          <w:p w:rsidR="009C7904" w:rsidRDefault="009C7904" w:rsidP="009C7904">
            <w:pPr>
              <w:spacing w:after="120"/>
              <w:cnfStyle w:val="000000100000" w:firstRow="0" w:lastRow="0" w:firstColumn="0" w:lastColumn="0" w:oddVBand="0" w:evenVBand="0" w:oddHBand="1" w:evenHBand="0" w:firstRowFirstColumn="0" w:firstRowLastColumn="0" w:lastRowFirstColumn="0" w:lastRowLastColumn="0"/>
              <w:rPr>
                <w:rFonts w:eastAsia="Times New Roman" w:cs="Segoe UI"/>
                <w:color w:val="141414"/>
                <w:szCs w:val="22"/>
                <w:lang w:val="en"/>
              </w:rPr>
            </w:pPr>
            <w:r>
              <w:rPr>
                <w:rFonts w:eastAsia="Times New Roman" w:cs="Segoe UI"/>
                <w:color w:val="141414"/>
                <w:szCs w:val="22"/>
                <w:lang w:val="en"/>
              </w:rPr>
              <w:t>ACARA is undertaking a review of the Australian Curriculum which will include refining, realigning and decluttering the content. The public consultation period for the review of the Australian Curriculum F-10 is currently open until Thursday 8 July 2021. Feedback can be provided through ACARA’s online survey.</w:t>
            </w:r>
          </w:p>
          <w:p w:rsidR="009C7904" w:rsidRPr="0001595F" w:rsidRDefault="009C7904" w:rsidP="00FE4F92">
            <w:pPr>
              <w:spacing w:after="120"/>
              <w:cnfStyle w:val="000000100000" w:firstRow="0" w:lastRow="0" w:firstColumn="0" w:lastColumn="0" w:oddVBand="0" w:evenVBand="0" w:oddHBand="1" w:evenHBand="0" w:firstRowFirstColumn="0" w:firstRowLastColumn="0" w:lastRowFirstColumn="0" w:lastRowLastColumn="0"/>
              <w:rPr>
                <w:rFonts w:eastAsia="Times New Roman" w:cs="Segoe UI"/>
                <w:color w:val="141414"/>
                <w:szCs w:val="22"/>
                <w:lang w:val="en"/>
              </w:rPr>
            </w:pPr>
            <w:r>
              <w:rPr>
                <w:rFonts w:eastAsia="Times New Roman" w:cs="Segoe UI"/>
                <w:color w:val="141414"/>
                <w:szCs w:val="22"/>
                <w:lang w:val="en"/>
              </w:rPr>
              <w:t>Members were encouraged to share th</w:t>
            </w:r>
            <w:r w:rsidR="00FE4F92">
              <w:rPr>
                <w:rFonts w:eastAsia="Times New Roman" w:cs="Segoe UI"/>
                <w:color w:val="141414"/>
                <w:szCs w:val="22"/>
                <w:lang w:val="en"/>
              </w:rPr>
              <w:t>is</w:t>
            </w:r>
            <w:r>
              <w:rPr>
                <w:rFonts w:eastAsia="Times New Roman" w:cs="Segoe UI"/>
                <w:color w:val="141414"/>
                <w:szCs w:val="22"/>
                <w:lang w:val="en"/>
              </w:rPr>
              <w:t xml:space="preserve"> information with their networks.</w:t>
            </w:r>
          </w:p>
        </w:tc>
      </w:tr>
      <w:tr w:rsidR="009C7904" w:rsidTr="007915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shd w:val="clear" w:color="auto" w:fill="BFBFBF" w:themeFill="background1" w:themeFillShade="BF"/>
          </w:tcPr>
          <w:p w:rsidR="009C7904" w:rsidRDefault="009C7904" w:rsidP="009C7904"/>
        </w:tc>
        <w:tc>
          <w:tcPr>
            <w:tcW w:w="3351" w:type="dxa"/>
            <w:shd w:val="clear" w:color="auto" w:fill="BFBFBF" w:themeFill="background1" w:themeFillShade="BF"/>
          </w:tcPr>
          <w:p w:rsidR="009C7904" w:rsidRPr="00694188" w:rsidRDefault="009C7904" w:rsidP="009C7904">
            <w:pPr>
              <w:cnfStyle w:val="000000010000" w:firstRow="0" w:lastRow="0" w:firstColumn="0" w:lastColumn="0" w:oddVBand="0" w:evenVBand="0" w:oddHBand="0" w:evenHBand="1" w:firstRowFirstColumn="0" w:firstRowLastColumn="0" w:lastRowFirstColumn="0" w:lastRowLastColumn="0"/>
              <w:rPr>
                <w:b/>
              </w:rPr>
            </w:pPr>
            <w:r w:rsidRPr="00694188">
              <w:rPr>
                <w:b/>
              </w:rPr>
              <w:t>Meeting closed</w:t>
            </w:r>
          </w:p>
        </w:tc>
        <w:tc>
          <w:tcPr>
            <w:tcW w:w="11186" w:type="dxa"/>
            <w:shd w:val="clear" w:color="auto" w:fill="BFBFBF" w:themeFill="background1" w:themeFillShade="BF"/>
          </w:tcPr>
          <w:p w:rsidR="009C7904" w:rsidRDefault="00F24C68" w:rsidP="001D31AE">
            <w:pPr>
              <w:cnfStyle w:val="000000010000" w:firstRow="0" w:lastRow="0" w:firstColumn="0" w:lastColumn="0" w:oddVBand="0" w:evenVBand="0" w:oddHBand="0" w:evenHBand="1" w:firstRowFirstColumn="0" w:firstRowLastColumn="0" w:lastRowFirstColumn="0" w:lastRowLastColumn="0"/>
            </w:pPr>
            <w:r>
              <w:t>2</w:t>
            </w:r>
            <w:r w:rsidR="001D31AE">
              <w:t>.</w:t>
            </w:r>
            <w:r w:rsidR="00EB7484">
              <w:t>30</w:t>
            </w:r>
            <w:r>
              <w:t xml:space="preserve"> pm</w:t>
            </w:r>
          </w:p>
        </w:tc>
      </w:tr>
      <w:tr w:rsidR="009C7904" w:rsidTr="007915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9C7904" w:rsidRDefault="009C7904" w:rsidP="009C7904"/>
        </w:tc>
        <w:tc>
          <w:tcPr>
            <w:tcW w:w="3351" w:type="dxa"/>
          </w:tcPr>
          <w:p w:rsidR="009C7904" w:rsidRPr="00694188" w:rsidRDefault="009C7904" w:rsidP="009C7904">
            <w:pPr>
              <w:cnfStyle w:val="000000100000" w:firstRow="0" w:lastRow="0" w:firstColumn="0" w:lastColumn="0" w:oddVBand="0" w:evenVBand="0" w:oddHBand="1" w:evenHBand="0" w:firstRowFirstColumn="0" w:firstRowLastColumn="0" w:lastRowFirstColumn="0" w:lastRowLastColumn="0"/>
              <w:rPr>
                <w:b/>
              </w:rPr>
            </w:pPr>
            <w:r w:rsidRPr="00694188">
              <w:rPr>
                <w:b/>
              </w:rPr>
              <w:t>Next meeting date</w:t>
            </w:r>
          </w:p>
        </w:tc>
        <w:tc>
          <w:tcPr>
            <w:tcW w:w="11186" w:type="dxa"/>
          </w:tcPr>
          <w:p w:rsidR="009C7904" w:rsidRDefault="009C7904" w:rsidP="009C7904">
            <w:pPr>
              <w:cnfStyle w:val="000000100000" w:firstRow="0" w:lastRow="0" w:firstColumn="0" w:lastColumn="0" w:oddVBand="0" w:evenVBand="0" w:oddHBand="1" w:evenHBand="0" w:firstRowFirstColumn="0" w:firstRowLastColumn="0" w:lastRowFirstColumn="0" w:lastRowLastColumn="0"/>
            </w:pPr>
            <w:r>
              <w:t>6 August 2021</w:t>
            </w:r>
          </w:p>
        </w:tc>
      </w:tr>
      <w:bookmarkEnd w:id="0"/>
    </w:tbl>
    <w:p w:rsidR="00491B08" w:rsidRDefault="00491B08" w:rsidP="00777666">
      <w:pPr>
        <w:rPr>
          <w:lang w:eastAsia="en-AU"/>
        </w:rPr>
      </w:pPr>
    </w:p>
    <w:sectPr w:rsidR="00491B08" w:rsidSect="00777666">
      <w:headerReference w:type="default" r:id="rId9"/>
      <w:footerReference w:type="default" r:id="rId10"/>
      <w:headerReference w:type="first" r:id="rId11"/>
      <w:footerReference w:type="first" r:id="rId12"/>
      <w:pgSz w:w="16838" w:h="11906" w:orient="landscape" w:code="9"/>
      <w:pgMar w:top="567" w:right="794" w:bottom="1560" w:left="794" w:header="426"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4B" w:rsidRDefault="00D3274B" w:rsidP="007332FF">
      <w:r>
        <w:separator/>
      </w:r>
    </w:p>
  </w:endnote>
  <w:endnote w:type="continuationSeparator" w:id="0">
    <w:p w:rsidR="00D3274B" w:rsidRDefault="00D3274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66" w:rsidRDefault="001A0C66" w:rsidP="00450636">
    <w:pPr>
      <w:spacing w:after="0"/>
    </w:pPr>
  </w:p>
  <w:tbl>
    <w:tblPr>
      <w:tblW w:w="15250"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5250"/>
    </w:tblGrid>
    <w:tr w:rsidR="001A0C66" w:rsidRPr="00132658" w:rsidTr="003226BC">
      <w:trPr>
        <w:cantSplit/>
        <w:trHeight w:hRule="exact" w:val="850"/>
      </w:trPr>
      <w:tc>
        <w:tcPr>
          <w:tcW w:w="15250" w:type="dxa"/>
          <w:vAlign w:val="bottom"/>
        </w:tcPr>
        <w:p w:rsidR="001A0C66" w:rsidRDefault="001A0C66" w:rsidP="00D47DC7">
          <w:pPr>
            <w:spacing w:after="0"/>
            <w:rPr>
              <w:rStyle w:val="PageNumber"/>
              <w:b/>
            </w:rPr>
          </w:pPr>
          <w:r>
            <w:rPr>
              <w:rStyle w:val="PageNumber"/>
            </w:rPr>
            <w:t>Northern Territory Board of Studies</w:t>
          </w:r>
        </w:p>
        <w:p w:rsidR="001A0C66" w:rsidRPr="00CE6614" w:rsidRDefault="00D3274B" w:rsidP="00D47DC7">
          <w:pPr>
            <w:spacing w:after="0"/>
            <w:rPr>
              <w:rStyle w:val="PageNumber"/>
            </w:rPr>
          </w:pPr>
          <w:sdt>
            <w:sdtPr>
              <w:rPr>
                <w:rStyle w:val="PageNumber"/>
              </w:rPr>
              <w:alias w:val="Date"/>
              <w:tag w:val=""/>
              <w:id w:val="1419452986"/>
              <w:dataBinding w:prefixMappings="xmlns:ns0='http://schemas.microsoft.com/office/2006/coverPageProps' " w:xpath="/ns0:CoverPageProperties[1]/ns0:PublishDate[1]" w:storeItemID="{55AF091B-3C7A-41E3-B477-F2FDAA23CFDA}"/>
              <w15:color w:val="000000"/>
              <w:date w:fullDate="2021-05-28T00:00:00Z">
                <w:dateFormat w:val="d MMMM yyyy"/>
                <w:lid w:val="en-AU"/>
                <w:storeMappedDataAs w:val="dateTime"/>
                <w:calendar w:val="gregorian"/>
              </w:date>
            </w:sdtPr>
            <w:sdtEndPr>
              <w:rPr>
                <w:rStyle w:val="PageNumber"/>
              </w:rPr>
            </w:sdtEndPr>
            <w:sdtContent>
              <w:r w:rsidR="001A0C66">
                <w:rPr>
                  <w:rStyle w:val="PageNumber"/>
                </w:rPr>
                <w:t>28 May 2021</w:t>
              </w:r>
            </w:sdtContent>
          </w:sdt>
        </w:p>
        <w:p w:rsidR="001A0C66" w:rsidRPr="00AC4488" w:rsidRDefault="001A0C66"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F70F0">
            <w:rPr>
              <w:rStyle w:val="PageNumber"/>
              <w:noProof/>
            </w:rPr>
            <w:t>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F70F0">
            <w:rPr>
              <w:rStyle w:val="PageNumber"/>
              <w:noProof/>
            </w:rPr>
            <w:t>8</w:t>
          </w:r>
          <w:r w:rsidRPr="00AC4488">
            <w:rPr>
              <w:rStyle w:val="PageNumber"/>
            </w:rPr>
            <w:fldChar w:fldCharType="end"/>
          </w:r>
        </w:p>
      </w:tc>
    </w:tr>
  </w:tbl>
  <w:p w:rsidR="001A0C66" w:rsidRPr="00B11C67" w:rsidRDefault="001A0C66"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66" w:rsidRDefault="001A0C66" w:rsidP="0071700C">
    <w:pPr>
      <w:spacing w:after="0"/>
    </w:pPr>
  </w:p>
  <w:tbl>
    <w:tblPr>
      <w:tblW w:w="15251"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12671"/>
      <w:gridCol w:w="2580"/>
    </w:tblGrid>
    <w:tr w:rsidR="001A0C66" w:rsidRPr="00132658" w:rsidTr="009254DC">
      <w:trPr>
        <w:cantSplit/>
        <w:trHeight w:hRule="exact" w:val="1134"/>
      </w:trPr>
      <w:tc>
        <w:tcPr>
          <w:tcW w:w="12671" w:type="dxa"/>
          <w:vAlign w:val="bottom"/>
        </w:tcPr>
        <w:p w:rsidR="001A0C66" w:rsidRDefault="001A0C66" w:rsidP="00D47DC7">
          <w:pPr>
            <w:spacing w:after="0"/>
            <w:rPr>
              <w:rStyle w:val="PageNumber"/>
              <w:b/>
            </w:rPr>
          </w:pPr>
          <w:r>
            <w:rPr>
              <w:rStyle w:val="PageNumber"/>
            </w:rPr>
            <w:t>Northern Territory Board of Studies</w:t>
          </w:r>
        </w:p>
        <w:p w:rsidR="001A0C66" w:rsidRPr="00CE6614" w:rsidRDefault="00D3274B" w:rsidP="00D47DC7">
          <w:pPr>
            <w:spacing w:after="0"/>
            <w:rPr>
              <w:rStyle w:val="PageNumber"/>
            </w:rPr>
          </w:pPr>
          <w:sdt>
            <w:sdtPr>
              <w:rPr>
                <w:rStyle w:val="PageNumber"/>
              </w:rPr>
              <w:alias w:val="Date"/>
              <w:tag w:val=""/>
              <w:id w:val="-1355577206"/>
              <w:dataBinding w:prefixMappings="xmlns:ns0='http://schemas.microsoft.com/office/2006/coverPageProps' " w:xpath="/ns0:CoverPageProperties[1]/ns0:PublishDate[1]" w:storeItemID="{55AF091B-3C7A-41E3-B477-F2FDAA23CFDA}"/>
              <w15:color w:val="000000"/>
              <w:date w:fullDate="2021-05-28T00:00:00Z">
                <w:dateFormat w:val="d MMMM yyyy"/>
                <w:lid w:val="en-AU"/>
                <w:storeMappedDataAs w:val="dateTime"/>
                <w:calendar w:val="gregorian"/>
              </w:date>
            </w:sdtPr>
            <w:sdtEndPr>
              <w:rPr>
                <w:rStyle w:val="PageNumber"/>
              </w:rPr>
            </w:sdtEndPr>
            <w:sdtContent>
              <w:r w:rsidR="001A0C66">
                <w:rPr>
                  <w:rStyle w:val="PageNumber"/>
                </w:rPr>
                <w:t>28 May 2021</w:t>
              </w:r>
            </w:sdtContent>
          </w:sdt>
        </w:p>
        <w:p w:rsidR="001A0C66" w:rsidRPr="00CE30CF" w:rsidRDefault="001A0C66"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F70F0">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F70F0">
            <w:rPr>
              <w:rStyle w:val="PageNumber"/>
              <w:noProof/>
            </w:rPr>
            <w:t>8</w:t>
          </w:r>
          <w:r w:rsidRPr="00AC4488">
            <w:rPr>
              <w:rStyle w:val="PageNumber"/>
            </w:rPr>
            <w:fldChar w:fldCharType="end"/>
          </w:r>
        </w:p>
      </w:tc>
      <w:tc>
        <w:tcPr>
          <w:tcW w:w="2580" w:type="dxa"/>
          <w:vAlign w:val="bottom"/>
        </w:tcPr>
        <w:p w:rsidR="001A0C66" w:rsidRPr="001E14EB" w:rsidRDefault="001A0C66" w:rsidP="0071700C">
          <w:pPr>
            <w:spacing w:after="0"/>
            <w:jc w:val="right"/>
          </w:pPr>
          <w:r>
            <w:rPr>
              <w:noProof/>
              <w:lang w:eastAsia="en-AU"/>
            </w:rPr>
            <w:drawing>
              <wp:inline distT="0" distB="0" distL="0" distR="0" wp14:anchorId="5FF007C5" wp14:editId="1666FCC4">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1A0C66" w:rsidRPr="00661BE1" w:rsidRDefault="001A0C66"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4B" w:rsidRDefault="00D3274B" w:rsidP="007332FF">
      <w:r>
        <w:separator/>
      </w:r>
    </w:p>
  </w:footnote>
  <w:footnote w:type="continuationSeparator" w:id="0">
    <w:p w:rsidR="00D3274B" w:rsidRDefault="00D3274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66" w:rsidRPr="00162207" w:rsidRDefault="00D3274B" w:rsidP="008C70BB">
    <w:pPr>
      <w:pStyle w:val="Header"/>
      <w:tabs>
        <w:tab w:val="clear" w:pos="9638"/>
        <w:tab w:val="right" w:pos="10318"/>
      </w:tabs>
    </w:pPr>
    <w:sdt>
      <w:sdtPr>
        <w:alias w:val="Title"/>
        <w:tag w:val="Title"/>
        <w:id w:val="-1964727474"/>
        <w:lock w:val="sdtLocked"/>
        <w:dataBinding w:prefixMappings="xmlns:ns0='http://purl.org/dc/elements/1.1/' xmlns:ns1='http://schemas.openxmlformats.org/package/2006/metadata/core-properties' " w:xpath="/ns1:coreProperties[1]/ns0:title[1]" w:storeItemID="{6C3C8BC8-F283-45AE-878A-BAB7291924A1}"/>
        <w:text/>
      </w:sdtPr>
      <w:sdtEndPr/>
      <w:sdtContent>
        <w:r w:rsidR="007A0294">
          <w:t>Northern Territory Board of Studies Confirmed Minutes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66" w:rsidRPr="00DC2200" w:rsidRDefault="00D3274B" w:rsidP="00DC2200">
    <w:pPr>
      <w:pStyle w:val="Title"/>
      <w:ind w:left="568"/>
      <w:jc w:val="center"/>
      <w:rPr>
        <w:sz w:val="16"/>
        <w:szCs w:val="16"/>
      </w:rPr>
    </w:pPr>
    <w:sdt>
      <w:sdtPr>
        <w:alias w:val="Title"/>
        <w:tag w:val="Title"/>
        <w:id w:val="35718117"/>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sidR="001A0C66">
          <w:t xml:space="preserve">Northern Territory Board of Studies </w:t>
        </w:r>
        <w:r w:rsidR="001A0C66">
          <w:br/>
        </w:r>
        <w:r w:rsidR="007A0294">
          <w:t>C</w:t>
        </w:r>
        <w:r w:rsidR="00AB48BE">
          <w:t>onfirmed</w:t>
        </w:r>
        <w:r w:rsidR="001A0C66">
          <w:t xml:space="preserve"> Minutes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E75"/>
    <w:multiLevelType w:val="hybridMultilevel"/>
    <w:tmpl w:val="FA74B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EA61801"/>
    <w:multiLevelType w:val="hybridMultilevel"/>
    <w:tmpl w:val="075E114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6DB0F47"/>
    <w:multiLevelType w:val="hybridMultilevel"/>
    <w:tmpl w:val="D23CED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CCB5F9F"/>
    <w:multiLevelType w:val="hybridMultilevel"/>
    <w:tmpl w:val="54F47C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CE4022B"/>
    <w:multiLevelType w:val="hybridMultilevel"/>
    <w:tmpl w:val="B8923B16"/>
    <w:lvl w:ilvl="0" w:tplc="0C090001">
      <w:start w:val="1"/>
      <w:numFmt w:val="bullet"/>
      <w:lvlText w:val=""/>
      <w:lvlJc w:val="left"/>
      <w:pPr>
        <w:ind w:left="1061" w:hanging="360"/>
      </w:pPr>
      <w:rPr>
        <w:rFonts w:ascii="Symbol" w:hAnsi="Symbol" w:hint="default"/>
      </w:rPr>
    </w:lvl>
    <w:lvl w:ilvl="1" w:tplc="0C090003" w:tentative="1">
      <w:start w:val="1"/>
      <w:numFmt w:val="bullet"/>
      <w:lvlText w:val="o"/>
      <w:lvlJc w:val="left"/>
      <w:pPr>
        <w:ind w:left="1781" w:hanging="360"/>
      </w:pPr>
      <w:rPr>
        <w:rFonts w:ascii="Courier New" w:hAnsi="Courier New" w:cs="Courier New" w:hint="default"/>
      </w:rPr>
    </w:lvl>
    <w:lvl w:ilvl="2" w:tplc="0C090005" w:tentative="1">
      <w:start w:val="1"/>
      <w:numFmt w:val="bullet"/>
      <w:lvlText w:val=""/>
      <w:lvlJc w:val="left"/>
      <w:pPr>
        <w:ind w:left="2501" w:hanging="360"/>
      </w:pPr>
      <w:rPr>
        <w:rFonts w:ascii="Wingdings" w:hAnsi="Wingdings" w:hint="default"/>
      </w:rPr>
    </w:lvl>
    <w:lvl w:ilvl="3" w:tplc="0C090001" w:tentative="1">
      <w:start w:val="1"/>
      <w:numFmt w:val="bullet"/>
      <w:lvlText w:val=""/>
      <w:lvlJc w:val="left"/>
      <w:pPr>
        <w:ind w:left="3221" w:hanging="360"/>
      </w:pPr>
      <w:rPr>
        <w:rFonts w:ascii="Symbol" w:hAnsi="Symbol" w:hint="default"/>
      </w:rPr>
    </w:lvl>
    <w:lvl w:ilvl="4" w:tplc="0C090003" w:tentative="1">
      <w:start w:val="1"/>
      <w:numFmt w:val="bullet"/>
      <w:lvlText w:val="o"/>
      <w:lvlJc w:val="left"/>
      <w:pPr>
        <w:ind w:left="3941" w:hanging="360"/>
      </w:pPr>
      <w:rPr>
        <w:rFonts w:ascii="Courier New" w:hAnsi="Courier New" w:cs="Courier New" w:hint="default"/>
      </w:rPr>
    </w:lvl>
    <w:lvl w:ilvl="5" w:tplc="0C090005" w:tentative="1">
      <w:start w:val="1"/>
      <w:numFmt w:val="bullet"/>
      <w:lvlText w:val=""/>
      <w:lvlJc w:val="left"/>
      <w:pPr>
        <w:ind w:left="4661" w:hanging="360"/>
      </w:pPr>
      <w:rPr>
        <w:rFonts w:ascii="Wingdings" w:hAnsi="Wingdings" w:hint="default"/>
      </w:rPr>
    </w:lvl>
    <w:lvl w:ilvl="6" w:tplc="0C090001" w:tentative="1">
      <w:start w:val="1"/>
      <w:numFmt w:val="bullet"/>
      <w:lvlText w:val=""/>
      <w:lvlJc w:val="left"/>
      <w:pPr>
        <w:ind w:left="5381" w:hanging="360"/>
      </w:pPr>
      <w:rPr>
        <w:rFonts w:ascii="Symbol" w:hAnsi="Symbol" w:hint="default"/>
      </w:rPr>
    </w:lvl>
    <w:lvl w:ilvl="7" w:tplc="0C090003" w:tentative="1">
      <w:start w:val="1"/>
      <w:numFmt w:val="bullet"/>
      <w:lvlText w:val="o"/>
      <w:lvlJc w:val="left"/>
      <w:pPr>
        <w:ind w:left="6101" w:hanging="360"/>
      </w:pPr>
      <w:rPr>
        <w:rFonts w:ascii="Courier New" w:hAnsi="Courier New" w:cs="Courier New" w:hint="default"/>
      </w:rPr>
    </w:lvl>
    <w:lvl w:ilvl="8" w:tplc="0C090005" w:tentative="1">
      <w:start w:val="1"/>
      <w:numFmt w:val="bullet"/>
      <w:lvlText w:val=""/>
      <w:lvlJc w:val="left"/>
      <w:pPr>
        <w:ind w:left="6821" w:hanging="360"/>
      </w:pPr>
      <w:rPr>
        <w:rFonts w:ascii="Wingdings" w:hAnsi="Wingdings" w:hint="default"/>
      </w:rPr>
    </w:lvl>
  </w:abstractNum>
  <w:abstractNum w:abstractNumId="15" w15:restartNumberingAfterBreak="0">
    <w:nsid w:val="1CE40912"/>
    <w:multiLevelType w:val="hybridMultilevel"/>
    <w:tmpl w:val="BF7E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1E3924A5"/>
    <w:multiLevelType w:val="hybridMultilevel"/>
    <w:tmpl w:val="222C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F62C49"/>
    <w:multiLevelType w:val="hybridMultilevel"/>
    <w:tmpl w:val="46F80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B1C1A46"/>
    <w:multiLevelType w:val="hybridMultilevel"/>
    <w:tmpl w:val="34E49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71A2D89"/>
    <w:multiLevelType w:val="hybridMultilevel"/>
    <w:tmpl w:val="23086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B84767"/>
    <w:multiLevelType w:val="hybridMultilevel"/>
    <w:tmpl w:val="6B50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752C72"/>
    <w:multiLevelType w:val="hybridMultilevel"/>
    <w:tmpl w:val="ACF8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E61945"/>
    <w:multiLevelType w:val="multilevel"/>
    <w:tmpl w:val="3928FD02"/>
    <w:name w:val="NTG Table Bullet List332222222222222222"/>
    <w:numStyleLink w:val="Bulletlist"/>
  </w:abstractNum>
  <w:abstractNum w:abstractNumId="33" w15:restartNumberingAfterBreak="0">
    <w:nsid w:val="3EE10C1D"/>
    <w:multiLevelType w:val="hybridMultilevel"/>
    <w:tmpl w:val="F222A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15099D"/>
    <w:multiLevelType w:val="hybridMultilevel"/>
    <w:tmpl w:val="D87A6B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9FD3A20"/>
    <w:multiLevelType w:val="multilevel"/>
    <w:tmpl w:val="3E5E177A"/>
    <w:name w:val="NTG Table Bullet List3322222222222"/>
    <w:numStyleLink w:val="Tablenumberlist"/>
  </w:abstractNum>
  <w:abstractNum w:abstractNumId="36" w15:restartNumberingAfterBreak="0">
    <w:nsid w:val="4A5B3674"/>
    <w:multiLevelType w:val="hybridMultilevel"/>
    <w:tmpl w:val="97620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4FC91F0D"/>
    <w:multiLevelType w:val="hybridMultilevel"/>
    <w:tmpl w:val="CCEE5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5A106D"/>
    <w:multiLevelType w:val="hybridMultilevel"/>
    <w:tmpl w:val="9F367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842BC6"/>
    <w:multiLevelType w:val="multilevel"/>
    <w:tmpl w:val="0C78A7AC"/>
    <w:numStyleLink w:val="Tablebulletlist"/>
  </w:abstractNum>
  <w:abstractNum w:abstractNumId="4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6DA2CAE"/>
    <w:multiLevelType w:val="multilevel"/>
    <w:tmpl w:val="3E5E177A"/>
    <w:name w:val="NTG Table Bullet List332222222222222"/>
    <w:numStyleLink w:val="Tablenumberlist"/>
  </w:abstractNum>
  <w:abstractNum w:abstractNumId="44" w15:restartNumberingAfterBreak="0">
    <w:nsid w:val="583359D9"/>
    <w:multiLevelType w:val="multilevel"/>
    <w:tmpl w:val="3E5E177A"/>
    <w:name w:val="NTG Table Bullet List332222222"/>
    <w:numStyleLink w:val="Tablenumberlist"/>
  </w:abstractNum>
  <w:abstractNum w:abstractNumId="45" w15:restartNumberingAfterBreak="0">
    <w:nsid w:val="5B9A5FFE"/>
    <w:multiLevelType w:val="multilevel"/>
    <w:tmpl w:val="0C78A7AC"/>
    <w:name w:val="NTG Table Bullet List33222222222222"/>
    <w:numStyleLink w:val="Tablebulletlist"/>
  </w:abstractNum>
  <w:abstractNum w:abstractNumId="46" w15:restartNumberingAfterBreak="0">
    <w:nsid w:val="5D444259"/>
    <w:multiLevelType w:val="multilevel"/>
    <w:tmpl w:val="0C78A7AC"/>
    <w:name w:val="NTG Table Bullet List332222"/>
    <w:numStyleLink w:val="Tablebulletlist"/>
  </w:abstractNum>
  <w:abstractNum w:abstractNumId="47" w15:restartNumberingAfterBreak="0">
    <w:nsid w:val="69262556"/>
    <w:multiLevelType w:val="multilevel"/>
    <w:tmpl w:val="3E5E177A"/>
    <w:name w:val="NTG Table Bullet List3322222222222222"/>
    <w:numStyleLink w:val="Tablenumberlist"/>
  </w:abstractNum>
  <w:abstractNum w:abstractNumId="48" w15:restartNumberingAfterBreak="0">
    <w:nsid w:val="7453664D"/>
    <w:multiLevelType w:val="multilevel"/>
    <w:tmpl w:val="0C78A7AC"/>
    <w:name w:val="NTG Table Bullet List3322222222222222222"/>
    <w:numStyleLink w:val="Tablebulletlist"/>
  </w:abstractNum>
  <w:abstractNum w:abstractNumId="49" w15:restartNumberingAfterBreak="0">
    <w:nsid w:val="748F6C0B"/>
    <w:multiLevelType w:val="hybridMultilevel"/>
    <w:tmpl w:val="8C144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407669"/>
    <w:multiLevelType w:val="hybridMultilevel"/>
    <w:tmpl w:val="C9A20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54358FB"/>
    <w:multiLevelType w:val="hybridMultilevel"/>
    <w:tmpl w:val="BA46CA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6141D1E"/>
    <w:multiLevelType w:val="multilevel"/>
    <w:tmpl w:val="0C78A7AC"/>
    <w:name w:val="NTG Table Bullet List332222222222"/>
    <w:numStyleLink w:val="Tablebulletlist"/>
  </w:abstractNum>
  <w:abstractNum w:abstractNumId="5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7E7D53F3"/>
    <w:multiLevelType w:val="hybridMultilevel"/>
    <w:tmpl w:val="A5B6D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8"/>
  </w:num>
  <w:num w:numId="2">
    <w:abstractNumId w:val="19"/>
  </w:num>
  <w:num w:numId="3">
    <w:abstractNumId w:val="53"/>
  </w:num>
  <w:num w:numId="4">
    <w:abstractNumId w:val="37"/>
  </w:num>
  <w:num w:numId="5">
    <w:abstractNumId w:val="24"/>
  </w:num>
  <w:num w:numId="6">
    <w:abstractNumId w:val="10"/>
  </w:num>
  <w:num w:numId="7">
    <w:abstractNumId w:val="41"/>
  </w:num>
  <w:num w:numId="8">
    <w:abstractNumId w:val="22"/>
  </w:num>
  <w:num w:numId="9">
    <w:abstractNumId w:val="7"/>
  </w:num>
  <w:num w:numId="10">
    <w:abstractNumId w:val="49"/>
  </w:num>
  <w:num w:numId="11">
    <w:abstractNumId w:val="50"/>
  </w:num>
  <w:num w:numId="12">
    <w:abstractNumId w:val="17"/>
  </w:num>
  <w:num w:numId="13">
    <w:abstractNumId w:val="0"/>
  </w:num>
  <w:num w:numId="14">
    <w:abstractNumId w:val="31"/>
  </w:num>
  <w:num w:numId="15">
    <w:abstractNumId w:val="36"/>
  </w:num>
  <w:num w:numId="16">
    <w:abstractNumId w:val="15"/>
  </w:num>
  <w:num w:numId="17">
    <w:abstractNumId w:val="14"/>
  </w:num>
  <w:num w:numId="18">
    <w:abstractNumId w:val="30"/>
  </w:num>
  <w:num w:numId="19">
    <w:abstractNumId w:val="34"/>
  </w:num>
  <w:num w:numId="20">
    <w:abstractNumId w:val="23"/>
  </w:num>
  <w:num w:numId="21">
    <w:abstractNumId w:val="51"/>
  </w:num>
  <w:num w:numId="22">
    <w:abstractNumId w:val="39"/>
  </w:num>
  <w:num w:numId="23">
    <w:abstractNumId w:val="40"/>
  </w:num>
  <w:num w:numId="24">
    <w:abstractNumId w:val="3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54"/>
  </w:num>
  <w:num w:numId="28">
    <w:abstractNumId w:val="2"/>
  </w:num>
  <w:num w:numId="2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6E"/>
    <w:rsid w:val="00000CE8"/>
    <w:rsid w:val="000014BE"/>
    <w:rsid w:val="00001DDF"/>
    <w:rsid w:val="0000322D"/>
    <w:rsid w:val="000054FC"/>
    <w:rsid w:val="000067B3"/>
    <w:rsid w:val="00007670"/>
    <w:rsid w:val="00010665"/>
    <w:rsid w:val="00010B9C"/>
    <w:rsid w:val="00013E93"/>
    <w:rsid w:val="0001595F"/>
    <w:rsid w:val="00021B17"/>
    <w:rsid w:val="0002284C"/>
    <w:rsid w:val="0002393A"/>
    <w:rsid w:val="0002436A"/>
    <w:rsid w:val="000255C1"/>
    <w:rsid w:val="000261B9"/>
    <w:rsid w:val="00027AE1"/>
    <w:rsid w:val="00027DB8"/>
    <w:rsid w:val="00031A96"/>
    <w:rsid w:val="00034EF4"/>
    <w:rsid w:val="00035519"/>
    <w:rsid w:val="000408A8"/>
    <w:rsid w:val="00040BF3"/>
    <w:rsid w:val="0004211C"/>
    <w:rsid w:val="00042C33"/>
    <w:rsid w:val="00042DDB"/>
    <w:rsid w:val="00046C0F"/>
    <w:rsid w:val="00046C59"/>
    <w:rsid w:val="000504F4"/>
    <w:rsid w:val="00051362"/>
    <w:rsid w:val="00051A0B"/>
    <w:rsid w:val="00051F45"/>
    <w:rsid w:val="00052953"/>
    <w:rsid w:val="0005341A"/>
    <w:rsid w:val="00054762"/>
    <w:rsid w:val="000565BA"/>
    <w:rsid w:val="00056AD5"/>
    <w:rsid w:val="00056DEF"/>
    <w:rsid w:val="00056EDC"/>
    <w:rsid w:val="00060EEC"/>
    <w:rsid w:val="00062745"/>
    <w:rsid w:val="0006546E"/>
    <w:rsid w:val="0006635A"/>
    <w:rsid w:val="000663D6"/>
    <w:rsid w:val="0006709F"/>
    <w:rsid w:val="000720BE"/>
    <w:rsid w:val="0007259C"/>
    <w:rsid w:val="00074DDE"/>
    <w:rsid w:val="0007672C"/>
    <w:rsid w:val="000801B3"/>
    <w:rsid w:val="00080202"/>
    <w:rsid w:val="00080641"/>
    <w:rsid w:val="00080DCD"/>
    <w:rsid w:val="00080E22"/>
    <w:rsid w:val="00082573"/>
    <w:rsid w:val="000828D4"/>
    <w:rsid w:val="000840A3"/>
    <w:rsid w:val="00085062"/>
    <w:rsid w:val="00086A5F"/>
    <w:rsid w:val="00086D91"/>
    <w:rsid w:val="000901EF"/>
    <w:rsid w:val="000911EF"/>
    <w:rsid w:val="00093AA0"/>
    <w:rsid w:val="00096240"/>
    <w:rsid w:val="000962C5"/>
    <w:rsid w:val="00097865"/>
    <w:rsid w:val="000A0053"/>
    <w:rsid w:val="000A4317"/>
    <w:rsid w:val="000A4FEF"/>
    <w:rsid w:val="000A559C"/>
    <w:rsid w:val="000A5C27"/>
    <w:rsid w:val="000A740D"/>
    <w:rsid w:val="000B2843"/>
    <w:rsid w:val="000B2CA1"/>
    <w:rsid w:val="000B592F"/>
    <w:rsid w:val="000C0E10"/>
    <w:rsid w:val="000C3D97"/>
    <w:rsid w:val="000D1F29"/>
    <w:rsid w:val="000D633D"/>
    <w:rsid w:val="000E0DC1"/>
    <w:rsid w:val="000E342B"/>
    <w:rsid w:val="000E34C9"/>
    <w:rsid w:val="000E3ED2"/>
    <w:rsid w:val="000E5DD2"/>
    <w:rsid w:val="000E6264"/>
    <w:rsid w:val="000F12C3"/>
    <w:rsid w:val="000F2958"/>
    <w:rsid w:val="000F3750"/>
    <w:rsid w:val="000F3850"/>
    <w:rsid w:val="000F3A34"/>
    <w:rsid w:val="000F604F"/>
    <w:rsid w:val="000F7DC3"/>
    <w:rsid w:val="00101B56"/>
    <w:rsid w:val="0010242B"/>
    <w:rsid w:val="00102951"/>
    <w:rsid w:val="00103D34"/>
    <w:rsid w:val="00103EF6"/>
    <w:rsid w:val="00104E7F"/>
    <w:rsid w:val="00105E69"/>
    <w:rsid w:val="00105FBA"/>
    <w:rsid w:val="00107E5F"/>
    <w:rsid w:val="001119B7"/>
    <w:rsid w:val="001137EC"/>
    <w:rsid w:val="001152F5"/>
    <w:rsid w:val="00117743"/>
    <w:rsid w:val="00117F5B"/>
    <w:rsid w:val="00120710"/>
    <w:rsid w:val="0012669E"/>
    <w:rsid w:val="001272F4"/>
    <w:rsid w:val="00127620"/>
    <w:rsid w:val="00132063"/>
    <w:rsid w:val="00132658"/>
    <w:rsid w:val="00135286"/>
    <w:rsid w:val="00136D76"/>
    <w:rsid w:val="00137800"/>
    <w:rsid w:val="0014318F"/>
    <w:rsid w:val="00144DCF"/>
    <w:rsid w:val="00150DC0"/>
    <w:rsid w:val="001512B3"/>
    <w:rsid w:val="00151F39"/>
    <w:rsid w:val="0015394D"/>
    <w:rsid w:val="00153954"/>
    <w:rsid w:val="001547CB"/>
    <w:rsid w:val="00154FC5"/>
    <w:rsid w:val="00156CD4"/>
    <w:rsid w:val="001606C4"/>
    <w:rsid w:val="0016153B"/>
    <w:rsid w:val="00162207"/>
    <w:rsid w:val="00164A3E"/>
    <w:rsid w:val="00164D6B"/>
    <w:rsid w:val="00166FF6"/>
    <w:rsid w:val="00172487"/>
    <w:rsid w:val="00176123"/>
    <w:rsid w:val="001764D1"/>
    <w:rsid w:val="00181620"/>
    <w:rsid w:val="001851B2"/>
    <w:rsid w:val="0018529E"/>
    <w:rsid w:val="00186E1F"/>
    <w:rsid w:val="00187130"/>
    <w:rsid w:val="00192986"/>
    <w:rsid w:val="001957AD"/>
    <w:rsid w:val="00196F8E"/>
    <w:rsid w:val="001A0C66"/>
    <w:rsid w:val="001A2B7F"/>
    <w:rsid w:val="001A356C"/>
    <w:rsid w:val="001A3AFD"/>
    <w:rsid w:val="001A496C"/>
    <w:rsid w:val="001A576A"/>
    <w:rsid w:val="001B0CE8"/>
    <w:rsid w:val="001B22B2"/>
    <w:rsid w:val="001B28DA"/>
    <w:rsid w:val="001B28FB"/>
    <w:rsid w:val="001B2B6C"/>
    <w:rsid w:val="001B2CC3"/>
    <w:rsid w:val="001B5DEB"/>
    <w:rsid w:val="001C6D96"/>
    <w:rsid w:val="001D01C4"/>
    <w:rsid w:val="001D31AE"/>
    <w:rsid w:val="001D37DF"/>
    <w:rsid w:val="001D3BC5"/>
    <w:rsid w:val="001D4F99"/>
    <w:rsid w:val="001D52B0"/>
    <w:rsid w:val="001D5A18"/>
    <w:rsid w:val="001D7CA4"/>
    <w:rsid w:val="001E0419"/>
    <w:rsid w:val="001E0555"/>
    <w:rsid w:val="001E057F"/>
    <w:rsid w:val="001E08E8"/>
    <w:rsid w:val="001E14EB"/>
    <w:rsid w:val="001E29F4"/>
    <w:rsid w:val="001E62E7"/>
    <w:rsid w:val="001E7279"/>
    <w:rsid w:val="001E774E"/>
    <w:rsid w:val="001F008C"/>
    <w:rsid w:val="001F59E6"/>
    <w:rsid w:val="001F681E"/>
    <w:rsid w:val="001F71F0"/>
    <w:rsid w:val="001F7886"/>
    <w:rsid w:val="00200F5F"/>
    <w:rsid w:val="00201A2F"/>
    <w:rsid w:val="00203E04"/>
    <w:rsid w:val="00203F1C"/>
    <w:rsid w:val="002040BC"/>
    <w:rsid w:val="00204B55"/>
    <w:rsid w:val="00206936"/>
    <w:rsid w:val="00206C6F"/>
    <w:rsid w:val="00206FBD"/>
    <w:rsid w:val="00207746"/>
    <w:rsid w:val="002102A4"/>
    <w:rsid w:val="00210327"/>
    <w:rsid w:val="00213E77"/>
    <w:rsid w:val="00217FD2"/>
    <w:rsid w:val="002205D8"/>
    <w:rsid w:val="00222E49"/>
    <w:rsid w:val="002230F8"/>
    <w:rsid w:val="002245BD"/>
    <w:rsid w:val="00227BC2"/>
    <w:rsid w:val="00230031"/>
    <w:rsid w:val="00231B8D"/>
    <w:rsid w:val="00235C01"/>
    <w:rsid w:val="00240AC7"/>
    <w:rsid w:val="00244A73"/>
    <w:rsid w:val="00245778"/>
    <w:rsid w:val="00247343"/>
    <w:rsid w:val="00251C7A"/>
    <w:rsid w:val="002554C3"/>
    <w:rsid w:val="0025705C"/>
    <w:rsid w:val="002575D1"/>
    <w:rsid w:val="00263B90"/>
    <w:rsid w:val="00264E11"/>
    <w:rsid w:val="00265C56"/>
    <w:rsid w:val="002679CB"/>
    <w:rsid w:val="002716CD"/>
    <w:rsid w:val="00274D4B"/>
    <w:rsid w:val="00276B47"/>
    <w:rsid w:val="002806F5"/>
    <w:rsid w:val="00281577"/>
    <w:rsid w:val="002835EA"/>
    <w:rsid w:val="00283B9E"/>
    <w:rsid w:val="00286C9B"/>
    <w:rsid w:val="00287D73"/>
    <w:rsid w:val="002926BC"/>
    <w:rsid w:val="002933E6"/>
    <w:rsid w:val="00293A72"/>
    <w:rsid w:val="00293DB6"/>
    <w:rsid w:val="0029577F"/>
    <w:rsid w:val="0029599D"/>
    <w:rsid w:val="00295FEE"/>
    <w:rsid w:val="002A0160"/>
    <w:rsid w:val="002A0265"/>
    <w:rsid w:val="002A30C3"/>
    <w:rsid w:val="002A6F6A"/>
    <w:rsid w:val="002A7712"/>
    <w:rsid w:val="002B38F7"/>
    <w:rsid w:val="002B4F50"/>
    <w:rsid w:val="002B541C"/>
    <w:rsid w:val="002B5591"/>
    <w:rsid w:val="002B6AA4"/>
    <w:rsid w:val="002C0537"/>
    <w:rsid w:val="002C1FE9"/>
    <w:rsid w:val="002C50BA"/>
    <w:rsid w:val="002D2640"/>
    <w:rsid w:val="002D3A57"/>
    <w:rsid w:val="002D6524"/>
    <w:rsid w:val="002D6B56"/>
    <w:rsid w:val="002D7D05"/>
    <w:rsid w:val="002E0A31"/>
    <w:rsid w:val="002E20C8"/>
    <w:rsid w:val="002E4290"/>
    <w:rsid w:val="002E5160"/>
    <w:rsid w:val="002E66A6"/>
    <w:rsid w:val="002F0DB1"/>
    <w:rsid w:val="002F2241"/>
    <w:rsid w:val="002F2885"/>
    <w:rsid w:val="002F3A10"/>
    <w:rsid w:val="002F45A1"/>
    <w:rsid w:val="002F4B0C"/>
    <w:rsid w:val="002F4D85"/>
    <w:rsid w:val="003002BE"/>
    <w:rsid w:val="0030033F"/>
    <w:rsid w:val="0030203D"/>
    <w:rsid w:val="00302DC3"/>
    <w:rsid w:val="003037F9"/>
    <w:rsid w:val="0030583E"/>
    <w:rsid w:val="0030688D"/>
    <w:rsid w:val="00307106"/>
    <w:rsid w:val="00307E0F"/>
    <w:rsid w:val="00307FE1"/>
    <w:rsid w:val="00311494"/>
    <w:rsid w:val="003164BA"/>
    <w:rsid w:val="003174C8"/>
    <w:rsid w:val="003226BC"/>
    <w:rsid w:val="00322903"/>
    <w:rsid w:val="00322B09"/>
    <w:rsid w:val="0032469B"/>
    <w:rsid w:val="003258E6"/>
    <w:rsid w:val="00330845"/>
    <w:rsid w:val="00331DB7"/>
    <w:rsid w:val="0033362A"/>
    <w:rsid w:val="003345DD"/>
    <w:rsid w:val="00334E4A"/>
    <w:rsid w:val="00335888"/>
    <w:rsid w:val="00337589"/>
    <w:rsid w:val="003406C4"/>
    <w:rsid w:val="00342283"/>
    <w:rsid w:val="00343A87"/>
    <w:rsid w:val="003443C4"/>
    <w:rsid w:val="00344A36"/>
    <w:rsid w:val="003456F4"/>
    <w:rsid w:val="00345B38"/>
    <w:rsid w:val="00347FB6"/>
    <w:rsid w:val="003504FD"/>
    <w:rsid w:val="00350881"/>
    <w:rsid w:val="003552ED"/>
    <w:rsid w:val="003565E0"/>
    <w:rsid w:val="00357D55"/>
    <w:rsid w:val="00362791"/>
    <w:rsid w:val="00363513"/>
    <w:rsid w:val="00363CD3"/>
    <w:rsid w:val="003657E5"/>
    <w:rsid w:val="0036589C"/>
    <w:rsid w:val="003664D9"/>
    <w:rsid w:val="00371312"/>
    <w:rsid w:val="00371DC7"/>
    <w:rsid w:val="00371EE3"/>
    <w:rsid w:val="00375F21"/>
    <w:rsid w:val="00377B21"/>
    <w:rsid w:val="0038206C"/>
    <w:rsid w:val="00390862"/>
    <w:rsid w:val="00390CE3"/>
    <w:rsid w:val="00392781"/>
    <w:rsid w:val="00394876"/>
    <w:rsid w:val="00394AAF"/>
    <w:rsid w:val="00394CE5"/>
    <w:rsid w:val="003952D3"/>
    <w:rsid w:val="003A19EA"/>
    <w:rsid w:val="003A3D97"/>
    <w:rsid w:val="003A4695"/>
    <w:rsid w:val="003A4A39"/>
    <w:rsid w:val="003A57D5"/>
    <w:rsid w:val="003A6341"/>
    <w:rsid w:val="003B67FD"/>
    <w:rsid w:val="003B6A61"/>
    <w:rsid w:val="003C006C"/>
    <w:rsid w:val="003C1C3A"/>
    <w:rsid w:val="003C2198"/>
    <w:rsid w:val="003C3656"/>
    <w:rsid w:val="003C4034"/>
    <w:rsid w:val="003C4941"/>
    <w:rsid w:val="003C52E8"/>
    <w:rsid w:val="003C6455"/>
    <w:rsid w:val="003D0996"/>
    <w:rsid w:val="003D09B7"/>
    <w:rsid w:val="003D0F63"/>
    <w:rsid w:val="003D266C"/>
    <w:rsid w:val="003D42C0"/>
    <w:rsid w:val="003D4A8F"/>
    <w:rsid w:val="003D5B29"/>
    <w:rsid w:val="003D5EB2"/>
    <w:rsid w:val="003D650E"/>
    <w:rsid w:val="003D6BA6"/>
    <w:rsid w:val="003D7818"/>
    <w:rsid w:val="003D7958"/>
    <w:rsid w:val="003E11D3"/>
    <w:rsid w:val="003E1431"/>
    <w:rsid w:val="003E2445"/>
    <w:rsid w:val="003E3BB2"/>
    <w:rsid w:val="003E4FEC"/>
    <w:rsid w:val="003F13B7"/>
    <w:rsid w:val="003F21E4"/>
    <w:rsid w:val="003F3581"/>
    <w:rsid w:val="003F3C14"/>
    <w:rsid w:val="003F4664"/>
    <w:rsid w:val="003F5B58"/>
    <w:rsid w:val="003F6DA8"/>
    <w:rsid w:val="003F6FE0"/>
    <w:rsid w:val="003F70F0"/>
    <w:rsid w:val="00400A0C"/>
    <w:rsid w:val="0040222A"/>
    <w:rsid w:val="00402C5B"/>
    <w:rsid w:val="004047BC"/>
    <w:rsid w:val="004100F7"/>
    <w:rsid w:val="004102AD"/>
    <w:rsid w:val="00410BC2"/>
    <w:rsid w:val="0041471F"/>
    <w:rsid w:val="00414CB3"/>
    <w:rsid w:val="0041563D"/>
    <w:rsid w:val="004208BC"/>
    <w:rsid w:val="00423B78"/>
    <w:rsid w:val="004255D1"/>
    <w:rsid w:val="00426E25"/>
    <w:rsid w:val="00427D9C"/>
    <w:rsid w:val="00427E7E"/>
    <w:rsid w:val="00430958"/>
    <w:rsid w:val="0043216E"/>
    <w:rsid w:val="00432E38"/>
    <w:rsid w:val="004336ED"/>
    <w:rsid w:val="0043462E"/>
    <w:rsid w:val="0043465D"/>
    <w:rsid w:val="00435082"/>
    <w:rsid w:val="00435503"/>
    <w:rsid w:val="00436C7C"/>
    <w:rsid w:val="00436D3E"/>
    <w:rsid w:val="00441058"/>
    <w:rsid w:val="004414E3"/>
    <w:rsid w:val="00443B6E"/>
    <w:rsid w:val="004462E2"/>
    <w:rsid w:val="00447CF7"/>
    <w:rsid w:val="00450636"/>
    <w:rsid w:val="004528EB"/>
    <w:rsid w:val="0045420A"/>
    <w:rsid w:val="004554D4"/>
    <w:rsid w:val="00457D3C"/>
    <w:rsid w:val="00461744"/>
    <w:rsid w:val="00461DE8"/>
    <w:rsid w:val="00463206"/>
    <w:rsid w:val="004658BA"/>
    <w:rsid w:val="00466185"/>
    <w:rsid w:val="00466303"/>
    <w:rsid w:val="004668A7"/>
    <w:rsid w:val="00466D96"/>
    <w:rsid w:val="00467747"/>
    <w:rsid w:val="00470017"/>
    <w:rsid w:val="0047105A"/>
    <w:rsid w:val="00473C98"/>
    <w:rsid w:val="00474965"/>
    <w:rsid w:val="004758F9"/>
    <w:rsid w:val="004813FF"/>
    <w:rsid w:val="004816C9"/>
    <w:rsid w:val="00482DF8"/>
    <w:rsid w:val="0048575D"/>
    <w:rsid w:val="004864DE"/>
    <w:rsid w:val="00487FDB"/>
    <w:rsid w:val="004911FA"/>
    <w:rsid w:val="00491B08"/>
    <w:rsid w:val="00493D34"/>
    <w:rsid w:val="00494633"/>
    <w:rsid w:val="00494BE5"/>
    <w:rsid w:val="00496EC1"/>
    <w:rsid w:val="00497EF5"/>
    <w:rsid w:val="004A0EBA"/>
    <w:rsid w:val="004A1DB9"/>
    <w:rsid w:val="004A2538"/>
    <w:rsid w:val="004A331E"/>
    <w:rsid w:val="004A3BDE"/>
    <w:rsid w:val="004B0C15"/>
    <w:rsid w:val="004B2301"/>
    <w:rsid w:val="004B315E"/>
    <w:rsid w:val="004B358E"/>
    <w:rsid w:val="004B35EA"/>
    <w:rsid w:val="004B69E4"/>
    <w:rsid w:val="004C1AD1"/>
    <w:rsid w:val="004C5F36"/>
    <w:rsid w:val="004C6C39"/>
    <w:rsid w:val="004C7561"/>
    <w:rsid w:val="004D006D"/>
    <w:rsid w:val="004D075F"/>
    <w:rsid w:val="004D1B76"/>
    <w:rsid w:val="004D344E"/>
    <w:rsid w:val="004D6EB4"/>
    <w:rsid w:val="004E019E"/>
    <w:rsid w:val="004E06EC"/>
    <w:rsid w:val="004E0A3F"/>
    <w:rsid w:val="004E0B6D"/>
    <w:rsid w:val="004E204A"/>
    <w:rsid w:val="004E226A"/>
    <w:rsid w:val="004E2A0F"/>
    <w:rsid w:val="004E2CB7"/>
    <w:rsid w:val="004E345D"/>
    <w:rsid w:val="004E3C08"/>
    <w:rsid w:val="004F016A"/>
    <w:rsid w:val="004F3F95"/>
    <w:rsid w:val="004F6BC3"/>
    <w:rsid w:val="00500F94"/>
    <w:rsid w:val="00502FB3"/>
    <w:rsid w:val="00503DE9"/>
    <w:rsid w:val="005052D8"/>
    <w:rsid w:val="0050530C"/>
    <w:rsid w:val="00505DEA"/>
    <w:rsid w:val="00507782"/>
    <w:rsid w:val="005077FD"/>
    <w:rsid w:val="00510113"/>
    <w:rsid w:val="00512A04"/>
    <w:rsid w:val="00514C31"/>
    <w:rsid w:val="00515D00"/>
    <w:rsid w:val="00516AB4"/>
    <w:rsid w:val="00520499"/>
    <w:rsid w:val="00522C3A"/>
    <w:rsid w:val="00523E23"/>
    <w:rsid w:val="005249F5"/>
    <w:rsid w:val="00525C2C"/>
    <w:rsid w:val="005260F7"/>
    <w:rsid w:val="00527B23"/>
    <w:rsid w:val="00543BD1"/>
    <w:rsid w:val="005441F0"/>
    <w:rsid w:val="00544350"/>
    <w:rsid w:val="005476CB"/>
    <w:rsid w:val="005478D8"/>
    <w:rsid w:val="005506D0"/>
    <w:rsid w:val="00553A33"/>
    <w:rsid w:val="00554CF4"/>
    <w:rsid w:val="00556113"/>
    <w:rsid w:val="00557F68"/>
    <w:rsid w:val="00560BD2"/>
    <w:rsid w:val="00564C12"/>
    <w:rsid w:val="005654B8"/>
    <w:rsid w:val="00566782"/>
    <w:rsid w:val="005702E0"/>
    <w:rsid w:val="00570D94"/>
    <w:rsid w:val="00570EBF"/>
    <w:rsid w:val="00573077"/>
    <w:rsid w:val="00574EE9"/>
    <w:rsid w:val="00575347"/>
    <w:rsid w:val="00575927"/>
    <w:rsid w:val="005762CC"/>
    <w:rsid w:val="00581543"/>
    <w:rsid w:val="00582D3D"/>
    <w:rsid w:val="005876B5"/>
    <w:rsid w:val="00590040"/>
    <w:rsid w:val="00591F67"/>
    <w:rsid w:val="00595386"/>
    <w:rsid w:val="00595B30"/>
    <w:rsid w:val="00596FD9"/>
    <w:rsid w:val="00597234"/>
    <w:rsid w:val="005A02B8"/>
    <w:rsid w:val="005A1DA7"/>
    <w:rsid w:val="005A4AC0"/>
    <w:rsid w:val="005A5231"/>
    <w:rsid w:val="005A539B"/>
    <w:rsid w:val="005A5FDF"/>
    <w:rsid w:val="005A7302"/>
    <w:rsid w:val="005A7982"/>
    <w:rsid w:val="005B0FB7"/>
    <w:rsid w:val="005B122A"/>
    <w:rsid w:val="005B1FCB"/>
    <w:rsid w:val="005B4164"/>
    <w:rsid w:val="005B5AC2"/>
    <w:rsid w:val="005C2833"/>
    <w:rsid w:val="005C33F1"/>
    <w:rsid w:val="005C7EE3"/>
    <w:rsid w:val="005D0110"/>
    <w:rsid w:val="005D0863"/>
    <w:rsid w:val="005D37E3"/>
    <w:rsid w:val="005D3AA8"/>
    <w:rsid w:val="005D51E7"/>
    <w:rsid w:val="005D6405"/>
    <w:rsid w:val="005E144D"/>
    <w:rsid w:val="005E1500"/>
    <w:rsid w:val="005E2BE4"/>
    <w:rsid w:val="005E3A43"/>
    <w:rsid w:val="005E42A3"/>
    <w:rsid w:val="005F0214"/>
    <w:rsid w:val="005F0B17"/>
    <w:rsid w:val="005F2488"/>
    <w:rsid w:val="005F3089"/>
    <w:rsid w:val="005F39E1"/>
    <w:rsid w:val="005F6602"/>
    <w:rsid w:val="005F77C7"/>
    <w:rsid w:val="00600201"/>
    <w:rsid w:val="00600A72"/>
    <w:rsid w:val="00602E2F"/>
    <w:rsid w:val="00603AB2"/>
    <w:rsid w:val="00603BF6"/>
    <w:rsid w:val="006055EF"/>
    <w:rsid w:val="00614DED"/>
    <w:rsid w:val="00620675"/>
    <w:rsid w:val="00621494"/>
    <w:rsid w:val="00622910"/>
    <w:rsid w:val="006254B6"/>
    <w:rsid w:val="00626E4F"/>
    <w:rsid w:val="00627FC8"/>
    <w:rsid w:val="0063142F"/>
    <w:rsid w:val="00633CF8"/>
    <w:rsid w:val="00634123"/>
    <w:rsid w:val="00634636"/>
    <w:rsid w:val="00634E28"/>
    <w:rsid w:val="00634EB1"/>
    <w:rsid w:val="00640D9B"/>
    <w:rsid w:val="006425C1"/>
    <w:rsid w:val="006433C3"/>
    <w:rsid w:val="00643C1D"/>
    <w:rsid w:val="00650F5B"/>
    <w:rsid w:val="0065455B"/>
    <w:rsid w:val="006549D2"/>
    <w:rsid w:val="006606A6"/>
    <w:rsid w:val="00662CBC"/>
    <w:rsid w:val="006644F9"/>
    <w:rsid w:val="0066499A"/>
    <w:rsid w:val="006649DE"/>
    <w:rsid w:val="006670D7"/>
    <w:rsid w:val="0067024B"/>
    <w:rsid w:val="006719EA"/>
    <w:rsid w:val="00671F13"/>
    <w:rsid w:val="0067400A"/>
    <w:rsid w:val="00675596"/>
    <w:rsid w:val="00681598"/>
    <w:rsid w:val="00683A7D"/>
    <w:rsid w:val="00683F47"/>
    <w:rsid w:val="006842A6"/>
    <w:rsid w:val="006847AD"/>
    <w:rsid w:val="0068690F"/>
    <w:rsid w:val="006871CA"/>
    <w:rsid w:val="00687570"/>
    <w:rsid w:val="00687958"/>
    <w:rsid w:val="0069114B"/>
    <w:rsid w:val="0069360D"/>
    <w:rsid w:val="00694188"/>
    <w:rsid w:val="006944C1"/>
    <w:rsid w:val="006A05C7"/>
    <w:rsid w:val="006A07C9"/>
    <w:rsid w:val="006A1028"/>
    <w:rsid w:val="006A58C4"/>
    <w:rsid w:val="006A67F4"/>
    <w:rsid w:val="006A756A"/>
    <w:rsid w:val="006B0CB2"/>
    <w:rsid w:val="006B6A34"/>
    <w:rsid w:val="006C0337"/>
    <w:rsid w:val="006C0EC2"/>
    <w:rsid w:val="006C33A3"/>
    <w:rsid w:val="006C5C14"/>
    <w:rsid w:val="006D043D"/>
    <w:rsid w:val="006D1EE4"/>
    <w:rsid w:val="006D22CD"/>
    <w:rsid w:val="006D5E5D"/>
    <w:rsid w:val="006D66F7"/>
    <w:rsid w:val="006E2EDA"/>
    <w:rsid w:val="006E4567"/>
    <w:rsid w:val="006E6E97"/>
    <w:rsid w:val="006F3A10"/>
    <w:rsid w:val="006F62B8"/>
    <w:rsid w:val="006F7CDD"/>
    <w:rsid w:val="00705C9D"/>
    <w:rsid w:val="00705D58"/>
    <w:rsid w:val="00705F13"/>
    <w:rsid w:val="0070624C"/>
    <w:rsid w:val="0071078B"/>
    <w:rsid w:val="00710974"/>
    <w:rsid w:val="0071110F"/>
    <w:rsid w:val="007111D3"/>
    <w:rsid w:val="00711F1D"/>
    <w:rsid w:val="0071211C"/>
    <w:rsid w:val="00714F1D"/>
    <w:rsid w:val="00715225"/>
    <w:rsid w:val="0071700C"/>
    <w:rsid w:val="00720662"/>
    <w:rsid w:val="00720CC6"/>
    <w:rsid w:val="00722DDB"/>
    <w:rsid w:val="00723979"/>
    <w:rsid w:val="00724728"/>
    <w:rsid w:val="00724BDF"/>
    <w:rsid w:val="00724F98"/>
    <w:rsid w:val="00730B9B"/>
    <w:rsid w:val="0073182E"/>
    <w:rsid w:val="007332FF"/>
    <w:rsid w:val="00734716"/>
    <w:rsid w:val="00737035"/>
    <w:rsid w:val="007408F5"/>
    <w:rsid w:val="00741EAE"/>
    <w:rsid w:val="0074308A"/>
    <w:rsid w:val="00750E43"/>
    <w:rsid w:val="00753594"/>
    <w:rsid w:val="00755248"/>
    <w:rsid w:val="00755660"/>
    <w:rsid w:val="00755B41"/>
    <w:rsid w:val="00755C19"/>
    <w:rsid w:val="00756EC1"/>
    <w:rsid w:val="0076190B"/>
    <w:rsid w:val="0076355D"/>
    <w:rsid w:val="00763A2D"/>
    <w:rsid w:val="00766161"/>
    <w:rsid w:val="007676A4"/>
    <w:rsid w:val="00770299"/>
    <w:rsid w:val="00773719"/>
    <w:rsid w:val="00775C67"/>
    <w:rsid w:val="007769CD"/>
    <w:rsid w:val="00777666"/>
    <w:rsid w:val="00777795"/>
    <w:rsid w:val="00777D9C"/>
    <w:rsid w:val="00782DE1"/>
    <w:rsid w:val="00783A57"/>
    <w:rsid w:val="00784078"/>
    <w:rsid w:val="00784C92"/>
    <w:rsid w:val="007859CD"/>
    <w:rsid w:val="00785C24"/>
    <w:rsid w:val="00787B86"/>
    <w:rsid w:val="007907E4"/>
    <w:rsid w:val="007915C2"/>
    <w:rsid w:val="00791BDD"/>
    <w:rsid w:val="007940B3"/>
    <w:rsid w:val="00796461"/>
    <w:rsid w:val="007A0294"/>
    <w:rsid w:val="007A2440"/>
    <w:rsid w:val="007A389B"/>
    <w:rsid w:val="007A39D1"/>
    <w:rsid w:val="007A6A4F"/>
    <w:rsid w:val="007A6B4F"/>
    <w:rsid w:val="007B03F5"/>
    <w:rsid w:val="007B0B44"/>
    <w:rsid w:val="007B3DC9"/>
    <w:rsid w:val="007B5C09"/>
    <w:rsid w:val="007B5DA2"/>
    <w:rsid w:val="007B79A1"/>
    <w:rsid w:val="007C0966"/>
    <w:rsid w:val="007C11EA"/>
    <w:rsid w:val="007C19E7"/>
    <w:rsid w:val="007C257C"/>
    <w:rsid w:val="007C30CD"/>
    <w:rsid w:val="007C5CFD"/>
    <w:rsid w:val="007C6B43"/>
    <w:rsid w:val="007C6D9F"/>
    <w:rsid w:val="007D2E3E"/>
    <w:rsid w:val="007D4584"/>
    <w:rsid w:val="007D4893"/>
    <w:rsid w:val="007D60CD"/>
    <w:rsid w:val="007E119B"/>
    <w:rsid w:val="007E4152"/>
    <w:rsid w:val="007E4339"/>
    <w:rsid w:val="007E4600"/>
    <w:rsid w:val="007E70CF"/>
    <w:rsid w:val="007E74A4"/>
    <w:rsid w:val="007F05FE"/>
    <w:rsid w:val="007F1B6F"/>
    <w:rsid w:val="007F263F"/>
    <w:rsid w:val="007F3548"/>
    <w:rsid w:val="007F4928"/>
    <w:rsid w:val="008015A8"/>
    <w:rsid w:val="008035A9"/>
    <w:rsid w:val="0080766E"/>
    <w:rsid w:val="008106E9"/>
    <w:rsid w:val="00811169"/>
    <w:rsid w:val="008116E5"/>
    <w:rsid w:val="00812A5D"/>
    <w:rsid w:val="008131AF"/>
    <w:rsid w:val="00815297"/>
    <w:rsid w:val="00815E5A"/>
    <w:rsid w:val="0081679D"/>
    <w:rsid w:val="00816B50"/>
    <w:rsid w:val="008170DB"/>
    <w:rsid w:val="00817BA1"/>
    <w:rsid w:val="00823022"/>
    <w:rsid w:val="0082598B"/>
    <w:rsid w:val="0082634E"/>
    <w:rsid w:val="0082655D"/>
    <w:rsid w:val="0083076C"/>
    <w:rsid w:val="008313C4"/>
    <w:rsid w:val="0083148C"/>
    <w:rsid w:val="00832FA4"/>
    <w:rsid w:val="00834700"/>
    <w:rsid w:val="00835434"/>
    <w:rsid w:val="008358C0"/>
    <w:rsid w:val="00842838"/>
    <w:rsid w:val="00844DF0"/>
    <w:rsid w:val="008516DA"/>
    <w:rsid w:val="00854EC1"/>
    <w:rsid w:val="00855389"/>
    <w:rsid w:val="0085797F"/>
    <w:rsid w:val="00861DC3"/>
    <w:rsid w:val="00865454"/>
    <w:rsid w:val="0086561E"/>
    <w:rsid w:val="008660B5"/>
    <w:rsid w:val="00867019"/>
    <w:rsid w:val="0086733A"/>
    <w:rsid w:val="008702DA"/>
    <w:rsid w:val="00870510"/>
    <w:rsid w:val="00872EF1"/>
    <w:rsid w:val="008735A9"/>
    <w:rsid w:val="00875D9E"/>
    <w:rsid w:val="00877B2A"/>
    <w:rsid w:val="00877BC5"/>
    <w:rsid w:val="00877D20"/>
    <w:rsid w:val="008804CA"/>
    <w:rsid w:val="00881354"/>
    <w:rsid w:val="00881C48"/>
    <w:rsid w:val="0088395C"/>
    <w:rsid w:val="00883E23"/>
    <w:rsid w:val="00885B80"/>
    <w:rsid w:val="00885C30"/>
    <w:rsid w:val="00885E9B"/>
    <w:rsid w:val="008905D2"/>
    <w:rsid w:val="00890CF4"/>
    <w:rsid w:val="00891183"/>
    <w:rsid w:val="008911FC"/>
    <w:rsid w:val="0089368E"/>
    <w:rsid w:val="00893C96"/>
    <w:rsid w:val="0089500A"/>
    <w:rsid w:val="00897C94"/>
    <w:rsid w:val="00897E66"/>
    <w:rsid w:val="008A1DB4"/>
    <w:rsid w:val="008A380E"/>
    <w:rsid w:val="008A3CF5"/>
    <w:rsid w:val="008A4B30"/>
    <w:rsid w:val="008A69D1"/>
    <w:rsid w:val="008A7C12"/>
    <w:rsid w:val="008B03CE"/>
    <w:rsid w:val="008B049C"/>
    <w:rsid w:val="008B2F1E"/>
    <w:rsid w:val="008B4436"/>
    <w:rsid w:val="008B4D2C"/>
    <w:rsid w:val="008B529E"/>
    <w:rsid w:val="008C1527"/>
    <w:rsid w:val="008C17FB"/>
    <w:rsid w:val="008C3161"/>
    <w:rsid w:val="008C70BB"/>
    <w:rsid w:val="008D1081"/>
    <w:rsid w:val="008D1B00"/>
    <w:rsid w:val="008D4603"/>
    <w:rsid w:val="008D4C60"/>
    <w:rsid w:val="008D57B8"/>
    <w:rsid w:val="008E03FC"/>
    <w:rsid w:val="008E19F9"/>
    <w:rsid w:val="008E510B"/>
    <w:rsid w:val="008E6C63"/>
    <w:rsid w:val="008F01CA"/>
    <w:rsid w:val="008F088E"/>
    <w:rsid w:val="008F1852"/>
    <w:rsid w:val="008F39F2"/>
    <w:rsid w:val="009007A4"/>
    <w:rsid w:val="00902902"/>
    <w:rsid w:val="00902AD2"/>
    <w:rsid w:val="00902B13"/>
    <w:rsid w:val="00904F4F"/>
    <w:rsid w:val="00906EE7"/>
    <w:rsid w:val="00911941"/>
    <w:rsid w:val="00913E5C"/>
    <w:rsid w:val="00913E6B"/>
    <w:rsid w:val="00916ADE"/>
    <w:rsid w:val="0091767B"/>
    <w:rsid w:val="0092024D"/>
    <w:rsid w:val="00924ECD"/>
    <w:rsid w:val="00925146"/>
    <w:rsid w:val="00925148"/>
    <w:rsid w:val="009254DC"/>
    <w:rsid w:val="00925A42"/>
    <w:rsid w:val="00925F0F"/>
    <w:rsid w:val="00927698"/>
    <w:rsid w:val="00931474"/>
    <w:rsid w:val="00932F6B"/>
    <w:rsid w:val="009333BF"/>
    <w:rsid w:val="00934A08"/>
    <w:rsid w:val="00941943"/>
    <w:rsid w:val="0094332F"/>
    <w:rsid w:val="0094351A"/>
    <w:rsid w:val="009444F0"/>
    <w:rsid w:val="0094588E"/>
    <w:rsid w:val="009468BC"/>
    <w:rsid w:val="00946E97"/>
    <w:rsid w:val="00947FAE"/>
    <w:rsid w:val="009511B2"/>
    <w:rsid w:val="00951A04"/>
    <w:rsid w:val="009529CA"/>
    <w:rsid w:val="009542CB"/>
    <w:rsid w:val="00954904"/>
    <w:rsid w:val="00954BE2"/>
    <w:rsid w:val="0095677B"/>
    <w:rsid w:val="00956A03"/>
    <w:rsid w:val="009616DF"/>
    <w:rsid w:val="00961BC4"/>
    <w:rsid w:val="009631F3"/>
    <w:rsid w:val="009643EC"/>
    <w:rsid w:val="0096542F"/>
    <w:rsid w:val="00967625"/>
    <w:rsid w:val="00967FA7"/>
    <w:rsid w:val="00971645"/>
    <w:rsid w:val="00972006"/>
    <w:rsid w:val="00974B64"/>
    <w:rsid w:val="00975451"/>
    <w:rsid w:val="00976B21"/>
    <w:rsid w:val="00977919"/>
    <w:rsid w:val="00982403"/>
    <w:rsid w:val="00983000"/>
    <w:rsid w:val="00985595"/>
    <w:rsid w:val="009870FA"/>
    <w:rsid w:val="00987E32"/>
    <w:rsid w:val="0099018E"/>
    <w:rsid w:val="0099091A"/>
    <w:rsid w:val="00990CC6"/>
    <w:rsid w:val="009921C3"/>
    <w:rsid w:val="0099551D"/>
    <w:rsid w:val="009958B4"/>
    <w:rsid w:val="00997036"/>
    <w:rsid w:val="009A5897"/>
    <w:rsid w:val="009A5F24"/>
    <w:rsid w:val="009A63C2"/>
    <w:rsid w:val="009B0B3E"/>
    <w:rsid w:val="009B1333"/>
    <w:rsid w:val="009B1913"/>
    <w:rsid w:val="009B6657"/>
    <w:rsid w:val="009B6966"/>
    <w:rsid w:val="009C35E3"/>
    <w:rsid w:val="009C7904"/>
    <w:rsid w:val="009D0EB5"/>
    <w:rsid w:val="009D14F9"/>
    <w:rsid w:val="009D15AD"/>
    <w:rsid w:val="009D2B74"/>
    <w:rsid w:val="009D48E7"/>
    <w:rsid w:val="009D59CF"/>
    <w:rsid w:val="009D63FF"/>
    <w:rsid w:val="009E175D"/>
    <w:rsid w:val="009E3CC2"/>
    <w:rsid w:val="009E4A45"/>
    <w:rsid w:val="009E4DE2"/>
    <w:rsid w:val="009F06BD"/>
    <w:rsid w:val="009F2A4D"/>
    <w:rsid w:val="009F5AE7"/>
    <w:rsid w:val="009F61CE"/>
    <w:rsid w:val="009F6CDF"/>
    <w:rsid w:val="00A00828"/>
    <w:rsid w:val="00A011F1"/>
    <w:rsid w:val="00A0158D"/>
    <w:rsid w:val="00A03290"/>
    <w:rsid w:val="00A0387E"/>
    <w:rsid w:val="00A043D4"/>
    <w:rsid w:val="00A05247"/>
    <w:rsid w:val="00A05BFD"/>
    <w:rsid w:val="00A05CA7"/>
    <w:rsid w:val="00A062B8"/>
    <w:rsid w:val="00A07490"/>
    <w:rsid w:val="00A07D98"/>
    <w:rsid w:val="00A10655"/>
    <w:rsid w:val="00A12B64"/>
    <w:rsid w:val="00A1316B"/>
    <w:rsid w:val="00A13C4F"/>
    <w:rsid w:val="00A14010"/>
    <w:rsid w:val="00A21ED3"/>
    <w:rsid w:val="00A22C38"/>
    <w:rsid w:val="00A25193"/>
    <w:rsid w:val="00A26E80"/>
    <w:rsid w:val="00A31AE8"/>
    <w:rsid w:val="00A33406"/>
    <w:rsid w:val="00A37124"/>
    <w:rsid w:val="00A3739D"/>
    <w:rsid w:val="00A37DDA"/>
    <w:rsid w:val="00A411BC"/>
    <w:rsid w:val="00A448D7"/>
    <w:rsid w:val="00A45005"/>
    <w:rsid w:val="00A526F0"/>
    <w:rsid w:val="00A538EB"/>
    <w:rsid w:val="00A54185"/>
    <w:rsid w:val="00A5458C"/>
    <w:rsid w:val="00A5545F"/>
    <w:rsid w:val="00A567EE"/>
    <w:rsid w:val="00A60B74"/>
    <w:rsid w:val="00A64F4D"/>
    <w:rsid w:val="00A651BA"/>
    <w:rsid w:val="00A661BA"/>
    <w:rsid w:val="00A672EC"/>
    <w:rsid w:val="00A70630"/>
    <w:rsid w:val="00A70DD8"/>
    <w:rsid w:val="00A72789"/>
    <w:rsid w:val="00A72870"/>
    <w:rsid w:val="00A73627"/>
    <w:rsid w:val="00A744F1"/>
    <w:rsid w:val="00A74CC7"/>
    <w:rsid w:val="00A75FA0"/>
    <w:rsid w:val="00A76790"/>
    <w:rsid w:val="00A83218"/>
    <w:rsid w:val="00A83E4D"/>
    <w:rsid w:val="00A851D3"/>
    <w:rsid w:val="00A85D0C"/>
    <w:rsid w:val="00A9075F"/>
    <w:rsid w:val="00A90FCD"/>
    <w:rsid w:val="00A922F1"/>
    <w:rsid w:val="00A925EC"/>
    <w:rsid w:val="00A929AA"/>
    <w:rsid w:val="00A92B6B"/>
    <w:rsid w:val="00A94BA5"/>
    <w:rsid w:val="00A97C9B"/>
    <w:rsid w:val="00AA0D93"/>
    <w:rsid w:val="00AA14B7"/>
    <w:rsid w:val="00AA541E"/>
    <w:rsid w:val="00AA5494"/>
    <w:rsid w:val="00AA76C4"/>
    <w:rsid w:val="00AB12D1"/>
    <w:rsid w:val="00AB3A50"/>
    <w:rsid w:val="00AB424C"/>
    <w:rsid w:val="00AB460D"/>
    <w:rsid w:val="00AB48BE"/>
    <w:rsid w:val="00AB4E92"/>
    <w:rsid w:val="00AB6E92"/>
    <w:rsid w:val="00AC00DA"/>
    <w:rsid w:val="00AC0484"/>
    <w:rsid w:val="00AC19EE"/>
    <w:rsid w:val="00AC2382"/>
    <w:rsid w:val="00AC31BD"/>
    <w:rsid w:val="00AC58EE"/>
    <w:rsid w:val="00AD0DA4"/>
    <w:rsid w:val="00AD4169"/>
    <w:rsid w:val="00AE258F"/>
    <w:rsid w:val="00AE25C6"/>
    <w:rsid w:val="00AE306C"/>
    <w:rsid w:val="00AE4B76"/>
    <w:rsid w:val="00AE4D65"/>
    <w:rsid w:val="00AE6161"/>
    <w:rsid w:val="00AF28C1"/>
    <w:rsid w:val="00AF77C9"/>
    <w:rsid w:val="00B02EF1"/>
    <w:rsid w:val="00B05709"/>
    <w:rsid w:val="00B06256"/>
    <w:rsid w:val="00B07B12"/>
    <w:rsid w:val="00B07C97"/>
    <w:rsid w:val="00B111D6"/>
    <w:rsid w:val="00B11C67"/>
    <w:rsid w:val="00B1221E"/>
    <w:rsid w:val="00B15754"/>
    <w:rsid w:val="00B15C1B"/>
    <w:rsid w:val="00B16002"/>
    <w:rsid w:val="00B2046E"/>
    <w:rsid w:val="00B20E8B"/>
    <w:rsid w:val="00B211BF"/>
    <w:rsid w:val="00B24344"/>
    <w:rsid w:val="00B257E1"/>
    <w:rsid w:val="00B2599A"/>
    <w:rsid w:val="00B27174"/>
    <w:rsid w:val="00B27AC4"/>
    <w:rsid w:val="00B30893"/>
    <w:rsid w:val="00B309E9"/>
    <w:rsid w:val="00B343CC"/>
    <w:rsid w:val="00B36677"/>
    <w:rsid w:val="00B378DD"/>
    <w:rsid w:val="00B44B34"/>
    <w:rsid w:val="00B45DD6"/>
    <w:rsid w:val="00B45ED6"/>
    <w:rsid w:val="00B5084A"/>
    <w:rsid w:val="00B54196"/>
    <w:rsid w:val="00B546BB"/>
    <w:rsid w:val="00B606A1"/>
    <w:rsid w:val="00B610C6"/>
    <w:rsid w:val="00B614F7"/>
    <w:rsid w:val="00B61B26"/>
    <w:rsid w:val="00B633BD"/>
    <w:rsid w:val="00B65E6B"/>
    <w:rsid w:val="00B66EB3"/>
    <w:rsid w:val="00B675B2"/>
    <w:rsid w:val="00B81261"/>
    <w:rsid w:val="00B8223E"/>
    <w:rsid w:val="00B82BBA"/>
    <w:rsid w:val="00B832AE"/>
    <w:rsid w:val="00B85CB5"/>
    <w:rsid w:val="00B86678"/>
    <w:rsid w:val="00B87666"/>
    <w:rsid w:val="00B9092B"/>
    <w:rsid w:val="00B913DB"/>
    <w:rsid w:val="00B9261C"/>
    <w:rsid w:val="00B92F9B"/>
    <w:rsid w:val="00B94085"/>
    <w:rsid w:val="00B941B3"/>
    <w:rsid w:val="00B953B0"/>
    <w:rsid w:val="00B96513"/>
    <w:rsid w:val="00BA1D47"/>
    <w:rsid w:val="00BA66F0"/>
    <w:rsid w:val="00BB2239"/>
    <w:rsid w:val="00BB2AE7"/>
    <w:rsid w:val="00BB4276"/>
    <w:rsid w:val="00BB6464"/>
    <w:rsid w:val="00BB7300"/>
    <w:rsid w:val="00BB7367"/>
    <w:rsid w:val="00BB7DD5"/>
    <w:rsid w:val="00BC1BB8"/>
    <w:rsid w:val="00BC4379"/>
    <w:rsid w:val="00BC52AD"/>
    <w:rsid w:val="00BC7DC6"/>
    <w:rsid w:val="00BD1C52"/>
    <w:rsid w:val="00BD54B4"/>
    <w:rsid w:val="00BD6540"/>
    <w:rsid w:val="00BD7FE1"/>
    <w:rsid w:val="00BE37CA"/>
    <w:rsid w:val="00BE3F6D"/>
    <w:rsid w:val="00BE6144"/>
    <w:rsid w:val="00BE635A"/>
    <w:rsid w:val="00BF068E"/>
    <w:rsid w:val="00BF17E9"/>
    <w:rsid w:val="00BF1A4E"/>
    <w:rsid w:val="00BF2ABB"/>
    <w:rsid w:val="00BF5099"/>
    <w:rsid w:val="00C01E65"/>
    <w:rsid w:val="00C10B5E"/>
    <w:rsid w:val="00C10F10"/>
    <w:rsid w:val="00C136A6"/>
    <w:rsid w:val="00C15D4D"/>
    <w:rsid w:val="00C175DC"/>
    <w:rsid w:val="00C17C51"/>
    <w:rsid w:val="00C202B6"/>
    <w:rsid w:val="00C20A66"/>
    <w:rsid w:val="00C21044"/>
    <w:rsid w:val="00C25B08"/>
    <w:rsid w:val="00C30171"/>
    <w:rsid w:val="00C3042A"/>
    <w:rsid w:val="00C309D8"/>
    <w:rsid w:val="00C32DF5"/>
    <w:rsid w:val="00C32FD4"/>
    <w:rsid w:val="00C335B7"/>
    <w:rsid w:val="00C37625"/>
    <w:rsid w:val="00C40964"/>
    <w:rsid w:val="00C40AFC"/>
    <w:rsid w:val="00C41CED"/>
    <w:rsid w:val="00C425E7"/>
    <w:rsid w:val="00C43519"/>
    <w:rsid w:val="00C442C7"/>
    <w:rsid w:val="00C45263"/>
    <w:rsid w:val="00C452D9"/>
    <w:rsid w:val="00C51537"/>
    <w:rsid w:val="00C5260A"/>
    <w:rsid w:val="00C5298E"/>
    <w:rsid w:val="00C52BC3"/>
    <w:rsid w:val="00C54BD6"/>
    <w:rsid w:val="00C5642C"/>
    <w:rsid w:val="00C600B7"/>
    <w:rsid w:val="00C601CB"/>
    <w:rsid w:val="00C607D7"/>
    <w:rsid w:val="00C612C8"/>
    <w:rsid w:val="00C61AFA"/>
    <w:rsid w:val="00C61D64"/>
    <w:rsid w:val="00C61E8A"/>
    <w:rsid w:val="00C62099"/>
    <w:rsid w:val="00C62A34"/>
    <w:rsid w:val="00C64EA3"/>
    <w:rsid w:val="00C717E4"/>
    <w:rsid w:val="00C72867"/>
    <w:rsid w:val="00C7331E"/>
    <w:rsid w:val="00C7367C"/>
    <w:rsid w:val="00C75E81"/>
    <w:rsid w:val="00C814B5"/>
    <w:rsid w:val="00C81BCD"/>
    <w:rsid w:val="00C83AF9"/>
    <w:rsid w:val="00C83BB6"/>
    <w:rsid w:val="00C83D3F"/>
    <w:rsid w:val="00C83E1D"/>
    <w:rsid w:val="00C86609"/>
    <w:rsid w:val="00C877B7"/>
    <w:rsid w:val="00C902A0"/>
    <w:rsid w:val="00C90AF7"/>
    <w:rsid w:val="00C929C2"/>
    <w:rsid w:val="00C92B4C"/>
    <w:rsid w:val="00C93693"/>
    <w:rsid w:val="00C94086"/>
    <w:rsid w:val="00C94EEF"/>
    <w:rsid w:val="00C954F6"/>
    <w:rsid w:val="00C9690C"/>
    <w:rsid w:val="00C97BEB"/>
    <w:rsid w:val="00CA19AA"/>
    <w:rsid w:val="00CA36A0"/>
    <w:rsid w:val="00CA6BC5"/>
    <w:rsid w:val="00CB2103"/>
    <w:rsid w:val="00CB6588"/>
    <w:rsid w:val="00CC331A"/>
    <w:rsid w:val="00CC4422"/>
    <w:rsid w:val="00CC571B"/>
    <w:rsid w:val="00CC5DBC"/>
    <w:rsid w:val="00CC5F04"/>
    <w:rsid w:val="00CC61CD"/>
    <w:rsid w:val="00CC6C02"/>
    <w:rsid w:val="00CC737B"/>
    <w:rsid w:val="00CD1F9D"/>
    <w:rsid w:val="00CD4FD4"/>
    <w:rsid w:val="00CD5011"/>
    <w:rsid w:val="00CD7F5B"/>
    <w:rsid w:val="00CE233B"/>
    <w:rsid w:val="00CE5801"/>
    <w:rsid w:val="00CE640F"/>
    <w:rsid w:val="00CE76BC"/>
    <w:rsid w:val="00CE7B2A"/>
    <w:rsid w:val="00CF0AA3"/>
    <w:rsid w:val="00CF0C29"/>
    <w:rsid w:val="00CF29DE"/>
    <w:rsid w:val="00CF540E"/>
    <w:rsid w:val="00D01CEA"/>
    <w:rsid w:val="00D02F07"/>
    <w:rsid w:val="00D0375B"/>
    <w:rsid w:val="00D13F0B"/>
    <w:rsid w:val="00D14EA5"/>
    <w:rsid w:val="00D15D88"/>
    <w:rsid w:val="00D27D49"/>
    <w:rsid w:val="00D27EBE"/>
    <w:rsid w:val="00D27F50"/>
    <w:rsid w:val="00D30C41"/>
    <w:rsid w:val="00D30F33"/>
    <w:rsid w:val="00D3274B"/>
    <w:rsid w:val="00D32BA2"/>
    <w:rsid w:val="00D36A49"/>
    <w:rsid w:val="00D36A97"/>
    <w:rsid w:val="00D37BDC"/>
    <w:rsid w:val="00D438AF"/>
    <w:rsid w:val="00D45C2A"/>
    <w:rsid w:val="00D47DC7"/>
    <w:rsid w:val="00D50C4D"/>
    <w:rsid w:val="00D517C6"/>
    <w:rsid w:val="00D56F7E"/>
    <w:rsid w:val="00D5719F"/>
    <w:rsid w:val="00D60877"/>
    <w:rsid w:val="00D615C8"/>
    <w:rsid w:val="00D65698"/>
    <w:rsid w:val="00D66D1D"/>
    <w:rsid w:val="00D70A4E"/>
    <w:rsid w:val="00D71D84"/>
    <w:rsid w:val="00D71DA3"/>
    <w:rsid w:val="00D71F53"/>
    <w:rsid w:val="00D72464"/>
    <w:rsid w:val="00D72796"/>
    <w:rsid w:val="00D72A57"/>
    <w:rsid w:val="00D74FBD"/>
    <w:rsid w:val="00D768EB"/>
    <w:rsid w:val="00D81E17"/>
    <w:rsid w:val="00D82D1E"/>
    <w:rsid w:val="00D82DDF"/>
    <w:rsid w:val="00D832D9"/>
    <w:rsid w:val="00D90F00"/>
    <w:rsid w:val="00D95ACE"/>
    <w:rsid w:val="00D960CD"/>
    <w:rsid w:val="00D96220"/>
    <w:rsid w:val="00D96804"/>
    <w:rsid w:val="00D97500"/>
    <w:rsid w:val="00D975C0"/>
    <w:rsid w:val="00DA03CF"/>
    <w:rsid w:val="00DA391A"/>
    <w:rsid w:val="00DA5285"/>
    <w:rsid w:val="00DA6273"/>
    <w:rsid w:val="00DA6309"/>
    <w:rsid w:val="00DA71EA"/>
    <w:rsid w:val="00DA7984"/>
    <w:rsid w:val="00DB191D"/>
    <w:rsid w:val="00DB1BEB"/>
    <w:rsid w:val="00DB2E95"/>
    <w:rsid w:val="00DB4F91"/>
    <w:rsid w:val="00DB6D0A"/>
    <w:rsid w:val="00DC06BE"/>
    <w:rsid w:val="00DC0C6A"/>
    <w:rsid w:val="00DC1F0F"/>
    <w:rsid w:val="00DC2200"/>
    <w:rsid w:val="00DC2632"/>
    <w:rsid w:val="00DC3117"/>
    <w:rsid w:val="00DC4E2A"/>
    <w:rsid w:val="00DC5DD9"/>
    <w:rsid w:val="00DC5F0C"/>
    <w:rsid w:val="00DC6825"/>
    <w:rsid w:val="00DC6D2D"/>
    <w:rsid w:val="00DD27A8"/>
    <w:rsid w:val="00DD3975"/>
    <w:rsid w:val="00DD445E"/>
    <w:rsid w:val="00DD4E59"/>
    <w:rsid w:val="00DE0460"/>
    <w:rsid w:val="00DE0954"/>
    <w:rsid w:val="00DE1F3B"/>
    <w:rsid w:val="00DE33B5"/>
    <w:rsid w:val="00DE5E18"/>
    <w:rsid w:val="00DF0487"/>
    <w:rsid w:val="00DF133A"/>
    <w:rsid w:val="00DF3A41"/>
    <w:rsid w:val="00DF3F17"/>
    <w:rsid w:val="00DF4F76"/>
    <w:rsid w:val="00DF55DF"/>
    <w:rsid w:val="00DF5EA4"/>
    <w:rsid w:val="00DF7271"/>
    <w:rsid w:val="00DF7A87"/>
    <w:rsid w:val="00E02681"/>
    <w:rsid w:val="00E02792"/>
    <w:rsid w:val="00E034D8"/>
    <w:rsid w:val="00E04CC0"/>
    <w:rsid w:val="00E06AF5"/>
    <w:rsid w:val="00E10A96"/>
    <w:rsid w:val="00E123F0"/>
    <w:rsid w:val="00E14950"/>
    <w:rsid w:val="00E14DBF"/>
    <w:rsid w:val="00E15816"/>
    <w:rsid w:val="00E160D5"/>
    <w:rsid w:val="00E17F3F"/>
    <w:rsid w:val="00E239FF"/>
    <w:rsid w:val="00E27D7B"/>
    <w:rsid w:val="00E30556"/>
    <w:rsid w:val="00E30981"/>
    <w:rsid w:val="00E33136"/>
    <w:rsid w:val="00E34D7C"/>
    <w:rsid w:val="00E3723D"/>
    <w:rsid w:val="00E37898"/>
    <w:rsid w:val="00E37C8A"/>
    <w:rsid w:val="00E44C89"/>
    <w:rsid w:val="00E44F99"/>
    <w:rsid w:val="00E457A6"/>
    <w:rsid w:val="00E477CF"/>
    <w:rsid w:val="00E52EF0"/>
    <w:rsid w:val="00E53347"/>
    <w:rsid w:val="00E54F9E"/>
    <w:rsid w:val="00E55F57"/>
    <w:rsid w:val="00E57234"/>
    <w:rsid w:val="00E61BA2"/>
    <w:rsid w:val="00E63864"/>
    <w:rsid w:val="00E6403F"/>
    <w:rsid w:val="00E7325F"/>
    <w:rsid w:val="00E75043"/>
    <w:rsid w:val="00E75451"/>
    <w:rsid w:val="00E76AD6"/>
    <w:rsid w:val="00E770C4"/>
    <w:rsid w:val="00E773C9"/>
    <w:rsid w:val="00E80551"/>
    <w:rsid w:val="00E81101"/>
    <w:rsid w:val="00E84C5A"/>
    <w:rsid w:val="00E861DB"/>
    <w:rsid w:val="00E8770E"/>
    <w:rsid w:val="00E907FE"/>
    <w:rsid w:val="00E908F1"/>
    <w:rsid w:val="00E90B2A"/>
    <w:rsid w:val="00E9141C"/>
    <w:rsid w:val="00E93406"/>
    <w:rsid w:val="00E93A02"/>
    <w:rsid w:val="00E955B7"/>
    <w:rsid w:val="00E956C5"/>
    <w:rsid w:val="00E95C39"/>
    <w:rsid w:val="00E967BD"/>
    <w:rsid w:val="00EA1C40"/>
    <w:rsid w:val="00EA2C39"/>
    <w:rsid w:val="00EA5D29"/>
    <w:rsid w:val="00EA6B6C"/>
    <w:rsid w:val="00EB0323"/>
    <w:rsid w:val="00EB0A3C"/>
    <w:rsid w:val="00EB0A96"/>
    <w:rsid w:val="00EB0ABD"/>
    <w:rsid w:val="00EB14AE"/>
    <w:rsid w:val="00EB182B"/>
    <w:rsid w:val="00EB2C61"/>
    <w:rsid w:val="00EB3A85"/>
    <w:rsid w:val="00EB56EA"/>
    <w:rsid w:val="00EB6867"/>
    <w:rsid w:val="00EB7484"/>
    <w:rsid w:val="00EB77F9"/>
    <w:rsid w:val="00EC1B3C"/>
    <w:rsid w:val="00EC1F2F"/>
    <w:rsid w:val="00EC4ED8"/>
    <w:rsid w:val="00EC4F03"/>
    <w:rsid w:val="00EC5769"/>
    <w:rsid w:val="00EC7D00"/>
    <w:rsid w:val="00ED0304"/>
    <w:rsid w:val="00ED0D0C"/>
    <w:rsid w:val="00ED0DBF"/>
    <w:rsid w:val="00ED4FF7"/>
    <w:rsid w:val="00ED5B7B"/>
    <w:rsid w:val="00ED722A"/>
    <w:rsid w:val="00EE14BD"/>
    <w:rsid w:val="00EE3177"/>
    <w:rsid w:val="00EE38FA"/>
    <w:rsid w:val="00EE3AB8"/>
    <w:rsid w:val="00EE3E2C"/>
    <w:rsid w:val="00EE40F9"/>
    <w:rsid w:val="00EE47C9"/>
    <w:rsid w:val="00EE50F8"/>
    <w:rsid w:val="00EE54CE"/>
    <w:rsid w:val="00EE5D23"/>
    <w:rsid w:val="00EE750D"/>
    <w:rsid w:val="00EF28B4"/>
    <w:rsid w:val="00EF3CA4"/>
    <w:rsid w:val="00EF4899"/>
    <w:rsid w:val="00EF49A8"/>
    <w:rsid w:val="00EF7859"/>
    <w:rsid w:val="00F014DA"/>
    <w:rsid w:val="00F02591"/>
    <w:rsid w:val="00F029B8"/>
    <w:rsid w:val="00F030AC"/>
    <w:rsid w:val="00F03637"/>
    <w:rsid w:val="00F06FB3"/>
    <w:rsid w:val="00F07C03"/>
    <w:rsid w:val="00F1031E"/>
    <w:rsid w:val="00F10CEC"/>
    <w:rsid w:val="00F205CA"/>
    <w:rsid w:val="00F208D1"/>
    <w:rsid w:val="00F21076"/>
    <w:rsid w:val="00F226D1"/>
    <w:rsid w:val="00F24C68"/>
    <w:rsid w:val="00F30AE1"/>
    <w:rsid w:val="00F34846"/>
    <w:rsid w:val="00F43DFD"/>
    <w:rsid w:val="00F44B3E"/>
    <w:rsid w:val="00F46C56"/>
    <w:rsid w:val="00F51FC6"/>
    <w:rsid w:val="00F5696E"/>
    <w:rsid w:val="00F56FF1"/>
    <w:rsid w:val="00F6086D"/>
    <w:rsid w:val="00F60EFF"/>
    <w:rsid w:val="00F65FCB"/>
    <w:rsid w:val="00F67D2D"/>
    <w:rsid w:val="00F70338"/>
    <w:rsid w:val="00F73EE6"/>
    <w:rsid w:val="00F77AF0"/>
    <w:rsid w:val="00F8200F"/>
    <w:rsid w:val="00F858F2"/>
    <w:rsid w:val="00F860CC"/>
    <w:rsid w:val="00F86854"/>
    <w:rsid w:val="00F86D39"/>
    <w:rsid w:val="00F91C5B"/>
    <w:rsid w:val="00F921AE"/>
    <w:rsid w:val="00F94398"/>
    <w:rsid w:val="00F9777A"/>
    <w:rsid w:val="00FA1E99"/>
    <w:rsid w:val="00FA241C"/>
    <w:rsid w:val="00FA68D5"/>
    <w:rsid w:val="00FA7126"/>
    <w:rsid w:val="00FB2B56"/>
    <w:rsid w:val="00FB36F6"/>
    <w:rsid w:val="00FB52CD"/>
    <w:rsid w:val="00FB55D5"/>
    <w:rsid w:val="00FB5BF5"/>
    <w:rsid w:val="00FB5F32"/>
    <w:rsid w:val="00FC12BF"/>
    <w:rsid w:val="00FC2C60"/>
    <w:rsid w:val="00FC2D47"/>
    <w:rsid w:val="00FC328E"/>
    <w:rsid w:val="00FD0BF7"/>
    <w:rsid w:val="00FD3E6F"/>
    <w:rsid w:val="00FD51B9"/>
    <w:rsid w:val="00FD5849"/>
    <w:rsid w:val="00FE03E4"/>
    <w:rsid w:val="00FE1E84"/>
    <w:rsid w:val="00FE1E87"/>
    <w:rsid w:val="00FE2A39"/>
    <w:rsid w:val="00FE3366"/>
    <w:rsid w:val="00FE4072"/>
    <w:rsid w:val="00FE4F92"/>
    <w:rsid w:val="00FE5A2A"/>
    <w:rsid w:val="00FE77DE"/>
    <w:rsid w:val="00FE7AFB"/>
    <w:rsid w:val="00FF2F7B"/>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D8358-0D80-4776-B7E0-C3169DA4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D96804"/>
    <w:pPr>
      <w:tabs>
        <w:tab w:val="right" w:pos="9638"/>
      </w:tabs>
      <w:spacing w:after="240"/>
      <w:jc w:val="right"/>
    </w:pPr>
  </w:style>
  <w:style w:type="character" w:customStyle="1" w:styleId="HeaderChar">
    <w:name w:val="Header Char"/>
    <w:aliases w:val="Page header Char"/>
    <w:basedOn w:val="DefaultParagraphFont"/>
    <w:link w:val="Header"/>
    <w:rsid w:val="00D9680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491B08"/>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Lato" w:hAnsi="Lato"/>
        <w:b/>
        <w:sz w:val="22"/>
      </w:rPr>
      <w:tblPr/>
      <w:tcPr>
        <w:shd w:val="clear" w:color="auto" w:fill="1F1F5F" w:themeFill="text1"/>
      </w:tcPr>
    </w:tblStylePr>
    <w:tblStylePr w:type="lastRow">
      <w:rPr>
        <w:rFonts w:ascii="Lato" w:hAnsi="Lato"/>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Lato" w:hAnsi="Lato"/>
        <w:sz w:val="22"/>
      </w:rPr>
    </w:tblStylePr>
    <w:tblStylePr w:type="lastCol">
      <w:rPr>
        <w:rFonts w:ascii="Lato" w:hAnsi="Lato"/>
        <w:sz w:val="22"/>
      </w:rPr>
    </w:tblStylePr>
    <w:tblStylePr w:type="band1Vert">
      <w:rPr>
        <w:rFonts w:ascii="Lato" w:hAnsi="Lato"/>
        <w:sz w:val="22"/>
      </w:rPr>
    </w:tblStylePr>
    <w:tblStylePr w:type="band2Vert">
      <w:rPr>
        <w:rFonts w:ascii="Lato" w:hAnsi="Lato"/>
        <w:color w:val="au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rFonts w:ascii="Lato" w:hAnsi="Lato"/>
        <w:sz w:val="22"/>
      </w:rPr>
    </w:tblStylePr>
    <w:tblStylePr w:type="nwCell">
      <w:rPr>
        <w:rFonts w:ascii="Lato" w:hAnsi="Lato"/>
        <w:sz w:val="22"/>
      </w:rPr>
    </w:tblStylePr>
    <w:tblStylePr w:type="seCell">
      <w:rPr>
        <w:rFonts w:ascii="Lato" w:hAnsi="Lato"/>
        <w:sz w:val="22"/>
      </w:rPr>
    </w:tblStylePr>
    <w:tblStylePr w:type="swCell">
      <w:rPr>
        <w:rFonts w:ascii="Lato" w:hAnsi="Lato"/>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491B08"/>
    <w:pPr>
      <w:spacing w:after="0"/>
    </w:pPr>
    <w:rPr>
      <w:sz w:val="20"/>
      <w:szCs w:val="20"/>
    </w:rPr>
  </w:style>
  <w:style w:type="character" w:customStyle="1" w:styleId="FootnoteTextChar">
    <w:name w:val="Footnote Text Char"/>
    <w:basedOn w:val="DefaultParagraphFont"/>
    <w:link w:val="FootnoteText"/>
    <w:uiPriority w:val="99"/>
    <w:semiHidden/>
    <w:rsid w:val="00491B08"/>
    <w:rPr>
      <w:rFonts w:ascii="Lato" w:hAnsi="Lato"/>
      <w:sz w:val="20"/>
      <w:szCs w:val="20"/>
    </w:rPr>
  </w:style>
  <w:style w:type="character" w:styleId="FootnoteReference">
    <w:name w:val="footnote reference"/>
    <w:basedOn w:val="DefaultParagraphFont"/>
    <w:uiPriority w:val="99"/>
    <w:semiHidden/>
    <w:unhideWhenUsed/>
    <w:rsid w:val="00491B08"/>
    <w:rPr>
      <w:vertAlign w:val="superscript"/>
    </w:rPr>
  </w:style>
  <w:style w:type="paragraph" w:styleId="EndnoteText">
    <w:name w:val="endnote text"/>
    <w:basedOn w:val="Normal"/>
    <w:link w:val="EndnoteTextChar"/>
    <w:uiPriority w:val="99"/>
    <w:semiHidden/>
    <w:unhideWhenUsed/>
    <w:rsid w:val="00491B08"/>
    <w:pPr>
      <w:spacing w:after="0"/>
    </w:pPr>
    <w:rPr>
      <w:sz w:val="20"/>
      <w:szCs w:val="20"/>
    </w:rPr>
  </w:style>
  <w:style w:type="character" w:customStyle="1" w:styleId="EndnoteTextChar">
    <w:name w:val="Endnote Text Char"/>
    <w:basedOn w:val="DefaultParagraphFont"/>
    <w:link w:val="EndnoteText"/>
    <w:uiPriority w:val="99"/>
    <w:semiHidden/>
    <w:rsid w:val="00491B08"/>
    <w:rPr>
      <w:rFonts w:ascii="Lato" w:hAnsi="Lato"/>
      <w:sz w:val="20"/>
      <w:szCs w:val="20"/>
    </w:rPr>
  </w:style>
  <w:style w:type="character" w:styleId="EndnoteReference">
    <w:name w:val="endnote reference"/>
    <w:basedOn w:val="DefaultParagraphFont"/>
    <w:uiPriority w:val="99"/>
    <w:semiHidden/>
    <w:unhideWhenUsed/>
    <w:rsid w:val="00491B08"/>
    <w:rPr>
      <w:vertAlign w:val="superscript"/>
    </w:rPr>
  </w:style>
  <w:style w:type="paragraph" w:customStyle="1" w:styleId="Default">
    <w:name w:val="Default"/>
    <w:rsid w:val="00EA6B6C"/>
    <w:pPr>
      <w:autoSpaceDE w:val="0"/>
      <w:autoSpaceDN w:val="0"/>
      <w:adjustRightInd w:val="0"/>
      <w:spacing w:after="0"/>
    </w:pPr>
    <w:rPr>
      <w:rFonts w:ascii="Lato" w:hAnsi="Lato" w:cs="Lato"/>
      <w:color w:val="000000"/>
      <w:sz w:val="24"/>
      <w:szCs w:val="24"/>
    </w:rPr>
  </w:style>
  <w:style w:type="paragraph" w:customStyle="1" w:styleId="xmsonormal">
    <w:name w:val="x_msonormal"/>
    <w:basedOn w:val="Normal"/>
    <w:rsid w:val="004F6BC3"/>
    <w:pPr>
      <w:spacing w:after="0"/>
    </w:pPr>
    <w:rPr>
      <w:rFonts w:ascii="Times New Roman" w:eastAsiaTheme="minorHAnsi" w:hAnsi="Times New Roman"/>
      <w:sz w:val="24"/>
      <w:szCs w:val="24"/>
      <w:lang w:eastAsia="en-AU"/>
    </w:rPr>
  </w:style>
  <w:style w:type="character" w:styleId="Strong">
    <w:name w:val="Strong"/>
    <w:basedOn w:val="DefaultParagraphFont"/>
    <w:uiPriority w:val="22"/>
    <w:qFormat/>
    <w:rsid w:val="00213E77"/>
    <w:rPr>
      <w:b/>
      <w:bCs/>
    </w:rPr>
  </w:style>
  <w:style w:type="character" w:styleId="FollowedHyperlink">
    <w:name w:val="FollowedHyperlink"/>
    <w:basedOn w:val="DefaultParagraphFont"/>
    <w:uiPriority w:val="99"/>
    <w:semiHidden/>
    <w:unhideWhenUsed/>
    <w:rsid w:val="00213E77"/>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59340595">
      <w:bodyDiv w:val="1"/>
      <w:marLeft w:val="0"/>
      <w:marRight w:val="0"/>
      <w:marTop w:val="0"/>
      <w:marBottom w:val="0"/>
      <w:divBdr>
        <w:top w:val="none" w:sz="0" w:space="0" w:color="auto"/>
        <w:left w:val="none" w:sz="0" w:space="0" w:color="auto"/>
        <w:bottom w:val="none" w:sz="0" w:space="0" w:color="auto"/>
        <w:right w:val="none" w:sz="0" w:space="0" w:color="auto"/>
      </w:divBdr>
    </w:div>
    <w:div w:id="393085816">
      <w:bodyDiv w:val="1"/>
      <w:marLeft w:val="0"/>
      <w:marRight w:val="0"/>
      <w:marTop w:val="0"/>
      <w:marBottom w:val="0"/>
      <w:divBdr>
        <w:top w:val="none" w:sz="0" w:space="0" w:color="auto"/>
        <w:left w:val="none" w:sz="0" w:space="0" w:color="auto"/>
        <w:bottom w:val="none" w:sz="0" w:space="0" w:color="auto"/>
        <w:right w:val="none" w:sz="0" w:space="0" w:color="auto"/>
      </w:divBdr>
    </w:div>
    <w:div w:id="561066346">
      <w:bodyDiv w:val="1"/>
      <w:marLeft w:val="0"/>
      <w:marRight w:val="0"/>
      <w:marTop w:val="0"/>
      <w:marBottom w:val="0"/>
      <w:divBdr>
        <w:top w:val="none" w:sz="0" w:space="0" w:color="auto"/>
        <w:left w:val="none" w:sz="0" w:space="0" w:color="auto"/>
        <w:bottom w:val="none" w:sz="0" w:space="0" w:color="auto"/>
        <w:right w:val="none" w:sz="0" w:space="0" w:color="auto"/>
      </w:divBdr>
    </w:div>
    <w:div w:id="933173730">
      <w:bodyDiv w:val="1"/>
      <w:marLeft w:val="0"/>
      <w:marRight w:val="0"/>
      <w:marTop w:val="0"/>
      <w:marBottom w:val="0"/>
      <w:divBdr>
        <w:top w:val="none" w:sz="0" w:space="0" w:color="auto"/>
        <w:left w:val="none" w:sz="0" w:space="0" w:color="auto"/>
        <w:bottom w:val="none" w:sz="0" w:space="0" w:color="auto"/>
        <w:right w:val="none" w:sz="0" w:space="0" w:color="auto"/>
      </w:divBdr>
      <w:divsChild>
        <w:div w:id="274871564">
          <w:marLeft w:val="0"/>
          <w:marRight w:val="0"/>
          <w:marTop w:val="0"/>
          <w:marBottom w:val="0"/>
          <w:divBdr>
            <w:top w:val="none" w:sz="0" w:space="0" w:color="auto"/>
            <w:left w:val="none" w:sz="0" w:space="0" w:color="auto"/>
            <w:bottom w:val="none" w:sz="0" w:space="0" w:color="auto"/>
            <w:right w:val="none" w:sz="0" w:space="0" w:color="auto"/>
          </w:divBdr>
          <w:divsChild>
            <w:div w:id="1583173918">
              <w:marLeft w:val="0"/>
              <w:marRight w:val="0"/>
              <w:marTop w:val="0"/>
              <w:marBottom w:val="0"/>
              <w:divBdr>
                <w:top w:val="none" w:sz="0" w:space="0" w:color="auto"/>
                <w:left w:val="none" w:sz="0" w:space="0" w:color="auto"/>
                <w:bottom w:val="none" w:sz="0" w:space="0" w:color="auto"/>
                <w:right w:val="none" w:sz="0" w:space="0" w:color="auto"/>
              </w:divBdr>
              <w:divsChild>
                <w:div w:id="2008436494">
                  <w:marLeft w:val="0"/>
                  <w:marRight w:val="0"/>
                  <w:marTop w:val="0"/>
                  <w:marBottom w:val="0"/>
                  <w:divBdr>
                    <w:top w:val="none" w:sz="0" w:space="0" w:color="auto"/>
                    <w:left w:val="none" w:sz="0" w:space="0" w:color="auto"/>
                    <w:bottom w:val="none" w:sz="0" w:space="0" w:color="auto"/>
                    <w:right w:val="none" w:sz="0" w:space="0" w:color="auto"/>
                  </w:divBdr>
                  <w:divsChild>
                    <w:div w:id="1213424220">
                      <w:marLeft w:val="0"/>
                      <w:marRight w:val="0"/>
                      <w:marTop w:val="0"/>
                      <w:marBottom w:val="0"/>
                      <w:divBdr>
                        <w:top w:val="none" w:sz="0" w:space="0" w:color="auto"/>
                        <w:left w:val="none" w:sz="0" w:space="0" w:color="auto"/>
                        <w:bottom w:val="none" w:sz="0" w:space="0" w:color="auto"/>
                        <w:right w:val="none" w:sz="0" w:space="0" w:color="auto"/>
                      </w:divBdr>
                      <w:divsChild>
                        <w:div w:id="2086950716">
                          <w:marLeft w:val="0"/>
                          <w:marRight w:val="0"/>
                          <w:marTop w:val="0"/>
                          <w:marBottom w:val="0"/>
                          <w:divBdr>
                            <w:top w:val="none" w:sz="0" w:space="0" w:color="auto"/>
                            <w:left w:val="none" w:sz="0" w:space="0" w:color="auto"/>
                            <w:bottom w:val="none" w:sz="0" w:space="0" w:color="auto"/>
                            <w:right w:val="none" w:sz="0" w:space="0" w:color="auto"/>
                          </w:divBdr>
                          <w:divsChild>
                            <w:div w:id="703481297">
                              <w:marLeft w:val="0"/>
                              <w:marRight w:val="0"/>
                              <w:marTop w:val="0"/>
                              <w:marBottom w:val="0"/>
                              <w:divBdr>
                                <w:top w:val="none" w:sz="0" w:space="0" w:color="auto"/>
                                <w:left w:val="none" w:sz="0" w:space="0" w:color="auto"/>
                                <w:bottom w:val="none" w:sz="0" w:space="0" w:color="auto"/>
                                <w:right w:val="none" w:sz="0" w:space="0" w:color="auto"/>
                              </w:divBdr>
                              <w:divsChild>
                                <w:div w:id="545916135">
                                  <w:marLeft w:val="0"/>
                                  <w:marRight w:val="0"/>
                                  <w:marTop w:val="0"/>
                                  <w:marBottom w:val="0"/>
                                  <w:divBdr>
                                    <w:top w:val="none" w:sz="0" w:space="0" w:color="auto"/>
                                    <w:left w:val="none" w:sz="0" w:space="0" w:color="auto"/>
                                    <w:bottom w:val="none" w:sz="0" w:space="0" w:color="auto"/>
                                    <w:right w:val="none" w:sz="0" w:space="0" w:color="auto"/>
                                  </w:divBdr>
                                  <w:divsChild>
                                    <w:div w:id="2066755204">
                                      <w:marLeft w:val="0"/>
                                      <w:marRight w:val="0"/>
                                      <w:marTop w:val="0"/>
                                      <w:marBottom w:val="0"/>
                                      <w:divBdr>
                                        <w:top w:val="none" w:sz="0" w:space="0" w:color="auto"/>
                                        <w:left w:val="none" w:sz="0" w:space="0" w:color="auto"/>
                                        <w:bottom w:val="none" w:sz="0" w:space="0" w:color="auto"/>
                                        <w:right w:val="none" w:sz="0" w:space="0" w:color="auto"/>
                                      </w:divBdr>
                                      <w:divsChild>
                                        <w:div w:id="21072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0933">
      <w:bodyDiv w:val="1"/>
      <w:marLeft w:val="0"/>
      <w:marRight w:val="0"/>
      <w:marTop w:val="0"/>
      <w:marBottom w:val="0"/>
      <w:divBdr>
        <w:top w:val="none" w:sz="0" w:space="0" w:color="auto"/>
        <w:left w:val="none" w:sz="0" w:space="0" w:color="auto"/>
        <w:bottom w:val="none" w:sz="0" w:space="0" w:color="auto"/>
        <w:right w:val="none" w:sz="0" w:space="0" w:color="auto"/>
      </w:divBdr>
    </w:div>
    <w:div w:id="1521047294">
      <w:bodyDiv w:val="1"/>
      <w:marLeft w:val="0"/>
      <w:marRight w:val="0"/>
      <w:marTop w:val="0"/>
      <w:marBottom w:val="0"/>
      <w:divBdr>
        <w:top w:val="none" w:sz="0" w:space="0" w:color="auto"/>
        <w:left w:val="none" w:sz="0" w:space="0" w:color="auto"/>
        <w:bottom w:val="none" w:sz="0" w:space="0" w:color="auto"/>
        <w:right w:val="none" w:sz="0" w:space="0" w:color="auto"/>
      </w:divBdr>
    </w:div>
    <w:div w:id="164122995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57360432">
      <w:bodyDiv w:val="1"/>
      <w:marLeft w:val="0"/>
      <w:marRight w:val="0"/>
      <w:marTop w:val="0"/>
      <w:marBottom w:val="0"/>
      <w:divBdr>
        <w:top w:val="none" w:sz="0" w:space="0" w:color="auto"/>
        <w:left w:val="none" w:sz="0" w:space="0" w:color="auto"/>
        <w:bottom w:val="none" w:sz="0" w:space="0" w:color="auto"/>
        <w:right w:val="none" w:sz="0" w:space="0" w:color="auto"/>
      </w:divBdr>
    </w:div>
    <w:div w:id="1999142263">
      <w:bodyDiv w:val="1"/>
      <w:marLeft w:val="0"/>
      <w:marRight w:val="0"/>
      <w:marTop w:val="0"/>
      <w:marBottom w:val="0"/>
      <w:divBdr>
        <w:top w:val="none" w:sz="0" w:space="0" w:color="auto"/>
        <w:left w:val="none" w:sz="0" w:space="0" w:color="auto"/>
        <w:bottom w:val="none" w:sz="0" w:space="0" w:color="auto"/>
        <w:right w:val="none" w:sz="0" w:space="0" w:color="auto"/>
      </w:divBdr>
      <w:divsChild>
        <w:div w:id="1437091161">
          <w:marLeft w:val="0"/>
          <w:marRight w:val="0"/>
          <w:marTop w:val="0"/>
          <w:marBottom w:val="0"/>
          <w:divBdr>
            <w:top w:val="none" w:sz="0" w:space="0" w:color="auto"/>
            <w:left w:val="none" w:sz="0" w:space="0" w:color="auto"/>
            <w:bottom w:val="none" w:sz="0" w:space="0" w:color="auto"/>
            <w:right w:val="none" w:sz="0" w:space="0" w:color="auto"/>
          </w:divBdr>
          <w:divsChild>
            <w:div w:id="176963804">
              <w:marLeft w:val="-225"/>
              <w:marRight w:val="-225"/>
              <w:marTop w:val="0"/>
              <w:marBottom w:val="0"/>
              <w:divBdr>
                <w:top w:val="none" w:sz="0" w:space="0" w:color="auto"/>
                <w:left w:val="none" w:sz="0" w:space="0" w:color="auto"/>
                <w:bottom w:val="none" w:sz="0" w:space="0" w:color="auto"/>
                <w:right w:val="none" w:sz="0" w:space="0" w:color="auto"/>
              </w:divBdr>
              <w:divsChild>
                <w:div w:id="667095458">
                  <w:marLeft w:val="0"/>
                  <w:marRight w:val="0"/>
                  <w:marTop w:val="0"/>
                  <w:marBottom w:val="0"/>
                  <w:divBdr>
                    <w:top w:val="none" w:sz="0" w:space="0" w:color="auto"/>
                    <w:left w:val="none" w:sz="0" w:space="0" w:color="auto"/>
                    <w:bottom w:val="none" w:sz="0" w:space="0" w:color="auto"/>
                    <w:right w:val="none" w:sz="0" w:space="0" w:color="auto"/>
                  </w:divBdr>
                  <w:divsChild>
                    <w:div w:id="3868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horne\AppData\Local\Microsoft\Windows\INetCache\IE\UTSQV4LE\ntg-short-landscape-template_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904F84-6C61-4986-8741-D42A7884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ntg-short-landscape-template_1.dotx</Template>
  <TotalTime>1</TotalTime>
  <Pages>8</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Northern Territory Board of Studies 
Confirmed Minutes</vt:lpstr>
    </vt:vector>
  </TitlesOfParts>
  <Company>&lt;NAME&gt;</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Board of Studies 
Confirmed Minutes</dc:title>
  <dc:creator>Northern Territory Government</dc:creator>
  <cp:lastModifiedBy>Andrea Ruske</cp:lastModifiedBy>
  <cp:revision>3</cp:revision>
  <cp:lastPrinted>2021-07-29T21:56:00Z</cp:lastPrinted>
  <dcterms:created xsi:type="dcterms:W3CDTF">2021-07-30T00:48:00Z</dcterms:created>
  <dcterms:modified xsi:type="dcterms:W3CDTF">2021-07-30T00:49:00Z</dcterms:modified>
</cp:coreProperties>
</file>