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679" w:rsidRDefault="000E7679" w:rsidP="000E7679">
      <w:pPr>
        <w:pStyle w:val="Default"/>
      </w:pPr>
    </w:p>
    <w:p w:rsidR="000E7679" w:rsidRPr="00477A83" w:rsidRDefault="000E7679" w:rsidP="000E7679">
      <w:pPr>
        <w:pStyle w:val="Default"/>
        <w:ind w:left="426"/>
        <w:rPr>
          <w:rFonts w:ascii="Lato" w:hAnsi="Lato"/>
        </w:rPr>
      </w:pPr>
      <w:r w:rsidRPr="00477A83">
        <w:rPr>
          <w:rFonts w:ascii="Lato" w:hAnsi="Lato"/>
        </w:rPr>
        <w:t xml:space="preserve">This document should be read in conjunction with </w:t>
      </w:r>
      <w:hyperlink r:id="rId8" w:history="1">
        <w:r w:rsidRPr="00477A83">
          <w:rPr>
            <w:rStyle w:val="Hyperlink"/>
            <w:rFonts w:ascii="Lato" w:hAnsi="Lato"/>
            <w:bCs/>
          </w:rPr>
          <w:t>Enrolment policy and Enrolment guidelines</w:t>
        </w:r>
        <w:r w:rsidRPr="00477A83">
          <w:rPr>
            <w:rStyle w:val="Hyperlink"/>
            <w:rFonts w:ascii="Lato" w:hAnsi="Lato"/>
          </w:rPr>
          <w:t>.</w:t>
        </w:r>
      </w:hyperlink>
      <w:r w:rsidRPr="00477A83">
        <w:rPr>
          <w:rFonts w:ascii="Lato" w:hAnsi="Lato"/>
        </w:rPr>
        <w:t xml:space="preserve"> </w:t>
      </w:r>
    </w:p>
    <w:p w:rsidR="000E7679" w:rsidRPr="000E7679" w:rsidRDefault="000E7679" w:rsidP="000E7679">
      <w:pPr>
        <w:spacing w:before="240" w:after="240"/>
        <w:ind w:left="425"/>
        <w:rPr>
          <w:rFonts w:ascii="Lato" w:hAnsi="Lato"/>
          <w:sz w:val="22"/>
          <w:szCs w:val="22"/>
        </w:rPr>
      </w:pPr>
      <w:r w:rsidRPr="000E7679">
        <w:rPr>
          <w:rFonts w:ascii="Lato" w:hAnsi="Lato"/>
          <w:b/>
          <w:bCs/>
          <w:sz w:val="28"/>
          <w:szCs w:val="28"/>
        </w:rPr>
        <w:t>1. INTRODUCTION</w:t>
      </w:r>
    </w:p>
    <w:p w:rsidR="000E7679" w:rsidRPr="00477A83" w:rsidRDefault="000E7679" w:rsidP="000E7679">
      <w:pPr>
        <w:spacing w:before="240" w:after="240"/>
        <w:ind w:left="425"/>
        <w:rPr>
          <w:rFonts w:ascii="Lato" w:hAnsi="Lato"/>
          <w:sz w:val="24"/>
        </w:rPr>
      </w:pPr>
      <w:r w:rsidRPr="00477A83">
        <w:rPr>
          <w:rFonts w:ascii="Lato" w:hAnsi="Lato"/>
          <w:sz w:val="24"/>
        </w:rPr>
        <w:t xml:space="preserve">The Department </w:t>
      </w:r>
      <w:r w:rsidR="001C24E3" w:rsidRPr="00477A83">
        <w:rPr>
          <w:rFonts w:ascii="Lato" w:hAnsi="Lato"/>
          <w:sz w:val="24"/>
        </w:rPr>
        <w:t>i</w:t>
      </w:r>
      <w:r w:rsidRPr="00477A83">
        <w:rPr>
          <w:rFonts w:ascii="Lato" w:hAnsi="Lato"/>
          <w:sz w:val="24"/>
        </w:rPr>
        <w:t xml:space="preserve">s committed to providing a safe and supportive learning environment, which can include the implementation of measures that safeguard the young people and staff at Northern Territory (NT) government schools whilst supporting mature age students’ access to school education. These guidelines outline the process that must be followed by all schools and prospective mature age students who wish to resume studies in any NT government school. </w:t>
      </w:r>
    </w:p>
    <w:p w:rsidR="000E7679" w:rsidRPr="00477A83" w:rsidRDefault="000E7679" w:rsidP="000E7679">
      <w:pPr>
        <w:spacing w:before="240" w:after="240"/>
        <w:ind w:left="425"/>
        <w:rPr>
          <w:rFonts w:ascii="Lato" w:hAnsi="Lato"/>
          <w:sz w:val="24"/>
        </w:rPr>
      </w:pPr>
      <w:r w:rsidRPr="00477A83">
        <w:rPr>
          <w:rFonts w:ascii="Lato" w:hAnsi="Lato"/>
          <w:sz w:val="24"/>
        </w:rPr>
        <w:t>All prospective mature age students who are over 18 years of age and have not been enrolled in a school in the p</w:t>
      </w:r>
      <w:r w:rsidRPr="00477A83">
        <w:rPr>
          <w:rFonts w:ascii="Lato" w:hAnsi="Lato" w:cs="Arial"/>
          <w:sz w:val="24"/>
        </w:rPr>
        <w:t>receding</w:t>
      </w:r>
      <w:r w:rsidRPr="00477A83">
        <w:rPr>
          <w:rFonts w:ascii="Lato" w:hAnsi="Lato"/>
          <w:sz w:val="24"/>
        </w:rPr>
        <w:t xml:space="preserve"> 12 months must undertake a criminal history check at their own cost, prior to enrolment.  Continuing students who turn 18 while they are studying, or prospective students who have been enrolled in a school during the previous 12 months, are not required to obtain a criminal history check. </w:t>
      </w:r>
    </w:p>
    <w:p w:rsidR="000E7679" w:rsidRPr="000E7679" w:rsidRDefault="000E7679" w:rsidP="000E7679">
      <w:pPr>
        <w:keepNext/>
        <w:spacing w:before="280" w:after="120"/>
        <w:ind w:left="714" w:hanging="357"/>
        <w:outlineLvl w:val="1"/>
        <w:rPr>
          <w:rFonts w:ascii="Lato" w:hAnsi="Lato" w:cs="Arial"/>
          <w:b/>
          <w:bCs/>
          <w:iCs/>
          <w:sz w:val="28"/>
          <w:lang w:val="en-US"/>
        </w:rPr>
      </w:pPr>
      <w:r>
        <w:rPr>
          <w:rFonts w:ascii="Lato" w:hAnsi="Lato" w:cs="Arial"/>
          <w:b/>
          <w:bCs/>
          <w:iCs/>
          <w:sz w:val="28"/>
          <w:lang w:val="en-US"/>
        </w:rPr>
        <w:t xml:space="preserve">2. </w:t>
      </w:r>
      <w:r w:rsidRPr="000E7679">
        <w:rPr>
          <w:rFonts w:ascii="Lato" w:hAnsi="Lato" w:cs="Arial"/>
          <w:b/>
          <w:bCs/>
          <w:iCs/>
          <w:sz w:val="28"/>
          <w:lang w:val="en-US"/>
        </w:rPr>
        <w:t xml:space="preserve">DEFINITIONS </w:t>
      </w:r>
    </w:p>
    <w:p w:rsidR="000E7679" w:rsidRPr="00477A83" w:rsidRDefault="000E7679" w:rsidP="000E7679">
      <w:pPr>
        <w:ind w:left="425"/>
        <w:rPr>
          <w:rFonts w:ascii="Lato" w:hAnsi="Lato" w:cs="Arial"/>
          <w:sz w:val="24"/>
        </w:rPr>
      </w:pPr>
      <w:r w:rsidRPr="00477A83">
        <w:rPr>
          <w:rFonts w:ascii="Lato" w:hAnsi="Lato" w:cs="Arial"/>
          <w:b/>
          <w:sz w:val="24"/>
        </w:rPr>
        <w:t xml:space="preserve">Criminal history checks </w:t>
      </w:r>
      <w:r w:rsidRPr="00477A83">
        <w:rPr>
          <w:rFonts w:ascii="Lato" w:hAnsi="Lato" w:cs="Arial"/>
          <w:sz w:val="24"/>
        </w:rPr>
        <w:t xml:space="preserve">are administered by the Northern Territory Police, Fire and Emergency Services (NTPFES) through SAFE NT and detail whether a person has a criminal record. </w:t>
      </w:r>
    </w:p>
    <w:p w:rsidR="000E7679" w:rsidRPr="00477A83" w:rsidRDefault="000E7679" w:rsidP="000E7679">
      <w:pPr>
        <w:ind w:left="425"/>
        <w:rPr>
          <w:rFonts w:ascii="Lato" w:hAnsi="Lato" w:cs="Arial"/>
          <w:b/>
          <w:sz w:val="24"/>
        </w:rPr>
      </w:pPr>
    </w:p>
    <w:p w:rsidR="000E7679" w:rsidRPr="00477A83" w:rsidRDefault="000E7679" w:rsidP="000E7679">
      <w:pPr>
        <w:keepNext/>
        <w:widowControl w:val="0"/>
        <w:ind w:left="425"/>
        <w:jc w:val="both"/>
        <w:rPr>
          <w:rFonts w:ascii="Lato" w:hAnsi="Lato" w:cs="Arial"/>
          <w:sz w:val="24"/>
          <w:lang w:eastAsia="en-AU"/>
        </w:rPr>
      </w:pPr>
      <w:r w:rsidRPr="00477A83">
        <w:rPr>
          <w:rFonts w:ascii="Lato" w:hAnsi="Lato" w:cs="Arial"/>
          <w:b/>
          <w:sz w:val="24"/>
          <w:lang w:eastAsia="en-AU"/>
        </w:rPr>
        <w:t xml:space="preserve">Criminal records </w:t>
      </w:r>
      <w:r w:rsidRPr="00477A83">
        <w:rPr>
          <w:rFonts w:ascii="Lato" w:hAnsi="Lato" w:cs="Arial"/>
          <w:sz w:val="24"/>
          <w:lang w:eastAsia="en-AU"/>
        </w:rPr>
        <w:t xml:space="preserve">as defined under </w:t>
      </w:r>
      <w:r w:rsidRPr="00477A83">
        <w:rPr>
          <w:rFonts w:ascii="Lato" w:hAnsi="Lato" w:cs="Arial"/>
          <w:i/>
          <w:sz w:val="24"/>
          <w:lang w:eastAsia="en-AU"/>
        </w:rPr>
        <w:t>s 3(1) Criminal Records (Spent Convictions) Act</w:t>
      </w:r>
      <w:r w:rsidRPr="00477A83">
        <w:rPr>
          <w:rFonts w:ascii="Lato" w:hAnsi="Lato" w:cs="Arial"/>
          <w:b/>
          <w:sz w:val="24"/>
          <w:lang w:eastAsia="en-AU"/>
        </w:rPr>
        <w:t xml:space="preserve"> </w:t>
      </w:r>
      <w:r w:rsidRPr="00477A83">
        <w:rPr>
          <w:rFonts w:ascii="Lato" w:hAnsi="Lato" w:cs="Arial"/>
          <w:sz w:val="24"/>
          <w:lang w:eastAsia="en-AU"/>
        </w:rPr>
        <w:t>are records that include a conviction, finding, order, quashed conviction, pardon, charge or action in the Northern Territory or any other State or Territory of the Commonwealth.</w:t>
      </w:r>
    </w:p>
    <w:p w:rsidR="000E7679" w:rsidRPr="00477A83" w:rsidRDefault="000E7679" w:rsidP="000E7679">
      <w:pPr>
        <w:keepNext/>
        <w:widowControl w:val="0"/>
        <w:ind w:left="425"/>
        <w:jc w:val="both"/>
        <w:rPr>
          <w:rFonts w:ascii="Lato" w:hAnsi="Lato" w:cs="Arial"/>
          <w:sz w:val="24"/>
          <w:lang w:eastAsia="en-AU"/>
        </w:rPr>
      </w:pPr>
    </w:p>
    <w:p w:rsidR="000E7679" w:rsidRPr="00477A83" w:rsidRDefault="000E7679" w:rsidP="000E7679">
      <w:pPr>
        <w:keepNext/>
        <w:widowControl w:val="0"/>
        <w:ind w:left="425"/>
        <w:jc w:val="both"/>
        <w:rPr>
          <w:rFonts w:ascii="Lato" w:hAnsi="Lato" w:cs="Arial"/>
          <w:sz w:val="24"/>
          <w:lang w:eastAsia="en-AU"/>
        </w:rPr>
      </w:pPr>
      <w:r w:rsidRPr="00477A83">
        <w:rPr>
          <w:rFonts w:ascii="Lato" w:hAnsi="Lato" w:cs="Arial"/>
          <w:b/>
          <w:sz w:val="24"/>
          <w:lang w:eastAsia="en-AU"/>
        </w:rPr>
        <w:t xml:space="preserve">Criminal record reports </w:t>
      </w:r>
      <w:r w:rsidRPr="00477A83">
        <w:rPr>
          <w:rFonts w:ascii="Lato" w:hAnsi="Lato" w:cs="Arial"/>
          <w:sz w:val="24"/>
          <w:lang w:eastAsia="en-AU"/>
        </w:rPr>
        <w:t xml:space="preserve">provide a summary of a person’s criminal record. </w:t>
      </w:r>
      <w:r w:rsidRPr="00477A83">
        <w:rPr>
          <w:rFonts w:ascii="Lato" w:hAnsi="Lato" w:cs="Arial"/>
          <w:b/>
          <w:sz w:val="24"/>
          <w:lang w:eastAsia="en-AU"/>
        </w:rPr>
        <w:t xml:space="preserve"> </w:t>
      </w:r>
    </w:p>
    <w:p w:rsidR="000E7679" w:rsidRPr="00477A83" w:rsidRDefault="000E7679" w:rsidP="000E7679">
      <w:pPr>
        <w:keepNext/>
        <w:widowControl w:val="0"/>
        <w:ind w:left="425"/>
        <w:jc w:val="both"/>
        <w:rPr>
          <w:rFonts w:ascii="Lato" w:hAnsi="Lato" w:cs="Arial"/>
          <w:sz w:val="24"/>
          <w:lang w:eastAsia="en-AU"/>
        </w:rPr>
      </w:pPr>
      <w:r w:rsidRPr="00477A83">
        <w:rPr>
          <w:rFonts w:ascii="Lato" w:hAnsi="Lato" w:cs="Arial"/>
          <w:sz w:val="24"/>
          <w:lang w:eastAsia="en-AU"/>
        </w:rPr>
        <w:br/>
      </w:r>
      <w:r w:rsidRPr="00477A83">
        <w:rPr>
          <w:rFonts w:ascii="Lato" w:hAnsi="Lato" w:cs="Arial"/>
          <w:b/>
          <w:sz w:val="24"/>
          <w:lang w:eastAsia="en-AU"/>
        </w:rPr>
        <w:t xml:space="preserve">Disqualifying offences </w:t>
      </w:r>
      <w:r w:rsidRPr="00477A83">
        <w:rPr>
          <w:rFonts w:ascii="Lato" w:hAnsi="Lato" w:cs="Arial"/>
          <w:sz w:val="24"/>
          <w:lang w:eastAsia="en-AU"/>
        </w:rPr>
        <w:t xml:space="preserve">are offences listed in the Education Regulations that prohibit a mature age student from enrolling in a NT government school. These offences are primarily of a serious sexual, violent or drug related nature (where the offence relates to a child). </w:t>
      </w:r>
    </w:p>
    <w:p w:rsidR="000E7679" w:rsidRPr="00477A83" w:rsidRDefault="000E7679" w:rsidP="000E7679">
      <w:pPr>
        <w:ind w:left="425"/>
        <w:rPr>
          <w:rFonts w:ascii="Lato" w:hAnsi="Lato" w:cs="Arial"/>
          <w:b/>
          <w:sz w:val="24"/>
        </w:rPr>
      </w:pPr>
    </w:p>
    <w:p w:rsidR="000E7679" w:rsidRPr="00477A83" w:rsidRDefault="000E7679" w:rsidP="000E7679">
      <w:pPr>
        <w:ind w:left="425"/>
        <w:rPr>
          <w:rFonts w:ascii="Lato" w:hAnsi="Lato" w:cs="Arial"/>
          <w:sz w:val="24"/>
        </w:rPr>
      </w:pPr>
      <w:r w:rsidRPr="00477A83">
        <w:rPr>
          <w:rFonts w:ascii="Lato" w:hAnsi="Lato" w:cs="Arial"/>
          <w:b/>
          <w:sz w:val="24"/>
        </w:rPr>
        <w:t xml:space="preserve">Mature age students, </w:t>
      </w:r>
      <w:r w:rsidRPr="00477A83">
        <w:rPr>
          <w:rFonts w:ascii="Lato" w:hAnsi="Lato" w:cs="Arial"/>
          <w:sz w:val="24"/>
        </w:rPr>
        <w:t xml:space="preserve">for the purposes of these guidelines, are those students who are 18 years of </w:t>
      </w:r>
      <w:proofErr w:type="gramStart"/>
      <w:r w:rsidRPr="00477A83">
        <w:rPr>
          <w:rFonts w:ascii="Lato" w:hAnsi="Lato" w:cs="Arial"/>
          <w:sz w:val="24"/>
        </w:rPr>
        <w:t>age</w:t>
      </w:r>
      <w:proofErr w:type="gramEnd"/>
      <w:r w:rsidRPr="00477A83">
        <w:rPr>
          <w:rFonts w:ascii="Lato" w:hAnsi="Lato" w:cs="Arial"/>
          <w:sz w:val="24"/>
        </w:rPr>
        <w:t xml:space="preserve"> or older who have not been enrolled in a school during the preceding 12 months.</w:t>
      </w:r>
    </w:p>
    <w:p w:rsidR="000E7679" w:rsidRPr="00477A83" w:rsidRDefault="000E7679" w:rsidP="000E7679">
      <w:pPr>
        <w:ind w:left="425"/>
        <w:rPr>
          <w:rFonts w:ascii="Lato" w:hAnsi="Lato" w:cs="Arial"/>
          <w:sz w:val="24"/>
        </w:rPr>
      </w:pPr>
    </w:p>
    <w:p w:rsidR="000E7679" w:rsidRPr="00477A83" w:rsidRDefault="000E7679" w:rsidP="000E7679">
      <w:pPr>
        <w:ind w:left="425"/>
        <w:rPr>
          <w:rFonts w:ascii="Lato" w:hAnsi="Lato" w:cs="Arial"/>
          <w:sz w:val="24"/>
        </w:rPr>
      </w:pPr>
      <w:r w:rsidRPr="00477A83">
        <w:rPr>
          <w:rFonts w:ascii="Lato" w:hAnsi="Lato" w:cs="Arial"/>
          <w:b/>
          <w:sz w:val="24"/>
        </w:rPr>
        <w:t>Vetting entity</w:t>
      </w:r>
      <w:r w:rsidRPr="00477A83">
        <w:rPr>
          <w:rFonts w:ascii="Lato" w:hAnsi="Lato" w:cs="Arial"/>
          <w:sz w:val="24"/>
        </w:rPr>
        <w:t xml:space="preserve"> is a central body within the </w:t>
      </w:r>
      <w:r w:rsidR="001C24E3" w:rsidRPr="00477A83">
        <w:rPr>
          <w:rFonts w:ascii="Lato" w:hAnsi="Lato" w:cs="Arial"/>
          <w:sz w:val="24"/>
        </w:rPr>
        <w:t>t</w:t>
      </w:r>
      <w:r w:rsidRPr="00477A83">
        <w:rPr>
          <w:rFonts w:ascii="Lato" w:hAnsi="Lato" w:cs="Arial"/>
          <w:sz w:val="24"/>
        </w:rPr>
        <w:t xml:space="preserve"> with the delegated authority to review criminal records submitted by prospective mature age students as part of their enrolment application to determine whether the record shows a conviction for a criminal offence. </w:t>
      </w:r>
    </w:p>
    <w:p w:rsidR="000E7679" w:rsidRPr="000E7679" w:rsidRDefault="000E7679" w:rsidP="000E7679">
      <w:pPr>
        <w:keepNext/>
        <w:spacing w:before="280" w:after="120"/>
        <w:ind w:left="714" w:hanging="357"/>
        <w:outlineLvl w:val="1"/>
        <w:rPr>
          <w:rFonts w:ascii="Lato" w:hAnsi="Lato" w:cs="Arial"/>
          <w:b/>
          <w:bCs/>
          <w:iCs/>
          <w:sz w:val="28"/>
          <w:lang w:val="en-US"/>
        </w:rPr>
      </w:pPr>
      <w:r>
        <w:rPr>
          <w:rFonts w:ascii="Lato" w:hAnsi="Lato" w:cs="Arial"/>
          <w:b/>
          <w:bCs/>
          <w:iCs/>
          <w:sz w:val="28"/>
          <w:lang w:val="en-US"/>
        </w:rPr>
        <w:lastRenderedPageBreak/>
        <w:t xml:space="preserve">3.  </w:t>
      </w:r>
      <w:r w:rsidRPr="000E7679">
        <w:rPr>
          <w:rFonts w:ascii="Lato" w:hAnsi="Lato" w:cs="Arial"/>
          <w:b/>
          <w:bCs/>
          <w:iCs/>
          <w:sz w:val="28"/>
          <w:lang w:val="en-US"/>
        </w:rPr>
        <w:t xml:space="preserve">ROLES AND RESPONSIBILITIES </w:t>
      </w:r>
    </w:p>
    <w:p w:rsidR="000E7679" w:rsidRPr="00477A83" w:rsidRDefault="000E7679" w:rsidP="000E7679">
      <w:pPr>
        <w:ind w:left="426"/>
        <w:rPr>
          <w:rFonts w:ascii="Lato" w:hAnsi="Lato" w:cs="Arial"/>
          <w:b/>
          <w:bCs/>
          <w:sz w:val="24"/>
          <w:lang w:val="en-US"/>
        </w:rPr>
      </w:pPr>
      <w:r w:rsidRPr="00477A83">
        <w:rPr>
          <w:rFonts w:ascii="Lato" w:hAnsi="Lato" w:cs="Arial"/>
          <w:b/>
          <w:bCs/>
          <w:sz w:val="24"/>
          <w:lang w:val="en-US"/>
        </w:rPr>
        <w:t>The Chief Executive must:</w:t>
      </w:r>
    </w:p>
    <w:p w:rsidR="000E7679" w:rsidRPr="00477A83" w:rsidRDefault="000E7679" w:rsidP="000E7679">
      <w:pPr>
        <w:numPr>
          <w:ilvl w:val="0"/>
          <w:numId w:val="38"/>
        </w:numPr>
        <w:ind w:left="851"/>
        <w:contextualSpacing/>
        <w:rPr>
          <w:rFonts w:ascii="Lato" w:hAnsi="Lato" w:cs="Arial"/>
          <w:b/>
          <w:bCs/>
          <w:sz w:val="24"/>
          <w:lang w:val="en-US"/>
        </w:rPr>
      </w:pPr>
      <w:proofErr w:type="gramStart"/>
      <w:r w:rsidRPr="00477A83">
        <w:rPr>
          <w:rFonts w:ascii="Lato" w:hAnsi="Lato" w:cs="Arial"/>
          <w:color w:val="000000"/>
          <w:sz w:val="24"/>
          <w:lang w:val="en-US"/>
        </w:rPr>
        <w:t>where</w:t>
      </w:r>
      <w:proofErr w:type="gramEnd"/>
      <w:r w:rsidRPr="00477A83">
        <w:rPr>
          <w:rFonts w:ascii="Lato" w:hAnsi="Lato" w:cs="Arial"/>
          <w:color w:val="000000"/>
          <w:sz w:val="24"/>
          <w:lang w:val="en-US"/>
        </w:rPr>
        <w:t xml:space="preserve"> a </w:t>
      </w:r>
      <w:r w:rsidRPr="00477A83">
        <w:rPr>
          <w:rFonts w:ascii="Lato" w:hAnsi="Lato" w:cs="Arial"/>
          <w:sz w:val="24"/>
        </w:rPr>
        <w:t>prospective</w:t>
      </w:r>
      <w:r w:rsidRPr="00477A83">
        <w:rPr>
          <w:rFonts w:ascii="Lato" w:hAnsi="Lato" w:cs="Arial"/>
          <w:color w:val="000000"/>
          <w:sz w:val="24"/>
          <w:lang w:val="en-US"/>
        </w:rPr>
        <w:t xml:space="preserve"> mature age student appeals a decision made about their application for enrolment, review the application and make a determination about enrolment eligibility.  </w:t>
      </w:r>
    </w:p>
    <w:p w:rsidR="000E7679" w:rsidRPr="00477A83" w:rsidRDefault="000E7679" w:rsidP="000E7679">
      <w:pPr>
        <w:ind w:left="426"/>
        <w:rPr>
          <w:rFonts w:ascii="Lato" w:hAnsi="Lato" w:cs="Arial"/>
          <w:b/>
          <w:bCs/>
          <w:sz w:val="24"/>
          <w:lang w:val="en-US"/>
        </w:rPr>
      </w:pPr>
      <w:r w:rsidRPr="00477A83">
        <w:rPr>
          <w:rFonts w:ascii="Lato" w:hAnsi="Lato" w:cs="Arial"/>
          <w:b/>
          <w:bCs/>
          <w:sz w:val="24"/>
          <w:lang w:val="en-US"/>
        </w:rPr>
        <w:t>Principals must:</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 xml:space="preserve">provide advice and support to prospective mature age students about the steps that must be taken, as highlighted in </w:t>
      </w:r>
      <w:hyperlink w:anchor="_4.1_Process_of" w:history="1">
        <w:r w:rsidRPr="00477A83">
          <w:rPr>
            <w:rFonts w:ascii="Lato" w:hAnsi="Lato" w:cs="Arial"/>
            <w:color w:val="0000FF"/>
            <w:sz w:val="24"/>
            <w:u w:val="single"/>
            <w:lang w:val="en-US"/>
          </w:rPr>
          <w:t>section 4.1 of these guidelines</w:t>
        </w:r>
      </w:hyperlink>
      <w:r w:rsidRPr="00477A83">
        <w:rPr>
          <w:rFonts w:ascii="Lato" w:hAnsi="Lato" w:cs="Arial"/>
          <w:color w:val="0000FF"/>
          <w:sz w:val="24"/>
          <w:u w:val="single"/>
          <w:lang w:val="en-US"/>
        </w:rPr>
        <w:t>,</w:t>
      </w:r>
      <w:r w:rsidRPr="00477A83">
        <w:rPr>
          <w:rFonts w:ascii="Lato" w:hAnsi="Lato" w:cs="Arial"/>
          <w:color w:val="000000"/>
          <w:sz w:val="24"/>
          <w:lang w:val="en-US"/>
        </w:rPr>
        <w:t xml:space="preserve"> including determining the reason for enrolment and providing documentation necessary to </w:t>
      </w:r>
      <w:proofErr w:type="spellStart"/>
      <w:r w:rsidRPr="00477A83">
        <w:rPr>
          <w:rFonts w:ascii="Lato" w:hAnsi="Lato" w:cs="Arial"/>
          <w:color w:val="000000"/>
          <w:sz w:val="24"/>
          <w:lang w:val="en-US"/>
        </w:rPr>
        <w:t>enrol</w:t>
      </w:r>
      <w:proofErr w:type="spellEnd"/>
      <w:r w:rsidRPr="00477A83">
        <w:rPr>
          <w:rFonts w:ascii="Lato" w:hAnsi="Lato" w:cs="Arial"/>
          <w:color w:val="000000"/>
          <w:sz w:val="24"/>
          <w:lang w:val="en-US"/>
        </w:rPr>
        <w:t xml:space="preserve">, including the </w:t>
      </w:r>
      <w:r w:rsidRPr="00477A83">
        <w:rPr>
          <w:rFonts w:ascii="Lato" w:hAnsi="Lato" w:cs="Arial"/>
          <w:color w:val="000000"/>
          <w:sz w:val="24"/>
          <w:u w:val="single"/>
          <w:lang w:val="en-US"/>
        </w:rPr>
        <w:t>pending charges declaration</w:t>
      </w:r>
      <w:r w:rsidRPr="00477A83">
        <w:rPr>
          <w:rFonts w:ascii="Lato" w:hAnsi="Lato" w:cs="Arial"/>
          <w:color w:val="000000"/>
          <w:sz w:val="24"/>
          <w:lang w:val="en-US"/>
        </w:rPr>
        <w:t xml:space="preserve"> (Attachment A refers) </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 xml:space="preserve">ensure all prospective mature age students are aware of the requirement to undertake a criminal history check at their own cost, and that any criminal record will be reviewed prior to admission into a NT government school </w:t>
      </w:r>
    </w:p>
    <w:p w:rsidR="000E7679" w:rsidRPr="00477A83" w:rsidRDefault="000E7679" w:rsidP="000E7679">
      <w:pPr>
        <w:numPr>
          <w:ilvl w:val="0"/>
          <w:numId w:val="38"/>
        </w:numPr>
        <w:ind w:left="851"/>
        <w:contextualSpacing/>
        <w:rPr>
          <w:rFonts w:ascii="Lato" w:hAnsi="Lato" w:cs="Arial"/>
          <w:color w:val="000000"/>
          <w:sz w:val="24"/>
          <w:lang w:val="en-US"/>
        </w:rPr>
      </w:pPr>
      <w:proofErr w:type="gramStart"/>
      <w:r w:rsidRPr="00477A83">
        <w:rPr>
          <w:rFonts w:ascii="Lato" w:hAnsi="Lato" w:cs="Arial"/>
          <w:color w:val="000000"/>
          <w:sz w:val="24"/>
          <w:lang w:val="en-US"/>
        </w:rPr>
        <w:t>ensure</w:t>
      </w:r>
      <w:proofErr w:type="gramEnd"/>
      <w:r w:rsidRPr="00477A83">
        <w:rPr>
          <w:rFonts w:ascii="Lato" w:hAnsi="Lato" w:cs="Arial"/>
          <w:color w:val="000000"/>
          <w:sz w:val="24"/>
          <w:lang w:val="en-US"/>
        </w:rPr>
        <w:t xml:space="preserve"> that the relevant factors of the </w:t>
      </w:r>
      <w:hyperlink r:id="rId9" w:history="1">
        <w:r w:rsidRPr="00477A83">
          <w:rPr>
            <w:rFonts w:ascii="Lato" w:hAnsi="Lato"/>
            <w:color w:val="0000FF"/>
            <w:sz w:val="24"/>
            <w:u w:val="single"/>
            <w:lang w:val="en-US"/>
          </w:rPr>
          <w:t>Enrolment policy</w:t>
        </w:r>
      </w:hyperlink>
      <w:r w:rsidRPr="00477A83">
        <w:rPr>
          <w:rFonts w:ascii="Lato" w:hAnsi="Lato"/>
          <w:sz w:val="24"/>
          <w:lang w:val="en-US"/>
        </w:rPr>
        <w:t xml:space="preserve"> are considered when discussing enrolment with </w:t>
      </w:r>
      <w:r w:rsidRPr="00477A83">
        <w:rPr>
          <w:rFonts w:ascii="Lato" w:hAnsi="Lato" w:cs="Arial"/>
          <w:color w:val="000000"/>
          <w:sz w:val="24"/>
          <w:lang w:val="en-US"/>
        </w:rPr>
        <w:t xml:space="preserve">the mature age student. This may include commencing an application for additional semesters as outlined in the relevant guidelines </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provide prospective mature age students with advice to enable their participation in other education or vocational options in the event that they are not successful in enrolment at the school and provide advice about the process by which enrolment decisions can be reviewed</w:t>
      </w:r>
    </w:p>
    <w:p w:rsidR="000E7679" w:rsidRPr="00477A83" w:rsidRDefault="000E7679" w:rsidP="000E7679">
      <w:pPr>
        <w:numPr>
          <w:ilvl w:val="0"/>
          <w:numId w:val="38"/>
        </w:numPr>
        <w:ind w:left="851"/>
        <w:contextualSpacing/>
        <w:rPr>
          <w:rFonts w:ascii="Lato" w:hAnsi="Lato" w:cs="Arial"/>
          <w:b/>
          <w:bCs/>
          <w:sz w:val="24"/>
          <w:lang w:val="en-US"/>
        </w:rPr>
      </w:pPr>
      <w:proofErr w:type="gramStart"/>
      <w:r w:rsidRPr="00477A83">
        <w:rPr>
          <w:rFonts w:ascii="Lato" w:hAnsi="Lato" w:cs="Arial"/>
          <w:color w:val="000000"/>
          <w:sz w:val="24"/>
          <w:lang w:val="en-US"/>
        </w:rPr>
        <w:t>upon</w:t>
      </w:r>
      <w:proofErr w:type="gramEnd"/>
      <w:r w:rsidRPr="00477A83">
        <w:rPr>
          <w:rFonts w:ascii="Lato" w:hAnsi="Lato" w:cs="Arial"/>
          <w:color w:val="000000"/>
          <w:sz w:val="24"/>
          <w:lang w:val="en-US"/>
        </w:rPr>
        <w:t xml:space="preserve"> determination from the vetting entity, make decisions about potential risk of the school community of any discretionary offences and work with the student to ensure that they are enrolled or have sufficient information to engage in an alternative education option.</w:t>
      </w:r>
      <w:r w:rsidRPr="00477A83">
        <w:rPr>
          <w:rFonts w:ascii="Lato" w:hAnsi="Lato" w:cs="Arial"/>
          <w:color w:val="000000"/>
          <w:sz w:val="24"/>
          <w:lang w:val="en-US"/>
        </w:rPr>
        <w:br/>
      </w:r>
    </w:p>
    <w:p w:rsidR="000E7679" w:rsidRPr="00477A83" w:rsidRDefault="000E7679" w:rsidP="000E7679">
      <w:pPr>
        <w:ind w:left="426"/>
        <w:rPr>
          <w:rFonts w:ascii="Lato" w:hAnsi="Lato" w:cs="Arial"/>
          <w:b/>
          <w:bCs/>
          <w:sz w:val="24"/>
          <w:lang w:val="en-US"/>
        </w:rPr>
      </w:pPr>
      <w:r w:rsidRPr="00477A83">
        <w:rPr>
          <w:rFonts w:ascii="Lato" w:hAnsi="Lato" w:cs="Arial"/>
          <w:b/>
          <w:bCs/>
          <w:sz w:val="24"/>
          <w:lang w:val="en-US"/>
        </w:rPr>
        <w:t>Prospective mature age students must:</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 xml:space="preserve">discuss possible enrolment with the principal of the school that which they intend to </w:t>
      </w:r>
      <w:proofErr w:type="spellStart"/>
      <w:r w:rsidRPr="00477A83">
        <w:rPr>
          <w:rFonts w:ascii="Lato" w:hAnsi="Lato" w:cs="Arial"/>
          <w:color w:val="000000"/>
          <w:sz w:val="24"/>
          <w:lang w:val="en-US"/>
        </w:rPr>
        <w:t>enrol</w:t>
      </w:r>
      <w:proofErr w:type="spellEnd"/>
      <w:r w:rsidRPr="00477A83">
        <w:rPr>
          <w:rFonts w:ascii="Lato" w:hAnsi="Lato" w:cs="Arial"/>
          <w:color w:val="000000"/>
          <w:sz w:val="24"/>
          <w:lang w:val="en-US"/>
        </w:rPr>
        <w:t xml:space="preserve"> at and provide photographic identification to the school to commence enrolment processes</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 xml:space="preserve">disclose any pending charges at the time of enrolment by completing a </w:t>
      </w:r>
      <w:r w:rsidRPr="00477A83">
        <w:rPr>
          <w:rFonts w:ascii="Lato" w:hAnsi="Lato" w:cs="Arial"/>
          <w:color w:val="000000"/>
          <w:sz w:val="24"/>
          <w:u w:val="single"/>
          <w:lang w:val="en-US"/>
        </w:rPr>
        <w:t>pending charges declaration</w:t>
      </w:r>
      <w:r w:rsidRPr="00477A83">
        <w:rPr>
          <w:rFonts w:ascii="Lato" w:hAnsi="Lato" w:cs="Arial"/>
          <w:color w:val="000000"/>
          <w:sz w:val="24"/>
          <w:lang w:val="en-US"/>
        </w:rPr>
        <w:t xml:space="preserve"> (Attachment A refers) and sending this to the vetting entity</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undertake a criminal history check, at their own cost, and provide consent for this to be sent directly to the vetting entity</w:t>
      </w:r>
    </w:p>
    <w:p w:rsidR="000E7679" w:rsidRPr="00477A83" w:rsidRDefault="000E7679" w:rsidP="000E7679">
      <w:pPr>
        <w:numPr>
          <w:ilvl w:val="0"/>
          <w:numId w:val="38"/>
        </w:numPr>
        <w:ind w:left="851"/>
        <w:contextualSpacing/>
        <w:rPr>
          <w:rFonts w:ascii="Lato" w:hAnsi="Lato" w:cs="Arial"/>
          <w:bCs/>
          <w:sz w:val="24"/>
          <w:lang w:val="en-US"/>
        </w:rPr>
      </w:pPr>
      <w:proofErr w:type="gramStart"/>
      <w:r w:rsidRPr="00477A83">
        <w:rPr>
          <w:rFonts w:ascii="Lato" w:hAnsi="Lato" w:cs="Arial"/>
          <w:color w:val="000000"/>
          <w:sz w:val="24"/>
          <w:lang w:val="en-US"/>
        </w:rPr>
        <w:t>when</w:t>
      </w:r>
      <w:proofErr w:type="gramEnd"/>
      <w:r w:rsidRPr="00477A83">
        <w:rPr>
          <w:rFonts w:ascii="Lato" w:hAnsi="Lato" w:cs="Arial"/>
          <w:color w:val="000000"/>
          <w:sz w:val="24"/>
          <w:lang w:val="en-US"/>
        </w:rPr>
        <w:t xml:space="preserve"> enrolled in a NT government school, disclose any changes to their criminal record to the principal before next attendance at school or participation in any school educational program.</w:t>
      </w:r>
      <w:r w:rsidRPr="00477A83">
        <w:rPr>
          <w:rFonts w:ascii="Lato" w:hAnsi="Lato" w:cs="Arial"/>
          <w:bCs/>
          <w:sz w:val="24"/>
          <w:lang w:val="en-US"/>
        </w:rPr>
        <w:br/>
      </w:r>
    </w:p>
    <w:p w:rsidR="000E7679" w:rsidRPr="00477A83" w:rsidRDefault="000E7679" w:rsidP="000E7679">
      <w:pPr>
        <w:ind w:left="426"/>
        <w:rPr>
          <w:rFonts w:ascii="Lato" w:hAnsi="Lato" w:cs="Arial"/>
          <w:b/>
          <w:bCs/>
          <w:sz w:val="24"/>
          <w:lang w:val="en-US"/>
        </w:rPr>
      </w:pPr>
      <w:r w:rsidRPr="00477A83">
        <w:rPr>
          <w:rFonts w:ascii="Lato" w:hAnsi="Lato" w:cs="Arial"/>
          <w:b/>
          <w:bCs/>
          <w:sz w:val="24"/>
          <w:lang w:val="en-US"/>
        </w:rPr>
        <w:t>The vetting entity must:</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 xml:space="preserve">review prospective mature age student’s criminal record reports in line with the </w:t>
      </w:r>
      <w:r w:rsidRPr="00477A83">
        <w:rPr>
          <w:rFonts w:ascii="Lato" w:hAnsi="Lato" w:cs="Arial"/>
          <w:i/>
          <w:color w:val="000000"/>
          <w:sz w:val="24"/>
          <w:lang w:val="en-US"/>
        </w:rPr>
        <w:t>Education Act</w:t>
      </w:r>
      <w:r w:rsidRPr="00477A83">
        <w:rPr>
          <w:rFonts w:ascii="Lato" w:hAnsi="Lato" w:cs="Arial"/>
          <w:color w:val="000000"/>
          <w:sz w:val="24"/>
          <w:lang w:val="en-US"/>
        </w:rPr>
        <w:t xml:space="preserve"> and Education Regulations to identify relevant offences and take appropriate action in line with these guidelines </w:t>
      </w:r>
    </w:p>
    <w:p w:rsidR="000E7679" w:rsidRPr="00477A83" w:rsidRDefault="000E7679" w:rsidP="000E7679">
      <w:pPr>
        <w:numPr>
          <w:ilvl w:val="0"/>
          <w:numId w:val="38"/>
        </w:numPr>
        <w:ind w:left="851"/>
        <w:contextualSpacing/>
        <w:rPr>
          <w:rFonts w:ascii="Lato" w:hAnsi="Lato" w:cs="Arial"/>
          <w:color w:val="000000"/>
          <w:sz w:val="24"/>
          <w:lang w:val="en-US"/>
        </w:rPr>
      </w:pPr>
      <w:r w:rsidRPr="00477A83">
        <w:rPr>
          <w:rFonts w:ascii="Lato" w:hAnsi="Lato" w:cs="Arial"/>
          <w:color w:val="000000"/>
          <w:sz w:val="24"/>
          <w:lang w:val="en-US"/>
        </w:rPr>
        <w:t>provide information to principals where a student has been convicted of an offence that is not disqualifying but represents potential risk to student or staff wellbeing</w:t>
      </w:r>
    </w:p>
    <w:p w:rsidR="000E7679" w:rsidRPr="00477A83" w:rsidRDefault="000E7679" w:rsidP="000E7679">
      <w:pPr>
        <w:numPr>
          <w:ilvl w:val="0"/>
          <w:numId w:val="38"/>
        </w:numPr>
        <w:ind w:left="851"/>
        <w:contextualSpacing/>
        <w:rPr>
          <w:rFonts w:ascii="Lato" w:hAnsi="Lato" w:cs="Arial"/>
          <w:color w:val="000000"/>
          <w:sz w:val="24"/>
          <w:lang w:val="en-US"/>
        </w:rPr>
      </w:pPr>
      <w:proofErr w:type="gramStart"/>
      <w:r w:rsidRPr="00477A83">
        <w:rPr>
          <w:rFonts w:ascii="Lato" w:hAnsi="Lato" w:cs="Arial"/>
          <w:color w:val="000000"/>
          <w:sz w:val="24"/>
          <w:lang w:val="en-US"/>
        </w:rPr>
        <w:t>ensure</w:t>
      </w:r>
      <w:proofErr w:type="gramEnd"/>
      <w:r w:rsidRPr="00477A83">
        <w:rPr>
          <w:rFonts w:ascii="Lato" w:hAnsi="Lato" w:cs="Arial"/>
          <w:color w:val="000000"/>
          <w:sz w:val="24"/>
          <w:lang w:val="en-US"/>
        </w:rPr>
        <w:t xml:space="preserve"> that all criminal record reports are stored securely to protect information and confidentiality and destroyed as soon as practicable after the information is no longer needed for the purpose for which it was obtained.</w:t>
      </w:r>
    </w:p>
    <w:p w:rsidR="000E7679" w:rsidRPr="000E7679" w:rsidRDefault="000E7679" w:rsidP="000E7679">
      <w:pPr>
        <w:keepNext/>
        <w:spacing w:before="280" w:after="120"/>
        <w:ind w:left="714" w:hanging="357"/>
        <w:outlineLvl w:val="1"/>
        <w:rPr>
          <w:rFonts w:ascii="Lato" w:hAnsi="Lato" w:cs="Arial"/>
          <w:b/>
          <w:bCs/>
          <w:iCs/>
          <w:sz w:val="28"/>
          <w:lang w:val="en-US"/>
        </w:rPr>
      </w:pPr>
      <w:r>
        <w:rPr>
          <w:rFonts w:ascii="Lato" w:hAnsi="Lato" w:cs="Arial"/>
          <w:b/>
          <w:bCs/>
          <w:iCs/>
          <w:sz w:val="28"/>
          <w:lang w:val="en-US"/>
        </w:rPr>
        <w:t xml:space="preserve">4.  </w:t>
      </w:r>
      <w:r w:rsidRPr="000E7679">
        <w:rPr>
          <w:rFonts w:ascii="Lato" w:hAnsi="Lato" w:cs="Arial"/>
          <w:b/>
          <w:bCs/>
          <w:iCs/>
          <w:sz w:val="28"/>
          <w:lang w:val="en-US"/>
        </w:rPr>
        <w:t>GUIDELINES</w:t>
      </w:r>
    </w:p>
    <w:p w:rsidR="000E7679" w:rsidRPr="00477A83" w:rsidRDefault="000E7679" w:rsidP="000E7679">
      <w:pPr>
        <w:keepNext/>
        <w:spacing w:after="120"/>
        <w:ind w:firstLine="425"/>
        <w:outlineLvl w:val="0"/>
        <w:rPr>
          <w:rFonts w:ascii="Lato" w:hAnsi="Lato" w:cs="Arial"/>
          <w:b/>
          <w:bCs/>
          <w:sz w:val="24"/>
          <w:lang w:val="en-US"/>
        </w:rPr>
      </w:pPr>
      <w:bookmarkStart w:id="0" w:name="_4.1_Process_of"/>
      <w:bookmarkEnd w:id="0"/>
      <w:r w:rsidRPr="00477A83">
        <w:rPr>
          <w:rFonts w:ascii="Lato" w:hAnsi="Lato" w:cs="Arial"/>
          <w:b/>
          <w:bCs/>
          <w:sz w:val="24"/>
          <w:lang w:val="en-US"/>
        </w:rPr>
        <w:t xml:space="preserve">4.1 Process of enrolment of mature age students </w:t>
      </w:r>
    </w:p>
    <w:p w:rsidR="000E7679" w:rsidRPr="00477A83" w:rsidRDefault="000E7679" w:rsidP="000E7679">
      <w:pPr>
        <w:ind w:left="425"/>
        <w:rPr>
          <w:rFonts w:ascii="Lato" w:hAnsi="Lato"/>
          <w:sz w:val="24"/>
          <w:lang w:val="en-US"/>
        </w:rPr>
      </w:pPr>
      <w:r w:rsidRPr="00477A83">
        <w:rPr>
          <w:rFonts w:ascii="Lato" w:hAnsi="Lato" w:cs="Arial"/>
          <w:bCs/>
          <w:sz w:val="24"/>
          <w:lang w:val="en-US"/>
        </w:rPr>
        <w:t xml:space="preserve">The enrolment application process ensures that student and staff safety is </w:t>
      </w:r>
      <w:proofErr w:type="spellStart"/>
      <w:r w:rsidRPr="00477A83">
        <w:rPr>
          <w:rFonts w:ascii="Lato" w:hAnsi="Lato" w:cs="Arial"/>
          <w:bCs/>
          <w:sz w:val="24"/>
          <w:lang w:val="en-US"/>
        </w:rPr>
        <w:t>prioritised</w:t>
      </w:r>
      <w:proofErr w:type="spellEnd"/>
      <w:r w:rsidRPr="00477A83">
        <w:rPr>
          <w:rFonts w:ascii="Lato" w:hAnsi="Lato" w:cs="Arial"/>
          <w:bCs/>
          <w:sz w:val="24"/>
          <w:lang w:val="en-US"/>
        </w:rPr>
        <w:t xml:space="preserve"> and that all students are provided with support and access to the education option that best suits their circumstances. The process for enrolment of mature age students involves a number of critical steps </w:t>
      </w:r>
      <w:proofErr w:type="gramStart"/>
      <w:r w:rsidRPr="00477A83">
        <w:rPr>
          <w:rFonts w:ascii="Lato" w:hAnsi="Lato" w:cs="Arial"/>
          <w:bCs/>
          <w:sz w:val="24"/>
          <w:lang w:val="en-US"/>
        </w:rPr>
        <w:t xml:space="preserve">( </w:t>
      </w:r>
      <w:proofErr w:type="gramEnd"/>
      <w:r w:rsidR="00B5315D">
        <w:fldChar w:fldCharType="begin"/>
      </w:r>
      <w:r w:rsidR="00B5315D">
        <w:instrText xml:space="preserve"> HYPERLINK \l "_APPENDIX_A:_" </w:instrText>
      </w:r>
      <w:r w:rsidR="00B5315D">
        <w:fldChar w:fldCharType="separate"/>
      </w:r>
      <w:r w:rsidRPr="00477A83">
        <w:rPr>
          <w:rFonts w:ascii="Lato" w:hAnsi="Lato" w:cs="Arial"/>
          <w:bCs/>
          <w:color w:val="0000FF"/>
          <w:sz w:val="24"/>
          <w:u w:val="single"/>
          <w:lang w:val="en-US"/>
        </w:rPr>
        <w:t>Appendix A Process for Enrolment flowchart</w:t>
      </w:r>
      <w:r w:rsidR="00B5315D">
        <w:rPr>
          <w:rFonts w:ascii="Lato" w:hAnsi="Lato" w:cs="Arial"/>
          <w:bCs/>
          <w:color w:val="0000FF"/>
          <w:sz w:val="24"/>
          <w:u w:val="single"/>
          <w:lang w:val="en-US"/>
        </w:rPr>
        <w:fldChar w:fldCharType="end"/>
      </w:r>
      <w:bookmarkStart w:id="1" w:name="_Figure_1.1_PROCESS"/>
      <w:bookmarkEnd w:id="1"/>
      <w:r w:rsidRPr="00477A83">
        <w:rPr>
          <w:rFonts w:ascii="Lato" w:hAnsi="Lato" w:cs="Arial"/>
          <w:bCs/>
          <w:color w:val="0000FF"/>
          <w:sz w:val="24"/>
          <w:u w:val="single"/>
          <w:lang w:val="en-US"/>
        </w:rPr>
        <w:t xml:space="preserve"> </w:t>
      </w:r>
      <w:r w:rsidRPr="00477A83">
        <w:rPr>
          <w:rFonts w:ascii="Lato" w:hAnsi="Lato"/>
          <w:sz w:val="24"/>
          <w:lang w:val="en-US"/>
        </w:rPr>
        <w:t>refers). Prospective students can seek advice and assistance from the principal at any stage of the application process.</w:t>
      </w:r>
    </w:p>
    <w:p w:rsidR="000E7679" w:rsidRPr="00477A83" w:rsidRDefault="000E7679" w:rsidP="000E7679">
      <w:pPr>
        <w:keepNext/>
        <w:spacing w:after="120"/>
        <w:ind w:left="426"/>
        <w:outlineLvl w:val="0"/>
        <w:rPr>
          <w:rFonts w:ascii="Lato" w:hAnsi="Lato" w:cs="Arial"/>
          <w:b/>
          <w:bCs/>
          <w:sz w:val="24"/>
          <w:lang w:val="en-US"/>
        </w:rPr>
      </w:pPr>
      <w:r w:rsidRPr="00477A83">
        <w:rPr>
          <w:rFonts w:ascii="Lato" w:hAnsi="Lato" w:cs="Arial"/>
          <w:b/>
          <w:bCs/>
          <w:sz w:val="24"/>
          <w:lang w:val="en-US"/>
        </w:rPr>
        <w:lastRenderedPageBreak/>
        <w:br/>
        <w:t>4.2 Confidentiality</w:t>
      </w:r>
    </w:p>
    <w:p w:rsidR="000E7679" w:rsidRPr="00477A83" w:rsidRDefault="000E7679" w:rsidP="000E7679">
      <w:pPr>
        <w:ind w:left="425"/>
        <w:rPr>
          <w:rFonts w:ascii="Lato" w:hAnsi="Lato" w:cs="Arial"/>
          <w:sz w:val="24"/>
        </w:rPr>
      </w:pPr>
      <w:r w:rsidRPr="00477A83">
        <w:rPr>
          <w:rFonts w:ascii="Lato" w:hAnsi="Lato" w:cs="Arial"/>
          <w:sz w:val="24"/>
          <w:lang w:val="en-GB"/>
        </w:rPr>
        <w:t xml:space="preserve">A copy of the criminal record report will be sent by Safe NT to the prospective mature age student during the criminal history review process, if requested. The vetting entity must not copy the record received and the original document must be retained by the department. </w:t>
      </w:r>
      <w:r w:rsidRPr="00477A83">
        <w:rPr>
          <w:rFonts w:ascii="Lato" w:hAnsi="Lato" w:cs="Arial"/>
          <w:bCs/>
          <w:sz w:val="24"/>
          <w:lang w:val="en-US"/>
        </w:rPr>
        <w:t>The original must be kept in hard copy and not disseminated.</w:t>
      </w:r>
    </w:p>
    <w:p w:rsidR="000E7679" w:rsidRPr="00477A83" w:rsidRDefault="000E7679" w:rsidP="000E7679">
      <w:pPr>
        <w:ind w:left="425"/>
        <w:rPr>
          <w:rFonts w:ascii="Lato" w:hAnsi="Lato" w:cs="Arial"/>
          <w:sz w:val="24"/>
        </w:rPr>
      </w:pPr>
    </w:p>
    <w:p w:rsidR="000E7679" w:rsidRPr="00477A83" w:rsidRDefault="000E7679" w:rsidP="000E7679">
      <w:pPr>
        <w:ind w:left="425"/>
        <w:rPr>
          <w:rFonts w:ascii="Lato" w:hAnsi="Lato" w:cs="Arial"/>
          <w:sz w:val="24"/>
          <w:lang w:val="en-GB"/>
        </w:rPr>
      </w:pPr>
      <w:r w:rsidRPr="00477A83">
        <w:rPr>
          <w:rFonts w:ascii="Lato" w:hAnsi="Lato" w:cs="Arial"/>
          <w:sz w:val="24"/>
        </w:rPr>
        <w:t xml:space="preserve">Criminal record information must be </w:t>
      </w:r>
      <w:r w:rsidRPr="00477A83">
        <w:rPr>
          <w:rFonts w:ascii="Lato" w:hAnsi="Lato" w:cs="Arial"/>
          <w:color w:val="000000"/>
          <w:sz w:val="24"/>
          <w:lang w:val="en-US"/>
        </w:rPr>
        <w:t>stored securely to protect information and ensure confidentiality</w:t>
      </w:r>
      <w:r w:rsidRPr="00477A83">
        <w:rPr>
          <w:rFonts w:ascii="Lato" w:hAnsi="Lato"/>
          <w:sz w:val="24"/>
          <w:lang w:val="en-US"/>
        </w:rPr>
        <w:t xml:space="preserve">. </w:t>
      </w:r>
      <w:r w:rsidRPr="00477A83">
        <w:rPr>
          <w:rFonts w:ascii="Lato" w:hAnsi="Lato" w:cs="Arial"/>
          <w:sz w:val="24"/>
          <w:lang w:val="en-GB"/>
        </w:rPr>
        <w:t>All criminal history check requests and criminal record reports received by the department are solely for the purposes of enrolment suitability. Records must not be shared unnecessarily with departmental staff or any other organisation, unless required to do so by law or where the mature age student provides express written consent.</w:t>
      </w:r>
    </w:p>
    <w:p w:rsidR="000E7679" w:rsidRPr="00477A83" w:rsidRDefault="000E7679" w:rsidP="000E7679">
      <w:pPr>
        <w:rPr>
          <w:rFonts w:ascii="Lato" w:hAnsi="Lato" w:cs="Arial"/>
          <w:b/>
          <w:bCs/>
          <w:i/>
          <w:sz w:val="24"/>
          <w:lang w:val="en-US"/>
        </w:rPr>
      </w:pPr>
    </w:p>
    <w:p w:rsidR="000E7679" w:rsidRPr="00477A83" w:rsidRDefault="000E7679" w:rsidP="000E7679">
      <w:pPr>
        <w:keepNext/>
        <w:spacing w:after="120"/>
        <w:ind w:firstLine="425"/>
        <w:outlineLvl w:val="0"/>
        <w:rPr>
          <w:rFonts w:ascii="Lato" w:hAnsi="Lato" w:cs="Arial"/>
          <w:b/>
          <w:bCs/>
          <w:sz w:val="24"/>
          <w:lang w:val="en-US"/>
        </w:rPr>
      </w:pPr>
      <w:r w:rsidRPr="00477A83">
        <w:rPr>
          <w:rFonts w:ascii="Lato" w:hAnsi="Lato" w:cs="Arial"/>
          <w:b/>
          <w:bCs/>
          <w:sz w:val="24"/>
          <w:lang w:val="en-US"/>
        </w:rPr>
        <w:t>4.3 Applying for a criminal history check</w:t>
      </w:r>
    </w:p>
    <w:p w:rsidR="000E7679" w:rsidRPr="00477A83" w:rsidRDefault="000E7679" w:rsidP="000E7679">
      <w:pPr>
        <w:ind w:left="426"/>
        <w:rPr>
          <w:rFonts w:ascii="Lato" w:hAnsi="Lato" w:cs="Arial"/>
          <w:bCs/>
          <w:sz w:val="24"/>
          <w:lang w:val="en-US"/>
        </w:rPr>
      </w:pPr>
      <w:r w:rsidRPr="00477A83">
        <w:rPr>
          <w:rFonts w:ascii="Lato" w:hAnsi="Lato" w:cs="Arial"/>
          <w:bCs/>
          <w:sz w:val="24"/>
          <w:lang w:val="en-US"/>
        </w:rPr>
        <w:t xml:space="preserve">Principals should provide prospective mature age students with advice and support to enable them to undertake a criminal history check at their own expense through SAFE NT (name check only). Forms are available on the </w:t>
      </w:r>
      <w:hyperlink r:id="rId10" w:history="1">
        <w:r w:rsidRPr="00477A83">
          <w:rPr>
            <w:rFonts w:ascii="Lato" w:hAnsi="Lato" w:cs="Arial"/>
            <w:bCs/>
            <w:color w:val="0000FF"/>
            <w:sz w:val="24"/>
            <w:u w:val="single"/>
            <w:lang w:val="en-US"/>
          </w:rPr>
          <w:t>Depart</w:t>
        </w:r>
        <w:r w:rsidR="00BE619E" w:rsidRPr="00477A83">
          <w:rPr>
            <w:rFonts w:ascii="Lato" w:hAnsi="Lato" w:cs="Arial"/>
            <w:bCs/>
            <w:color w:val="0000FF"/>
            <w:sz w:val="24"/>
            <w:u w:val="single"/>
            <w:lang w:val="en-US"/>
          </w:rPr>
          <w:t>ment</w:t>
        </w:r>
        <w:r w:rsidRPr="00477A83">
          <w:rPr>
            <w:rFonts w:ascii="Lato" w:hAnsi="Lato" w:cs="Arial"/>
            <w:bCs/>
            <w:color w:val="0000FF"/>
            <w:sz w:val="24"/>
            <w:u w:val="single"/>
            <w:lang w:val="en-US"/>
          </w:rPr>
          <w:t xml:space="preserve"> website</w:t>
        </w:r>
      </w:hyperlink>
      <w:r w:rsidRPr="00477A83">
        <w:rPr>
          <w:rFonts w:ascii="Lato" w:hAnsi="Lato" w:cs="Arial"/>
          <w:bCs/>
          <w:color w:val="0000FF"/>
          <w:sz w:val="24"/>
          <w:u w:val="single"/>
          <w:lang w:val="en-US"/>
        </w:rPr>
        <w:t xml:space="preserve"> </w:t>
      </w:r>
      <w:r w:rsidRPr="00477A83">
        <w:rPr>
          <w:rFonts w:ascii="Lato" w:hAnsi="Lato" w:cs="Arial"/>
          <w:bCs/>
          <w:sz w:val="24"/>
          <w:lang w:val="en-US"/>
        </w:rPr>
        <w:t xml:space="preserve">and on the </w:t>
      </w:r>
      <w:hyperlink r:id="rId11" w:history="1">
        <w:r w:rsidRPr="00477A83">
          <w:rPr>
            <w:rFonts w:ascii="Lato" w:hAnsi="Lato" w:cs="Arial"/>
            <w:bCs/>
            <w:color w:val="0000FF"/>
            <w:sz w:val="24"/>
            <w:u w:val="single"/>
            <w:lang w:val="en-US"/>
          </w:rPr>
          <w:t>SAFE NT website</w:t>
        </w:r>
      </w:hyperlink>
      <w:r w:rsidRPr="00477A83">
        <w:rPr>
          <w:rFonts w:ascii="Lato" w:hAnsi="Lato" w:cs="Arial"/>
          <w:bCs/>
          <w:sz w:val="24"/>
          <w:lang w:val="en-US"/>
        </w:rPr>
        <w:t xml:space="preserve">. </w:t>
      </w:r>
    </w:p>
    <w:p w:rsidR="000E7679" w:rsidRPr="00477A83" w:rsidRDefault="000E7679" w:rsidP="000E7679">
      <w:pPr>
        <w:ind w:left="426"/>
        <w:rPr>
          <w:rFonts w:ascii="Lato" w:hAnsi="Lato" w:cs="Arial"/>
          <w:bCs/>
          <w:sz w:val="24"/>
          <w:lang w:val="en-US"/>
        </w:rPr>
      </w:pPr>
    </w:p>
    <w:p w:rsidR="000E7679" w:rsidRPr="00477A83" w:rsidRDefault="000E7679" w:rsidP="000E7679">
      <w:pPr>
        <w:ind w:left="426"/>
        <w:rPr>
          <w:rFonts w:ascii="Lato" w:hAnsi="Lato"/>
          <w:sz w:val="24"/>
        </w:rPr>
      </w:pPr>
      <w:r w:rsidRPr="00477A83">
        <w:rPr>
          <w:rFonts w:ascii="Lato" w:hAnsi="Lato" w:cs="Arial"/>
          <w:bCs/>
          <w:sz w:val="24"/>
          <w:lang w:val="en-US"/>
        </w:rPr>
        <w:t xml:space="preserve">Prospective students are able to lodge applications </w:t>
      </w:r>
      <w:hyperlink r:id="rId12" w:history="1">
        <w:r w:rsidRPr="00477A83">
          <w:rPr>
            <w:rFonts w:ascii="Lato" w:hAnsi="Lato" w:cs="Arial"/>
            <w:bCs/>
            <w:color w:val="0000FF"/>
            <w:sz w:val="24"/>
            <w:u w:val="single"/>
            <w:lang w:val="en-US"/>
          </w:rPr>
          <w:t>online</w:t>
        </w:r>
      </w:hyperlink>
      <w:r w:rsidRPr="00477A83">
        <w:rPr>
          <w:rFonts w:ascii="Lato" w:hAnsi="Lato" w:cs="Arial"/>
          <w:bCs/>
          <w:color w:val="0000FF"/>
          <w:sz w:val="24"/>
          <w:u w:val="single"/>
          <w:lang w:val="en-US"/>
        </w:rPr>
        <w:t>,</w:t>
      </w:r>
      <w:r w:rsidRPr="00477A83">
        <w:rPr>
          <w:rFonts w:ascii="Lato" w:hAnsi="Lato" w:cs="Arial"/>
          <w:bCs/>
          <w:sz w:val="24"/>
          <w:lang w:val="en-US"/>
        </w:rPr>
        <w:t xml:space="preserve"> via post </w:t>
      </w:r>
      <w:r w:rsidRPr="00477A83">
        <w:rPr>
          <w:rFonts w:ascii="Lato" w:hAnsi="Lato"/>
          <w:sz w:val="24"/>
        </w:rPr>
        <w:t>using the offline application form (</w:t>
      </w:r>
      <w:hyperlink r:id="rId13" w:history="1">
        <w:r w:rsidRPr="00477A83">
          <w:rPr>
            <w:rFonts w:ascii="Lato" w:hAnsi="Lato"/>
            <w:color w:val="0000FF"/>
            <w:sz w:val="24"/>
            <w:u w:val="single"/>
          </w:rPr>
          <w:t>hardcopy application</w:t>
        </w:r>
      </w:hyperlink>
      <w:r w:rsidRPr="00477A83">
        <w:rPr>
          <w:rFonts w:ascii="Lato" w:hAnsi="Lato"/>
          <w:sz w:val="24"/>
        </w:rPr>
        <w:t>), or visit SAFE NT in person (</w:t>
      </w:r>
      <w:hyperlink w:anchor="_APPENDIX_B:_SAFE" w:history="1">
        <w:r w:rsidRPr="00477A83">
          <w:rPr>
            <w:rFonts w:ascii="Lato" w:hAnsi="Lato"/>
            <w:color w:val="0000FF"/>
            <w:sz w:val="24"/>
            <w:u w:val="single"/>
          </w:rPr>
          <w:t>Appendix B: SAFE NT locations refers</w:t>
        </w:r>
      </w:hyperlink>
      <w:r w:rsidRPr="00477A83">
        <w:rPr>
          <w:rFonts w:ascii="Lato" w:hAnsi="Lato"/>
          <w:sz w:val="24"/>
        </w:rPr>
        <w:t xml:space="preserve">).  Students should consent for their criminal record reports to be sent directly to the vetting entity. </w:t>
      </w:r>
    </w:p>
    <w:p w:rsidR="000E7679" w:rsidRPr="00477A83" w:rsidRDefault="000E7679" w:rsidP="000E7679">
      <w:pPr>
        <w:rPr>
          <w:rFonts w:ascii="Lato" w:hAnsi="Lato" w:cs="Arial"/>
          <w:b/>
          <w:bCs/>
          <w:i/>
          <w:sz w:val="24"/>
          <w:lang w:val="en-US"/>
        </w:rPr>
      </w:pPr>
    </w:p>
    <w:p w:rsidR="000E7679" w:rsidRPr="00477A83" w:rsidRDefault="000E7679" w:rsidP="000E7679">
      <w:pPr>
        <w:keepNext/>
        <w:tabs>
          <w:tab w:val="left" w:pos="8640"/>
        </w:tabs>
        <w:spacing w:after="120"/>
        <w:ind w:firstLine="425"/>
        <w:outlineLvl w:val="0"/>
        <w:rPr>
          <w:rFonts w:ascii="Lato" w:hAnsi="Lato" w:cs="Arial"/>
          <w:b/>
          <w:bCs/>
          <w:sz w:val="24"/>
          <w:lang w:val="en-US"/>
        </w:rPr>
      </w:pPr>
      <w:r w:rsidRPr="00477A83">
        <w:rPr>
          <w:rFonts w:ascii="Lato" w:hAnsi="Lato" w:cs="Arial"/>
          <w:b/>
          <w:bCs/>
          <w:sz w:val="24"/>
          <w:lang w:val="en-US"/>
        </w:rPr>
        <w:t xml:space="preserve">4.4 Documents required for enrolment </w:t>
      </w:r>
      <w:r w:rsidRPr="00477A83">
        <w:rPr>
          <w:rFonts w:ascii="Lato" w:hAnsi="Lato" w:cs="Arial"/>
          <w:b/>
          <w:bCs/>
          <w:sz w:val="24"/>
          <w:lang w:val="en-US"/>
        </w:rPr>
        <w:tab/>
      </w: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 xml:space="preserve">For the purposes of enrolment, prospective mature age students are required to provide a completed enrolment form, a </w:t>
      </w:r>
      <w:r w:rsidRPr="00477A83">
        <w:rPr>
          <w:rFonts w:ascii="Lato" w:hAnsi="Lato" w:cs="Arial"/>
          <w:color w:val="000000"/>
          <w:sz w:val="24"/>
          <w:lang w:val="en-US"/>
        </w:rPr>
        <w:t xml:space="preserve">pending charges declaration </w:t>
      </w:r>
      <w:r w:rsidRPr="00477A83">
        <w:rPr>
          <w:rFonts w:ascii="Lato" w:hAnsi="Lato" w:cs="Arial"/>
          <w:bCs/>
          <w:sz w:val="24"/>
          <w:lang w:val="en-US"/>
        </w:rPr>
        <w:t xml:space="preserve">and a criminal record report.  Enrolment forms can be completed online or provided to the school. A copy of the enrolment form must be retained by the school and the original forwarded directly to the vetting entity. </w:t>
      </w:r>
    </w:p>
    <w:p w:rsidR="000E7679" w:rsidRPr="00477A83" w:rsidRDefault="000E7679" w:rsidP="000E7679">
      <w:pPr>
        <w:ind w:left="425"/>
        <w:rPr>
          <w:rFonts w:ascii="Lato" w:hAnsi="Lato" w:cs="Arial"/>
          <w:bCs/>
          <w:sz w:val="24"/>
          <w:lang w:val="en-US"/>
        </w:rPr>
      </w:pP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 xml:space="preserve">Pending charges declarations will be completed by the prospective mature age student with the principal and upon completion should be forwarded to the vetting entity with the enrolment forms and any other relevant documentation. </w:t>
      </w:r>
    </w:p>
    <w:p w:rsidR="000E7679" w:rsidRPr="00477A83" w:rsidRDefault="000E7679" w:rsidP="000E7679">
      <w:pPr>
        <w:ind w:left="425"/>
        <w:rPr>
          <w:rFonts w:ascii="Lato" w:hAnsi="Lato" w:cs="Arial"/>
          <w:bCs/>
          <w:sz w:val="24"/>
          <w:lang w:val="en-US"/>
        </w:rPr>
      </w:pP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Criminal record reports should be provided directly via mail to the vetting entity by Safe NT. In the event that the record is provided directly to school staff, it must be forwarded unopened to the vetting entity via:</w:t>
      </w:r>
    </w:p>
    <w:p w:rsidR="000E7679" w:rsidRPr="00477A83" w:rsidRDefault="000E7679" w:rsidP="000E7679">
      <w:pPr>
        <w:ind w:left="425"/>
        <w:rPr>
          <w:rFonts w:ascii="Lato" w:hAnsi="Lato" w:cs="Arial"/>
          <w:bCs/>
          <w:sz w:val="24"/>
          <w:lang w:val="en-US"/>
        </w:rPr>
      </w:pPr>
    </w:p>
    <w:p w:rsidR="000E7679" w:rsidRPr="00477A83" w:rsidRDefault="000E7679" w:rsidP="000E7679">
      <w:pPr>
        <w:ind w:left="720" w:firstLine="295"/>
        <w:rPr>
          <w:rFonts w:ascii="Lato" w:hAnsi="Lato"/>
          <w:sz w:val="24"/>
        </w:rPr>
      </w:pPr>
      <w:r w:rsidRPr="00477A83">
        <w:rPr>
          <w:rFonts w:ascii="Lato" w:hAnsi="Lato" w:cs="Arial"/>
          <w:bCs/>
          <w:sz w:val="24"/>
          <w:lang w:val="en-US"/>
        </w:rPr>
        <w:t>Email:</w:t>
      </w:r>
      <w:r w:rsidRPr="00477A83">
        <w:rPr>
          <w:rFonts w:ascii="Lato" w:hAnsi="Lato"/>
          <w:sz w:val="24"/>
        </w:rPr>
        <w:t xml:space="preserve"> </w:t>
      </w:r>
      <w:hyperlink r:id="rId14" w:history="1">
        <w:r w:rsidRPr="00477A83">
          <w:rPr>
            <w:rFonts w:ascii="Lato" w:hAnsi="Lato"/>
            <w:color w:val="0000FF"/>
            <w:sz w:val="24"/>
            <w:u w:val="single"/>
          </w:rPr>
          <w:t>schoolops.det@nt.gov.au</w:t>
        </w:r>
      </w:hyperlink>
      <w:r w:rsidRPr="00477A83">
        <w:rPr>
          <w:rFonts w:ascii="Lato" w:hAnsi="Lato"/>
          <w:color w:val="0000FF"/>
          <w:sz w:val="24"/>
          <w:u w:val="single"/>
        </w:rPr>
        <w:t xml:space="preserve"> </w:t>
      </w:r>
      <w:r w:rsidRPr="00477A83">
        <w:rPr>
          <w:rFonts w:ascii="Lato" w:hAnsi="Lato"/>
          <w:sz w:val="24"/>
        </w:rPr>
        <w:t xml:space="preserve">or </w:t>
      </w:r>
    </w:p>
    <w:p w:rsidR="000E7679" w:rsidRPr="00477A83" w:rsidRDefault="000E7679" w:rsidP="000E7679">
      <w:pPr>
        <w:ind w:left="720" w:firstLine="295"/>
        <w:rPr>
          <w:rFonts w:ascii="Lato" w:hAnsi="Lato" w:cs="Arial"/>
          <w:bCs/>
          <w:sz w:val="24"/>
          <w:lang w:val="en-US"/>
        </w:rPr>
      </w:pPr>
      <w:r w:rsidRPr="00477A83">
        <w:rPr>
          <w:rFonts w:ascii="Lato" w:hAnsi="Lato"/>
          <w:sz w:val="24"/>
        </w:rPr>
        <w:t xml:space="preserve">Post: </w:t>
      </w:r>
      <w:r w:rsidRPr="00477A83">
        <w:rPr>
          <w:rFonts w:ascii="Lato" w:hAnsi="Lato" w:cs="Arial"/>
          <w:bCs/>
          <w:sz w:val="24"/>
          <w:lang w:val="en-US"/>
        </w:rPr>
        <w:t>Vetting Entity c/ School Operations North, GPO Box 4821 Darwin</w:t>
      </w:r>
    </w:p>
    <w:p w:rsidR="000E7679" w:rsidRPr="00477A83" w:rsidRDefault="000E7679" w:rsidP="000E7679">
      <w:pPr>
        <w:rPr>
          <w:rFonts w:ascii="Lato" w:hAnsi="Lato" w:cs="Arial"/>
          <w:bCs/>
          <w:sz w:val="24"/>
          <w:lang w:val="en-US"/>
        </w:rPr>
      </w:pP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 xml:space="preserve">Schools must not copy or record information relating to the criminal history check request or criminal record, if provided by the student. The vetting entity will only assess the application when all required information has been provided. </w:t>
      </w:r>
    </w:p>
    <w:p w:rsidR="000E7679" w:rsidRPr="00477A83" w:rsidRDefault="000E7679" w:rsidP="000E7679">
      <w:pPr>
        <w:rPr>
          <w:rFonts w:ascii="Lato" w:hAnsi="Lato" w:cs="Arial"/>
          <w:b/>
          <w:bCs/>
          <w:i/>
          <w:sz w:val="24"/>
          <w:lang w:val="en-US"/>
        </w:rPr>
      </w:pPr>
    </w:p>
    <w:p w:rsidR="000E7679" w:rsidRPr="00477A83" w:rsidRDefault="000E7679" w:rsidP="000E7679">
      <w:pPr>
        <w:keepNext/>
        <w:spacing w:after="120"/>
        <w:ind w:firstLine="425"/>
        <w:outlineLvl w:val="0"/>
        <w:rPr>
          <w:rFonts w:ascii="Lato" w:hAnsi="Lato" w:cs="Arial"/>
          <w:b/>
          <w:bCs/>
          <w:sz w:val="24"/>
          <w:lang w:val="en-US"/>
        </w:rPr>
      </w:pPr>
      <w:r w:rsidRPr="00477A83">
        <w:rPr>
          <w:rFonts w:ascii="Lato" w:hAnsi="Lato" w:cs="Arial"/>
          <w:b/>
          <w:bCs/>
          <w:sz w:val="24"/>
          <w:lang w:val="en-US"/>
        </w:rPr>
        <w:t>4.5 Consideration by the vetting entity</w:t>
      </w:r>
    </w:p>
    <w:p w:rsidR="000E7679" w:rsidRPr="00477A83" w:rsidRDefault="000E7679" w:rsidP="000E7679">
      <w:pPr>
        <w:ind w:left="425"/>
        <w:rPr>
          <w:rFonts w:ascii="Lato" w:hAnsi="Lato"/>
          <w:sz w:val="24"/>
          <w:lang w:val="en-US"/>
        </w:rPr>
      </w:pPr>
      <w:r w:rsidRPr="00477A83">
        <w:rPr>
          <w:rFonts w:ascii="Lato" w:hAnsi="Lato"/>
          <w:sz w:val="24"/>
          <w:lang w:val="en-US"/>
        </w:rPr>
        <w:t>The vetting entity is responsible for reviewing pending charges declaration and the criminal record report of prospective mature age students to:</w:t>
      </w:r>
    </w:p>
    <w:p w:rsidR="000E7679" w:rsidRPr="00477A83" w:rsidRDefault="000E7679" w:rsidP="000E7679">
      <w:pPr>
        <w:ind w:left="425"/>
        <w:rPr>
          <w:rFonts w:ascii="Lato" w:hAnsi="Lato"/>
          <w:sz w:val="24"/>
          <w:lang w:val="en-US"/>
        </w:rPr>
      </w:pPr>
    </w:p>
    <w:p w:rsidR="000E7679" w:rsidRPr="00477A83" w:rsidRDefault="000E7679" w:rsidP="000E7679">
      <w:pPr>
        <w:numPr>
          <w:ilvl w:val="1"/>
          <w:numId w:val="4"/>
        </w:numPr>
        <w:ind w:left="928"/>
        <w:contextualSpacing/>
        <w:rPr>
          <w:rFonts w:ascii="Lato" w:hAnsi="Lato"/>
          <w:sz w:val="24"/>
          <w:lang w:val="en-US"/>
        </w:rPr>
      </w:pPr>
      <w:r w:rsidRPr="00477A83">
        <w:rPr>
          <w:rFonts w:ascii="Lato" w:hAnsi="Lato"/>
          <w:sz w:val="24"/>
          <w:lang w:val="en-US"/>
        </w:rPr>
        <w:t>Make a determination if there is a disqualifying offence or not</w:t>
      </w:r>
    </w:p>
    <w:p w:rsidR="000E7679" w:rsidRPr="00477A83" w:rsidRDefault="000E7679" w:rsidP="000E7679">
      <w:pPr>
        <w:numPr>
          <w:ilvl w:val="1"/>
          <w:numId w:val="4"/>
        </w:numPr>
        <w:ind w:left="928"/>
        <w:contextualSpacing/>
        <w:rPr>
          <w:rFonts w:ascii="Lato" w:hAnsi="Lato"/>
          <w:sz w:val="24"/>
          <w:lang w:val="en-US"/>
        </w:rPr>
      </w:pPr>
      <w:r w:rsidRPr="00477A83">
        <w:rPr>
          <w:rFonts w:ascii="Lato" w:hAnsi="Lato"/>
          <w:sz w:val="24"/>
          <w:lang w:val="en-US"/>
        </w:rPr>
        <w:t xml:space="preserve">Notify the applicant directly if they have a disqualifying offence and are therefore unable to </w:t>
      </w:r>
      <w:proofErr w:type="spellStart"/>
      <w:r w:rsidRPr="00477A83">
        <w:rPr>
          <w:rFonts w:ascii="Lato" w:hAnsi="Lato"/>
          <w:sz w:val="24"/>
          <w:lang w:val="en-US"/>
        </w:rPr>
        <w:t>enrol</w:t>
      </w:r>
      <w:proofErr w:type="spellEnd"/>
    </w:p>
    <w:p w:rsidR="000E7679" w:rsidRPr="00477A83" w:rsidRDefault="000E7679" w:rsidP="000E7679">
      <w:pPr>
        <w:numPr>
          <w:ilvl w:val="1"/>
          <w:numId w:val="4"/>
        </w:numPr>
        <w:ind w:left="928"/>
        <w:contextualSpacing/>
        <w:rPr>
          <w:rFonts w:ascii="Lato" w:hAnsi="Lato"/>
          <w:sz w:val="24"/>
          <w:lang w:val="en-US"/>
        </w:rPr>
      </w:pPr>
      <w:r w:rsidRPr="00477A83">
        <w:rPr>
          <w:rFonts w:ascii="Lato" w:hAnsi="Lato"/>
          <w:sz w:val="24"/>
          <w:lang w:val="en-US"/>
        </w:rPr>
        <w:lastRenderedPageBreak/>
        <w:t xml:space="preserve">Notify the principal that the applicant does not have disqualifying offences and deciding what information needs to be provided to principals in relation to non-disqualifying offences.  </w:t>
      </w:r>
    </w:p>
    <w:p w:rsidR="000E7679" w:rsidRPr="00477A83" w:rsidRDefault="000E7679" w:rsidP="000E7679">
      <w:pPr>
        <w:ind w:left="928"/>
        <w:contextualSpacing/>
        <w:rPr>
          <w:rFonts w:ascii="Lato" w:hAnsi="Lato"/>
          <w:sz w:val="24"/>
          <w:lang w:val="en-US"/>
        </w:rPr>
      </w:pPr>
    </w:p>
    <w:p w:rsidR="000E7679" w:rsidRPr="00477A83" w:rsidRDefault="000E7679" w:rsidP="000E7679">
      <w:pPr>
        <w:ind w:left="425"/>
        <w:rPr>
          <w:rFonts w:ascii="Lato" w:hAnsi="Lato"/>
          <w:sz w:val="24"/>
          <w:lang w:val="en-US"/>
        </w:rPr>
      </w:pPr>
      <w:r w:rsidRPr="00477A83">
        <w:rPr>
          <w:rFonts w:ascii="Lato" w:hAnsi="Lato"/>
          <w:sz w:val="24"/>
          <w:lang w:val="en-US"/>
        </w:rPr>
        <w:t>The vetting entity must, in accordance with these guidelines, establish procedures which provide a framework for making decisions about non-disqualifying offences and ensuring confidential information is managed appropriately.</w:t>
      </w:r>
    </w:p>
    <w:p w:rsidR="000E7679" w:rsidRPr="00477A83" w:rsidRDefault="000E7679" w:rsidP="000E7679">
      <w:pPr>
        <w:ind w:left="425"/>
        <w:rPr>
          <w:rFonts w:ascii="Lato" w:hAnsi="Lato"/>
          <w:sz w:val="24"/>
          <w:lang w:val="en-US"/>
        </w:rPr>
      </w:pPr>
    </w:p>
    <w:p w:rsidR="000E7679" w:rsidRPr="00477A83" w:rsidRDefault="000E7679" w:rsidP="000E7679">
      <w:pPr>
        <w:ind w:left="425"/>
        <w:rPr>
          <w:rFonts w:ascii="Lato" w:hAnsi="Lato"/>
          <w:sz w:val="24"/>
          <w:lang w:val="en-US"/>
        </w:rPr>
      </w:pPr>
      <w:r w:rsidRPr="00477A83">
        <w:rPr>
          <w:rFonts w:ascii="Lato" w:hAnsi="Lato"/>
          <w:sz w:val="24"/>
          <w:lang w:val="en-US"/>
        </w:rPr>
        <w:t xml:space="preserve">Principals will receive notification from the vetting entity about any disqualifying offences in additional to information detailing any other criminal history that may be relevant to enrolment. </w:t>
      </w:r>
    </w:p>
    <w:p w:rsidR="000E7679" w:rsidRPr="00477A83" w:rsidRDefault="000E7679" w:rsidP="000E7679">
      <w:pPr>
        <w:ind w:left="425"/>
        <w:rPr>
          <w:rFonts w:ascii="Lato" w:hAnsi="Lato"/>
          <w:sz w:val="24"/>
          <w:lang w:val="en-US"/>
        </w:rPr>
      </w:pPr>
    </w:p>
    <w:p w:rsidR="000E7679" w:rsidRPr="00477A83" w:rsidRDefault="000E7679" w:rsidP="000E7679">
      <w:pPr>
        <w:keepNext/>
        <w:spacing w:after="120"/>
        <w:ind w:firstLine="425"/>
        <w:outlineLvl w:val="0"/>
        <w:rPr>
          <w:rFonts w:ascii="Lato" w:hAnsi="Lato" w:cs="Arial"/>
          <w:b/>
          <w:bCs/>
          <w:sz w:val="24"/>
          <w:lang w:val="en-US"/>
        </w:rPr>
      </w:pPr>
      <w:r w:rsidRPr="00477A83">
        <w:rPr>
          <w:rFonts w:ascii="Lato" w:hAnsi="Lato" w:cs="Arial"/>
          <w:b/>
          <w:bCs/>
          <w:sz w:val="24"/>
          <w:lang w:val="en-US"/>
        </w:rPr>
        <w:t xml:space="preserve">4.5.1 Disqualifying offences </w:t>
      </w: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 xml:space="preserve">There are a number of criminal offences that automatically prevent the enrolment of a prospective mature age student as outlined in the </w:t>
      </w:r>
      <w:hyperlink r:id="rId15" w:history="1">
        <w:r w:rsidRPr="00477A83">
          <w:rPr>
            <w:rFonts w:ascii="Lato" w:hAnsi="Lato" w:cs="Arial"/>
            <w:bCs/>
            <w:color w:val="0000FF"/>
            <w:sz w:val="24"/>
            <w:u w:val="single"/>
            <w:lang w:val="en-US"/>
          </w:rPr>
          <w:t>Education Regulations.</w:t>
        </w:r>
      </w:hyperlink>
      <w:r w:rsidRPr="00477A83">
        <w:rPr>
          <w:rFonts w:ascii="Lato" w:hAnsi="Lato" w:cs="Arial"/>
          <w:bCs/>
          <w:sz w:val="24"/>
          <w:lang w:val="en-US"/>
        </w:rPr>
        <w:t xml:space="preserve"> These offences are serious and predominantly relate to sexual, violent or drug related offences (where the victim of the drug offence is a child). </w:t>
      </w:r>
    </w:p>
    <w:p w:rsidR="000E7679" w:rsidRPr="00477A83" w:rsidRDefault="000E7679" w:rsidP="000E7679">
      <w:pPr>
        <w:ind w:left="425"/>
        <w:rPr>
          <w:rFonts w:ascii="Lato" w:hAnsi="Lato"/>
          <w:sz w:val="24"/>
          <w:lang w:val="en-US"/>
        </w:rPr>
      </w:pP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Where a criminal record includes a conviction for a disqualifying offence, the applicant must not be enrolled. The vetting entity must send written notification to the student and the principal advising of this determination in line with the vetting entity procedures.</w:t>
      </w:r>
    </w:p>
    <w:p w:rsidR="000E7679" w:rsidRPr="00477A83" w:rsidRDefault="000E7679" w:rsidP="000E7679">
      <w:pPr>
        <w:ind w:left="425"/>
        <w:rPr>
          <w:rFonts w:ascii="Lato" w:hAnsi="Lato"/>
          <w:sz w:val="24"/>
          <w:lang w:val="en-US"/>
        </w:rPr>
      </w:pPr>
    </w:p>
    <w:p w:rsidR="000E7679" w:rsidRPr="000E7679" w:rsidRDefault="000E7679" w:rsidP="000E7679">
      <w:pPr>
        <w:keepNext/>
        <w:spacing w:before="280" w:after="120"/>
        <w:ind w:left="714" w:hanging="357"/>
        <w:outlineLvl w:val="1"/>
        <w:rPr>
          <w:rFonts w:ascii="Lato" w:hAnsi="Lato" w:cs="Arial"/>
          <w:b/>
          <w:bCs/>
          <w:iCs/>
          <w:sz w:val="24"/>
          <w:lang w:val="en-US"/>
        </w:rPr>
      </w:pPr>
      <w:r>
        <w:rPr>
          <w:rFonts w:ascii="Lato" w:hAnsi="Lato" w:cs="Arial"/>
          <w:b/>
          <w:bCs/>
          <w:iCs/>
          <w:sz w:val="28"/>
          <w:lang w:val="en-US"/>
        </w:rPr>
        <w:t xml:space="preserve">5. </w:t>
      </w:r>
      <w:r w:rsidRPr="000E7679">
        <w:rPr>
          <w:rFonts w:ascii="Lato" w:hAnsi="Lato" w:cs="Arial"/>
          <w:b/>
          <w:bCs/>
          <w:iCs/>
          <w:sz w:val="28"/>
          <w:lang w:val="en-US"/>
        </w:rPr>
        <w:t>ENROLMENT CONSIDERATIONS</w:t>
      </w: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 xml:space="preserve">Not all criminal convictions preclude a prospective mature age student from enrolling. If a criminal record includes convictions not classed as disqualifying but indicate that there may be a potential risk to the safety and wellbeing of students and/or staff, the vetting entity will notify the principal in writing and provide relevant details. </w:t>
      </w:r>
    </w:p>
    <w:p w:rsidR="000E7679" w:rsidRPr="00477A83" w:rsidRDefault="000E7679" w:rsidP="000E7679">
      <w:pPr>
        <w:ind w:left="425"/>
        <w:rPr>
          <w:rFonts w:ascii="Lato" w:hAnsi="Lato" w:cs="Arial"/>
          <w:bCs/>
          <w:sz w:val="24"/>
          <w:lang w:val="en-US"/>
        </w:rPr>
      </w:pPr>
    </w:p>
    <w:p w:rsidR="000E7679" w:rsidRPr="00477A83" w:rsidRDefault="000E7679" w:rsidP="000E7679">
      <w:pPr>
        <w:ind w:left="425"/>
        <w:rPr>
          <w:rFonts w:ascii="Lato" w:hAnsi="Lato" w:cs="Arial"/>
          <w:bCs/>
          <w:sz w:val="24"/>
          <w:lang w:val="en-US"/>
        </w:rPr>
      </w:pPr>
      <w:r w:rsidRPr="00477A83">
        <w:rPr>
          <w:rFonts w:ascii="Lato" w:hAnsi="Lato" w:cs="Arial"/>
          <w:bCs/>
          <w:sz w:val="24"/>
          <w:lang w:val="en-US"/>
        </w:rPr>
        <w:t>Principals can then make a discretionary determination about enrolment suitability taking into account the following factors:</w:t>
      </w:r>
    </w:p>
    <w:p w:rsidR="000E7679" w:rsidRPr="00477A83" w:rsidRDefault="000E7679" w:rsidP="000E7679">
      <w:pPr>
        <w:ind w:left="425"/>
        <w:rPr>
          <w:rFonts w:ascii="Lato" w:hAnsi="Lato" w:cs="Arial"/>
          <w:bCs/>
          <w:sz w:val="24"/>
          <w:lang w:val="en-US"/>
        </w:rPr>
      </w:pPr>
    </w:p>
    <w:p w:rsidR="000E7679" w:rsidRPr="00477A83" w:rsidRDefault="000E7679" w:rsidP="000E7679">
      <w:pPr>
        <w:numPr>
          <w:ilvl w:val="0"/>
          <w:numId w:val="36"/>
        </w:numPr>
        <w:tabs>
          <w:tab w:val="left" w:pos="1276"/>
        </w:tabs>
        <w:kinsoku w:val="0"/>
        <w:overflowPunct w:val="0"/>
        <w:autoSpaceDE w:val="0"/>
        <w:autoSpaceDN w:val="0"/>
        <w:adjustRightInd w:val="0"/>
        <w:ind w:left="1785" w:hanging="1218"/>
        <w:rPr>
          <w:rFonts w:ascii="Lato" w:hAnsi="Lato"/>
          <w:spacing w:val="-1"/>
          <w:sz w:val="24"/>
        </w:rPr>
      </w:pPr>
      <w:bookmarkStart w:id="2" w:name="64_Review_of_decision_of_principal_of_Go"/>
      <w:bookmarkStart w:id="3" w:name="63_Provisions_applying_to_application_fo"/>
      <w:bookmarkStart w:id="4" w:name="62_Matters_to_be_considered_by_principal"/>
      <w:bookmarkEnd w:id="2"/>
      <w:bookmarkEnd w:id="3"/>
      <w:bookmarkEnd w:id="4"/>
      <w:r w:rsidRPr="00477A83">
        <w:rPr>
          <w:rFonts w:ascii="Lato" w:hAnsi="Lato"/>
          <w:spacing w:val="-1"/>
          <w:sz w:val="24"/>
        </w:rPr>
        <w:t>any criminal history provided by the vetting entity;</w:t>
      </w:r>
    </w:p>
    <w:p w:rsidR="000E7679" w:rsidRPr="00477A83" w:rsidRDefault="000E7679" w:rsidP="000E7679">
      <w:pPr>
        <w:numPr>
          <w:ilvl w:val="0"/>
          <w:numId w:val="36"/>
        </w:numPr>
        <w:tabs>
          <w:tab w:val="left" w:pos="1276"/>
        </w:tabs>
        <w:kinsoku w:val="0"/>
        <w:overflowPunct w:val="0"/>
        <w:autoSpaceDE w:val="0"/>
        <w:autoSpaceDN w:val="0"/>
        <w:adjustRightInd w:val="0"/>
        <w:ind w:left="1785" w:hanging="1218"/>
        <w:rPr>
          <w:rFonts w:ascii="Lato" w:hAnsi="Lato"/>
          <w:spacing w:val="-1"/>
          <w:sz w:val="24"/>
        </w:rPr>
      </w:pPr>
      <w:r w:rsidRPr="00477A83">
        <w:rPr>
          <w:rFonts w:ascii="Lato" w:hAnsi="Lato"/>
          <w:spacing w:val="-1"/>
          <w:sz w:val="24"/>
        </w:rPr>
        <w:t>the reason given by the applicant for seeking enrolment;</w:t>
      </w:r>
    </w:p>
    <w:p w:rsidR="000E7679" w:rsidRPr="00477A83" w:rsidRDefault="000E7679" w:rsidP="000E7679">
      <w:pPr>
        <w:numPr>
          <w:ilvl w:val="0"/>
          <w:numId w:val="36"/>
        </w:numPr>
        <w:tabs>
          <w:tab w:val="left" w:pos="1276"/>
        </w:tabs>
        <w:kinsoku w:val="0"/>
        <w:overflowPunct w:val="0"/>
        <w:autoSpaceDE w:val="0"/>
        <w:autoSpaceDN w:val="0"/>
        <w:adjustRightInd w:val="0"/>
        <w:ind w:left="1276" w:hanging="709"/>
        <w:rPr>
          <w:rFonts w:ascii="Lato" w:hAnsi="Lato"/>
          <w:spacing w:val="-1"/>
          <w:sz w:val="24"/>
        </w:rPr>
      </w:pPr>
      <w:r w:rsidRPr="00477A83">
        <w:rPr>
          <w:rFonts w:ascii="Lato" w:hAnsi="Lato"/>
          <w:spacing w:val="-1"/>
          <w:sz w:val="24"/>
        </w:rPr>
        <w:t>the likely educational outcome of enrolment and whether the same or a similar outcome could be obtained by other means;</w:t>
      </w:r>
    </w:p>
    <w:p w:rsidR="000E7679" w:rsidRPr="00477A83" w:rsidRDefault="000E7679" w:rsidP="000E7679">
      <w:pPr>
        <w:numPr>
          <w:ilvl w:val="0"/>
          <w:numId w:val="36"/>
        </w:numPr>
        <w:tabs>
          <w:tab w:val="left" w:pos="1276"/>
        </w:tabs>
        <w:kinsoku w:val="0"/>
        <w:overflowPunct w:val="0"/>
        <w:autoSpaceDE w:val="0"/>
        <w:autoSpaceDN w:val="0"/>
        <w:adjustRightInd w:val="0"/>
        <w:ind w:left="1785" w:hanging="1218"/>
        <w:rPr>
          <w:rFonts w:ascii="Lato" w:hAnsi="Lato"/>
          <w:spacing w:val="-1"/>
          <w:sz w:val="24"/>
        </w:rPr>
      </w:pPr>
      <w:r w:rsidRPr="00477A83">
        <w:rPr>
          <w:rFonts w:ascii="Lato" w:hAnsi="Lato"/>
          <w:spacing w:val="-1"/>
          <w:sz w:val="24"/>
        </w:rPr>
        <w:t>the safety and welfare of staff and other students;</w:t>
      </w:r>
    </w:p>
    <w:p w:rsidR="000E7679" w:rsidRPr="00477A83" w:rsidRDefault="000E7679" w:rsidP="000E7679">
      <w:pPr>
        <w:numPr>
          <w:ilvl w:val="0"/>
          <w:numId w:val="36"/>
        </w:numPr>
        <w:tabs>
          <w:tab w:val="left" w:pos="1276"/>
        </w:tabs>
        <w:kinsoku w:val="0"/>
        <w:overflowPunct w:val="0"/>
        <w:autoSpaceDE w:val="0"/>
        <w:autoSpaceDN w:val="0"/>
        <w:adjustRightInd w:val="0"/>
        <w:ind w:left="1785" w:hanging="1218"/>
        <w:rPr>
          <w:rFonts w:ascii="Lato" w:hAnsi="Lato"/>
          <w:spacing w:val="-1"/>
          <w:sz w:val="24"/>
        </w:rPr>
      </w:pPr>
      <w:proofErr w:type="gramStart"/>
      <w:r w:rsidRPr="00477A83">
        <w:rPr>
          <w:rFonts w:ascii="Lato" w:hAnsi="Lato"/>
          <w:spacing w:val="-1"/>
          <w:sz w:val="24"/>
        </w:rPr>
        <w:t>the</w:t>
      </w:r>
      <w:proofErr w:type="gramEnd"/>
      <w:r w:rsidRPr="00477A83">
        <w:rPr>
          <w:rFonts w:ascii="Lato" w:hAnsi="Lato"/>
          <w:spacing w:val="-1"/>
          <w:sz w:val="24"/>
        </w:rPr>
        <w:t xml:space="preserve"> suitability of other education, training or employment options.</w:t>
      </w:r>
    </w:p>
    <w:p w:rsidR="000E7679" w:rsidRPr="00477A83" w:rsidRDefault="000E7679" w:rsidP="000E7679">
      <w:pPr>
        <w:rPr>
          <w:rFonts w:ascii="Lato" w:hAnsi="Lato"/>
          <w:sz w:val="24"/>
          <w:lang w:val="en-US"/>
        </w:rPr>
      </w:pPr>
    </w:p>
    <w:p w:rsidR="000E7679" w:rsidRPr="00477A83" w:rsidRDefault="000E7679" w:rsidP="000E7679">
      <w:pPr>
        <w:ind w:left="426"/>
        <w:rPr>
          <w:rFonts w:ascii="Lato" w:hAnsi="Lato"/>
          <w:sz w:val="24"/>
          <w:lang w:val="en-US"/>
        </w:rPr>
      </w:pPr>
      <w:r w:rsidRPr="00477A83">
        <w:rPr>
          <w:rFonts w:ascii="Lato" w:hAnsi="Lato"/>
          <w:sz w:val="24"/>
          <w:lang w:val="en-US"/>
        </w:rPr>
        <w:t xml:space="preserve">The vetting entity must advise the relevant school principal within 14 days where the prospective mature age student has no disqualifying or relevant convictions.  Principals can proceed with enrolment process as per the </w:t>
      </w:r>
      <w:hyperlink r:id="rId16" w:history="1">
        <w:r w:rsidRPr="00477A83">
          <w:rPr>
            <w:rFonts w:ascii="Lato" w:hAnsi="Lato"/>
            <w:color w:val="0000FF"/>
            <w:sz w:val="24"/>
            <w:u w:val="single"/>
            <w:lang w:val="en-US"/>
          </w:rPr>
          <w:t>Enrolment policy</w:t>
        </w:r>
      </w:hyperlink>
      <w:r w:rsidRPr="00477A83">
        <w:rPr>
          <w:rFonts w:ascii="Lato" w:hAnsi="Lato"/>
          <w:sz w:val="24"/>
          <w:lang w:val="en-US"/>
        </w:rPr>
        <w:t xml:space="preserve">. </w:t>
      </w:r>
    </w:p>
    <w:p w:rsidR="000E7679" w:rsidRPr="00477A83" w:rsidRDefault="000E7679" w:rsidP="000E7679">
      <w:pPr>
        <w:ind w:left="426"/>
        <w:rPr>
          <w:rFonts w:ascii="Lato" w:hAnsi="Lato"/>
          <w:sz w:val="24"/>
          <w:lang w:val="en-US"/>
        </w:rPr>
      </w:pPr>
    </w:p>
    <w:p w:rsidR="000E7679" w:rsidRPr="000E7679" w:rsidRDefault="000E7679" w:rsidP="000E7679">
      <w:pPr>
        <w:keepNext/>
        <w:spacing w:before="280" w:after="120"/>
        <w:ind w:left="714" w:hanging="357"/>
        <w:outlineLvl w:val="1"/>
        <w:rPr>
          <w:rFonts w:ascii="Lato" w:hAnsi="Lato" w:cs="Arial"/>
          <w:b/>
          <w:bCs/>
          <w:iCs/>
          <w:sz w:val="28"/>
          <w:lang w:val="en-US"/>
        </w:rPr>
      </w:pPr>
      <w:r>
        <w:rPr>
          <w:rFonts w:ascii="Lato" w:hAnsi="Lato" w:cs="Arial"/>
          <w:b/>
          <w:bCs/>
          <w:iCs/>
          <w:sz w:val="28"/>
          <w:lang w:val="en-US"/>
        </w:rPr>
        <w:t xml:space="preserve">6. </w:t>
      </w:r>
      <w:r w:rsidRPr="000E7679">
        <w:rPr>
          <w:rFonts w:ascii="Lato" w:hAnsi="Lato" w:cs="Arial"/>
          <w:b/>
          <w:bCs/>
          <w:iCs/>
          <w:sz w:val="28"/>
          <w:lang w:val="en-US"/>
        </w:rPr>
        <w:t xml:space="preserve">DISPUTES AND REQUESTS FOR REVIEW </w:t>
      </w:r>
    </w:p>
    <w:p w:rsidR="000E7679" w:rsidRPr="00477A83" w:rsidRDefault="000E7679" w:rsidP="000E7679">
      <w:pPr>
        <w:keepNext/>
        <w:spacing w:after="120"/>
        <w:ind w:firstLine="425"/>
        <w:outlineLvl w:val="0"/>
        <w:rPr>
          <w:rFonts w:ascii="Lato" w:hAnsi="Lato" w:cs="Arial"/>
          <w:b/>
          <w:bCs/>
          <w:sz w:val="24"/>
          <w:lang w:val="en-US"/>
        </w:rPr>
      </w:pPr>
      <w:r w:rsidRPr="00477A83">
        <w:rPr>
          <w:rFonts w:ascii="Lato" w:hAnsi="Lato" w:cs="Arial"/>
          <w:b/>
          <w:bCs/>
          <w:sz w:val="24"/>
          <w:lang w:val="en-US"/>
        </w:rPr>
        <w:t>6.1 Dispute of criminal record</w:t>
      </w:r>
    </w:p>
    <w:p w:rsidR="000E7679" w:rsidRPr="00477A83" w:rsidRDefault="000E7679" w:rsidP="000E7679">
      <w:pPr>
        <w:ind w:left="425"/>
        <w:rPr>
          <w:rFonts w:ascii="Lato" w:hAnsi="Lato"/>
          <w:sz w:val="24"/>
        </w:rPr>
      </w:pPr>
      <w:r w:rsidRPr="00477A83">
        <w:rPr>
          <w:rFonts w:ascii="Lato" w:hAnsi="Lato"/>
          <w:sz w:val="24"/>
        </w:rPr>
        <w:t>To dispute the accuracy of criminal record information, prospective mature age students must contact SAFE NT. Until such time as the vetting entity or school receives evidence that the criminal record has been amended by SAFE NT, if there are convictions for a disqualifying offence, enrolment must be refused.</w:t>
      </w:r>
    </w:p>
    <w:p w:rsidR="000E7679" w:rsidRPr="00477A83" w:rsidRDefault="000E7679" w:rsidP="000E7679">
      <w:pPr>
        <w:ind w:left="425"/>
        <w:rPr>
          <w:rFonts w:ascii="Lato" w:hAnsi="Lato"/>
          <w:sz w:val="24"/>
        </w:rPr>
      </w:pPr>
    </w:p>
    <w:p w:rsidR="000E7679" w:rsidRPr="00477A83" w:rsidRDefault="000E7679" w:rsidP="000E7679">
      <w:pPr>
        <w:keepNext/>
        <w:spacing w:after="120"/>
        <w:ind w:firstLine="425"/>
        <w:outlineLvl w:val="0"/>
        <w:rPr>
          <w:rFonts w:ascii="Lato" w:hAnsi="Lato" w:cs="Arial"/>
          <w:b/>
          <w:bCs/>
          <w:sz w:val="24"/>
        </w:rPr>
      </w:pPr>
      <w:r w:rsidRPr="00477A83">
        <w:rPr>
          <w:rFonts w:ascii="Lato" w:hAnsi="Lato" w:cs="Arial"/>
          <w:b/>
          <w:bCs/>
          <w:sz w:val="24"/>
          <w:lang w:val="en-US"/>
        </w:rPr>
        <w:lastRenderedPageBreak/>
        <w:t>6.2 Request for review of determination made about enrolment</w:t>
      </w:r>
      <w:r w:rsidRPr="00477A83">
        <w:rPr>
          <w:rFonts w:ascii="Lato" w:hAnsi="Lato" w:cs="Arial"/>
          <w:b/>
          <w:bCs/>
          <w:sz w:val="24"/>
        </w:rPr>
        <w:tab/>
      </w:r>
    </w:p>
    <w:p w:rsidR="000E7679" w:rsidRPr="00477A83" w:rsidRDefault="000E7679" w:rsidP="000E7679">
      <w:pPr>
        <w:ind w:left="426"/>
        <w:rPr>
          <w:rFonts w:ascii="Lato" w:hAnsi="Lato"/>
          <w:sz w:val="24"/>
        </w:rPr>
      </w:pPr>
      <w:r w:rsidRPr="00477A83">
        <w:rPr>
          <w:rFonts w:ascii="Lato" w:hAnsi="Lato"/>
          <w:sz w:val="24"/>
        </w:rPr>
        <w:t>In the event that a prospective mature age student is not satisfied with the decision made by the principal about their enrolment, they can, within 14 days of the decision being made, request for a review (</w:t>
      </w:r>
      <w:r w:rsidRPr="00477A83">
        <w:rPr>
          <w:rFonts w:ascii="Lato" w:hAnsi="Lato"/>
          <w:sz w:val="24"/>
          <w:u w:val="single"/>
        </w:rPr>
        <w:t>Attachment B – Request to review a mature age student enrolment application</w:t>
      </w:r>
      <w:r w:rsidRPr="00477A83">
        <w:rPr>
          <w:rFonts w:ascii="Lato" w:hAnsi="Lato"/>
          <w:sz w:val="24"/>
        </w:rPr>
        <w:t xml:space="preserve"> refers). </w:t>
      </w:r>
    </w:p>
    <w:p w:rsidR="000E7679" w:rsidRPr="00477A83" w:rsidRDefault="000E7679" w:rsidP="000E7679">
      <w:pPr>
        <w:shd w:val="clear" w:color="auto" w:fill="FFFFFF"/>
        <w:spacing w:before="100" w:beforeAutospacing="1" w:after="100" w:afterAutospacing="1"/>
        <w:ind w:left="426"/>
        <w:textAlignment w:val="top"/>
        <w:rPr>
          <w:rFonts w:ascii="Lato" w:hAnsi="Lato"/>
          <w:sz w:val="24"/>
        </w:rPr>
      </w:pPr>
      <w:r w:rsidRPr="00477A83">
        <w:rPr>
          <w:rFonts w:ascii="Lato" w:hAnsi="Lato"/>
          <w:sz w:val="24"/>
        </w:rPr>
        <w:t xml:space="preserve">Requests to review a decision must be made in writing to </w:t>
      </w:r>
      <w:hyperlink r:id="rId17" w:history="1">
        <w:r w:rsidRPr="00477A83">
          <w:rPr>
            <w:rFonts w:ascii="Lato" w:hAnsi="Lato"/>
            <w:color w:val="0000FF"/>
            <w:sz w:val="24"/>
            <w:u w:val="single"/>
          </w:rPr>
          <w:t>schoolops.det@nt.gov.au</w:t>
        </w:r>
      </w:hyperlink>
      <w:r w:rsidRPr="00477A83">
        <w:rPr>
          <w:rFonts w:ascii="Lato" w:hAnsi="Lato"/>
          <w:sz w:val="24"/>
        </w:rPr>
        <w:t xml:space="preserve"> and will be processed in accordance with the </w:t>
      </w:r>
      <w:hyperlink r:id="rId18" w:history="1">
        <w:r w:rsidRPr="00477A83">
          <w:rPr>
            <w:rStyle w:val="Hyperlink"/>
            <w:rFonts w:ascii="Lato" w:hAnsi="Lato"/>
            <w:sz w:val="24"/>
          </w:rPr>
          <w:t>Complaints management in schools guidelines.</w:t>
        </w:r>
      </w:hyperlink>
      <w:r w:rsidRPr="00477A83">
        <w:rPr>
          <w:rFonts w:ascii="Lato" w:hAnsi="Lato"/>
          <w:sz w:val="24"/>
        </w:rPr>
        <w:t xml:space="preserve"> </w:t>
      </w:r>
    </w:p>
    <w:p w:rsidR="000E7679" w:rsidRPr="000E7679" w:rsidRDefault="000E7679" w:rsidP="000E7679">
      <w:pPr>
        <w:keepNext/>
        <w:spacing w:before="280" w:after="120"/>
        <w:ind w:left="714" w:hanging="357"/>
        <w:outlineLvl w:val="1"/>
        <w:rPr>
          <w:rFonts w:ascii="Lato" w:hAnsi="Lato" w:cs="Arial"/>
          <w:b/>
          <w:bCs/>
          <w:iCs/>
          <w:sz w:val="28"/>
          <w:lang w:val="en-US"/>
        </w:rPr>
      </w:pPr>
      <w:r w:rsidRPr="000E7679">
        <w:rPr>
          <w:rFonts w:ascii="Lato" w:hAnsi="Lato" w:cs="Arial"/>
          <w:b/>
          <w:bCs/>
          <w:iCs/>
          <w:sz w:val="28"/>
          <w:lang w:val="en-US"/>
        </w:rPr>
        <w:t>LEGISLATION AND REFERENCES</w:t>
      </w:r>
    </w:p>
    <w:tbl>
      <w:tblPr>
        <w:tblStyle w:val="TableGrid"/>
        <w:tblW w:w="10064" w:type="dxa"/>
        <w:tblInd w:w="392" w:type="dxa"/>
        <w:tblLook w:val="04A0" w:firstRow="1" w:lastRow="0" w:firstColumn="1" w:lastColumn="0" w:noHBand="0" w:noVBand="1"/>
      </w:tblPr>
      <w:tblGrid>
        <w:gridCol w:w="3969"/>
        <w:gridCol w:w="6095"/>
      </w:tblGrid>
      <w:tr w:rsidR="000E7679" w:rsidRPr="00477A83" w:rsidTr="00F603F9">
        <w:tc>
          <w:tcPr>
            <w:tcW w:w="3969" w:type="dxa"/>
            <w:tcBorders>
              <w:top w:val="single" w:sz="4" w:space="0" w:color="auto"/>
              <w:left w:val="single" w:sz="4" w:space="0" w:color="auto"/>
              <w:bottom w:val="single" w:sz="4" w:space="0" w:color="auto"/>
              <w:right w:val="single" w:sz="4" w:space="0" w:color="auto"/>
            </w:tcBorders>
            <w:hideMark/>
          </w:tcPr>
          <w:p w:rsidR="000E7679" w:rsidRPr="00477A83" w:rsidRDefault="000E7679" w:rsidP="000E7679">
            <w:pPr>
              <w:spacing w:before="60"/>
              <w:ind w:right="284"/>
              <w:rPr>
                <w:rFonts w:ascii="Lato" w:hAnsi="Lato"/>
                <w:b/>
                <w:sz w:val="24"/>
              </w:rPr>
            </w:pPr>
            <w:r w:rsidRPr="00477A83">
              <w:rPr>
                <w:rFonts w:ascii="Lato" w:hAnsi="Lato"/>
                <w:b/>
                <w:sz w:val="24"/>
              </w:rPr>
              <w:t>Legislation</w:t>
            </w:r>
            <w:r w:rsidRPr="00477A83">
              <w:rPr>
                <w:rFonts w:ascii="Lato" w:hAnsi="Lato"/>
                <w:b/>
                <w:sz w:val="24"/>
              </w:rPr>
              <w:br/>
              <w:t xml:space="preserve">(NT and </w:t>
            </w:r>
            <w:proofErr w:type="spellStart"/>
            <w:r w:rsidRPr="00477A83">
              <w:rPr>
                <w:rFonts w:ascii="Lato" w:hAnsi="Lato"/>
                <w:b/>
                <w:sz w:val="24"/>
              </w:rPr>
              <w:t>Cth</w:t>
            </w:r>
            <w:proofErr w:type="spellEnd"/>
            <w:r w:rsidRPr="00477A83">
              <w:rPr>
                <w:rFonts w:ascii="Lato" w:hAnsi="Lato"/>
                <w:b/>
                <w:sz w:val="24"/>
              </w:rPr>
              <w:t>)</w:t>
            </w:r>
          </w:p>
        </w:tc>
        <w:tc>
          <w:tcPr>
            <w:tcW w:w="6095" w:type="dxa"/>
            <w:tcBorders>
              <w:top w:val="single" w:sz="4" w:space="0" w:color="auto"/>
              <w:left w:val="single" w:sz="4" w:space="0" w:color="auto"/>
              <w:bottom w:val="single" w:sz="4" w:space="0" w:color="auto"/>
              <w:right w:val="single" w:sz="4" w:space="0" w:color="auto"/>
            </w:tcBorders>
            <w:hideMark/>
          </w:tcPr>
          <w:p w:rsidR="000E7679" w:rsidRPr="00477A83" w:rsidRDefault="00B5315D" w:rsidP="000E7679">
            <w:pPr>
              <w:numPr>
                <w:ilvl w:val="0"/>
                <w:numId w:val="37"/>
              </w:numPr>
              <w:ind w:right="142"/>
              <w:rPr>
                <w:rFonts w:ascii="Lato" w:hAnsi="Lato"/>
                <w:i/>
                <w:spacing w:val="-1"/>
                <w:sz w:val="24"/>
              </w:rPr>
            </w:pPr>
            <w:hyperlink r:id="rId19" w:history="1">
              <w:r w:rsidR="000E7679" w:rsidRPr="00477A83">
                <w:rPr>
                  <w:rFonts w:ascii="Lato" w:hAnsi="Lato"/>
                  <w:i/>
                  <w:color w:val="0000FF"/>
                  <w:spacing w:val="-1"/>
                  <w:sz w:val="24"/>
                  <w:u w:val="single"/>
                </w:rPr>
                <w:t>Education Act (NT)</w:t>
              </w:r>
            </w:hyperlink>
          </w:p>
          <w:p w:rsidR="000E7679" w:rsidRPr="00477A83" w:rsidRDefault="00BE619E" w:rsidP="000E7679">
            <w:pPr>
              <w:numPr>
                <w:ilvl w:val="0"/>
                <w:numId w:val="37"/>
              </w:numPr>
              <w:ind w:left="357" w:right="142" w:hanging="357"/>
              <w:rPr>
                <w:rStyle w:val="Hyperlink"/>
                <w:rFonts w:ascii="Lato" w:hAnsi="Lato"/>
                <w:i/>
                <w:spacing w:val="-1"/>
                <w:sz w:val="24"/>
              </w:rPr>
            </w:pPr>
            <w:r w:rsidRPr="00477A83">
              <w:rPr>
                <w:rFonts w:ascii="Lato" w:hAnsi="Lato"/>
                <w:i/>
                <w:color w:val="0000FF"/>
                <w:spacing w:val="-1"/>
                <w:sz w:val="24"/>
                <w:u w:val="single"/>
              </w:rPr>
              <w:fldChar w:fldCharType="begin"/>
            </w:r>
            <w:r w:rsidRPr="00477A83">
              <w:rPr>
                <w:rFonts w:ascii="Lato" w:hAnsi="Lato"/>
                <w:i/>
                <w:color w:val="0000FF"/>
                <w:spacing w:val="-1"/>
                <w:sz w:val="24"/>
                <w:u w:val="single"/>
              </w:rPr>
              <w:instrText xml:space="preserve"> HYPERLINK "https://legislation.nt.gov.au/en/Legislation/CARE-AND-PROTECTION-OF-CHILDREN-ACT" </w:instrText>
            </w:r>
            <w:r w:rsidRPr="00477A83">
              <w:rPr>
                <w:rFonts w:ascii="Lato" w:hAnsi="Lato"/>
                <w:i/>
                <w:color w:val="0000FF"/>
                <w:spacing w:val="-1"/>
                <w:sz w:val="24"/>
                <w:u w:val="single"/>
              </w:rPr>
              <w:fldChar w:fldCharType="separate"/>
            </w:r>
            <w:r w:rsidR="000E7679" w:rsidRPr="00477A83">
              <w:rPr>
                <w:rStyle w:val="Hyperlink"/>
                <w:rFonts w:ascii="Lato" w:hAnsi="Lato"/>
                <w:i/>
                <w:spacing w:val="-1"/>
                <w:sz w:val="24"/>
              </w:rPr>
              <w:t xml:space="preserve">Care and Protection of Children Act </w:t>
            </w:r>
          </w:p>
          <w:p w:rsidR="000E7679" w:rsidRPr="00477A83" w:rsidRDefault="00BE619E" w:rsidP="000E7679">
            <w:pPr>
              <w:numPr>
                <w:ilvl w:val="0"/>
                <w:numId w:val="37"/>
              </w:numPr>
              <w:ind w:left="357" w:right="142" w:hanging="357"/>
              <w:rPr>
                <w:rStyle w:val="Hyperlink"/>
                <w:rFonts w:ascii="Lato" w:hAnsi="Lato"/>
                <w:i/>
                <w:spacing w:val="-1"/>
                <w:sz w:val="24"/>
              </w:rPr>
            </w:pPr>
            <w:r w:rsidRPr="00477A83">
              <w:rPr>
                <w:rFonts w:ascii="Lato" w:hAnsi="Lato"/>
                <w:i/>
                <w:color w:val="0000FF"/>
                <w:spacing w:val="-1"/>
                <w:sz w:val="24"/>
                <w:u w:val="single"/>
              </w:rPr>
              <w:fldChar w:fldCharType="end"/>
            </w:r>
            <w:r w:rsidRPr="00477A83">
              <w:rPr>
                <w:rFonts w:ascii="Lato" w:hAnsi="Lato"/>
                <w:i/>
                <w:color w:val="0000FF"/>
                <w:spacing w:val="-1"/>
                <w:sz w:val="24"/>
                <w:u w:val="single"/>
              </w:rPr>
              <w:fldChar w:fldCharType="begin"/>
            </w:r>
            <w:r w:rsidRPr="00477A83">
              <w:rPr>
                <w:rFonts w:ascii="Lato" w:hAnsi="Lato"/>
                <w:i/>
                <w:color w:val="0000FF"/>
                <w:spacing w:val="-1"/>
                <w:sz w:val="24"/>
                <w:u w:val="single"/>
              </w:rPr>
              <w:instrText xml:space="preserve"> HYPERLINK "https://legislation.nt.gov.au/en/Legislation/CRIMINAL-CODE-ACT" </w:instrText>
            </w:r>
            <w:r w:rsidRPr="00477A83">
              <w:rPr>
                <w:rFonts w:ascii="Lato" w:hAnsi="Lato"/>
                <w:i/>
                <w:color w:val="0000FF"/>
                <w:spacing w:val="-1"/>
                <w:sz w:val="24"/>
                <w:u w:val="single"/>
              </w:rPr>
              <w:fldChar w:fldCharType="separate"/>
            </w:r>
            <w:r w:rsidR="000E7679" w:rsidRPr="00477A83">
              <w:rPr>
                <w:rStyle w:val="Hyperlink"/>
                <w:rFonts w:ascii="Lato" w:hAnsi="Lato"/>
                <w:i/>
                <w:spacing w:val="-1"/>
                <w:sz w:val="24"/>
              </w:rPr>
              <w:t>Criminal Code Act (NT)</w:t>
            </w:r>
          </w:p>
          <w:p w:rsidR="00BE619E" w:rsidRPr="00477A83" w:rsidRDefault="00BE619E" w:rsidP="00BE619E">
            <w:pPr>
              <w:numPr>
                <w:ilvl w:val="0"/>
                <w:numId w:val="37"/>
              </w:numPr>
              <w:ind w:left="357" w:right="142" w:hanging="357"/>
              <w:rPr>
                <w:rStyle w:val="Hyperlink"/>
                <w:rFonts w:ascii="Lato" w:hAnsi="Lato"/>
                <w:i/>
                <w:spacing w:val="-1"/>
                <w:sz w:val="24"/>
              </w:rPr>
            </w:pPr>
            <w:r w:rsidRPr="00477A83">
              <w:rPr>
                <w:rFonts w:ascii="Lato" w:hAnsi="Lato"/>
                <w:i/>
                <w:color w:val="0000FF"/>
                <w:spacing w:val="-1"/>
                <w:sz w:val="24"/>
                <w:u w:val="single"/>
              </w:rPr>
              <w:fldChar w:fldCharType="end"/>
            </w:r>
            <w:r w:rsidRPr="00477A83">
              <w:rPr>
                <w:rFonts w:ascii="Lato" w:hAnsi="Lato"/>
                <w:i/>
                <w:color w:val="0000FF"/>
                <w:spacing w:val="-1"/>
                <w:sz w:val="24"/>
                <w:u w:val="single"/>
              </w:rPr>
              <w:fldChar w:fldCharType="begin"/>
            </w:r>
            <w:r w:rsidRPr="00477A83">
              <w:rPr>
                <w:rFonts w:ascii="Lato" w:hAnsi="Lato"/>
                <w:i/>
                <w:color w:val="0000FF"/>
                <w:spacing w:val="-1"/>
                <w:sz w:val="24"/>
                <w:u w:val="single"/>
              </w:rPr>
              <w:instrText xml:space="preserve"> HYPERLINK "https://www.legislation.gov.au/Details/C2017C00157" </w:instrText>
            </w:r>
            <w:r w:rsidRPr="00477A83">
              <w:rPr>
                <w:rFonts w:ascii="Lato" w:hAnsi="Lato"/>
                <w:i/>
                <w:color w:val="0000FF"/>
                <w:spacing w:val="-1"/>
                <w:sz w:val="24"/>
                <w:u w:val="single"/>
              </w:rPr>
              <w:fldChar w:fldCharType="separate"/>
            </w:r>
            <w:r w:rsidR="000E7679" w:rsidRPr="00477A83">
              <w:rPr>
                <w:rStyle w:val="Hyperlink"/>
                <w:rFonts w:ascii="Lato" w:hAnsi="Lato"/>
                <w:i/>
                <w:spacing w:val="-1"/>
                <w:sz w:val="24"/>
              </w:rPr>
              <w:t>Criminal Code (</w:t>
            </w:r>
            <w:proofErr w:type="spellStart"/>
            <w:r w:rsidR="000E7679" w:rsidRPr="00477A83">
              <w:rPr>
                <w:rStyle w:val="Hyperlink"/>
                <w:rFonts w:ascii="Lato" w:hAnsi="Lato"/>
                <w:i/>
                <w:spacing w:val="-1"/>
                <w:sz w:val="24"/>
              </w:rPr>
              <w:t>Cth</w:t>
            </w:r>
            <w:proofErr w:type="spellEnd"/>
            <w:r w:rsidR="000E7679" w:rsidRPr="00477A83">
              <w:rPr>
                <w:rStyle w:val="Hyperlink"/>
                <w:rFonts w:ascii="Lato" w:hAnsi="Lato"/>
                <w:i/>
                <w:spacing w:val="-1"/>
                <w:sz w:val="24"/>
              </w:rPr>
              <w:t>)</w:t>
            </w:r>
            <w:r w:rsidRPr="00477A83">
              <w:rPr>
                <w:rStyle w:val="Hyperlink"/>
                <w:rFonts w:ascii="Lato" w:hAnsi="Lato"/>
                <w:sz w:val="24"/>
              </w:rPr>
              <w:t xml:space="preserve"> </w:t>
            </w:r>
          </w:p>
          <w:p w:rsidR="000E7679" w:rsidRPr="00477A83" w:rsidRDefault="00BE619E" w:rsidP="00BE619E">
            <w:pPr>
              <w:numPr>
                <w:ilvl w:val="0"/>
                <w:numId w:val="37"/>
              </w:numPr>
              <w:ind w:left="357" w:right="142" w:hanging="357"/>
              <w:rPr>
                <w:rStyle w:val="Hyperlink"/>
                <w:rFonts w:ascii="Lato" w:hAnsi="Lato"/>
                <w:i/>
                <w:spacing w:val="-1"/>
                <w:sz w:val="24"/>
              </w:rPr>
            </w:pPr>
            <w:r w:rsidRPr="00477A83">
              <w:rPr>
                <w:rFonts w:ascii="Lato" w:hAnsi="Lato"/>
                <w:i/>
                <w:color w:val="0000FF"/>
                <w:spacing w:val="-1"/>
                <w:sz w:val="24"/>
                <w:u w:val="single"/>
              </w:rPr>
              <w:fldChar w:fldCharType="end"/>
            </w:r>
            <w:r w:rsidRPr="00477A83">
              <w:rPr>
                <w:rFonts w:ascii="Lato" w:hAnsi="Lato"/>
                <w:i/>
                <w:color w:val="0000FF"/>
                <w:spacing w:val="-1"/>
                <w:sz w:val="24"/>
                <w:u w:val="single"/>
              </w:rPr>
              <w:fldChar w:fldCharType="begin"/>
            </w:r>
            <w:r w:rsidRPr="00477A83">
              <w:rPr>
                <w:rFonts w:ascii="Lato" w:hAnsi="Lato"/>
                <w:i/>
                <w:color w:val="0000FF"/>
                <w:spacing w:val="-1"/>
                <w:sz w:val="24"/>
                <w:u w:val="single"/>
              </w:rPr>
              <w:instrText xml:space="preserve"> HYPERLINK "https://legislation.nt.gov.au/en/Legislation/MISUSE-OF-DRUGS-ACT" </w:instrText>
            </w:r>
            <w:r w:rsidRPr="00477A83">
              <w:rPr>
                <w:rFonts w:ascii="Lato" w:hAnsi="Lato"/>
                <w:i/>
                <w:color w:val="0000FF"/>
                <w:spacing w:val="-1"/>
                <w:sz w:val="24"/>
                <w:u w:val="single"/>
              </w:rPr>
              <w:fldChar w:fldCharType="separate"/>
            </w:r>
            <w:r w:rsidRPr="00477A83">
              <w:rPr>
                <w:rStyle w:val="Hyperlink"/>
                <w:rFonts w:ascii="Lato" w:hAnsi="Lato"/>
                <w:i/>
                <w:spacing w:val="-1"/>
                <w:sz w:val="24"/>
              </w:rPr>
              <w:t>Misuse of Drugs Act  (NT)</w:t>
            </w:r>
          </w:p>
          <w:p w:rsidR="000E7679" w:rsidRPr="00477A83" w:rsidRDefault="00BE619E" w:rsidP="000E7679">
            <w:pPr>
              <w:numPr>
                <w:ilvl w:val="0"/>
                <w:numId w:val="37"/>
              </w:numPr>
              <w:ind w:left="357" w:right="142" w:hanging="357"/>
              <w:rPr>
                <w:rStyle w:val="Hyperlink"/>
                <w:rFonts w:ascii="Lato" w:hAnsi="Lato"/>
                <w:spacing w:val="-1"/>
                <w:sz w:val="24"/>
              </w:rPr>
            </w:pPr>
            <w:r w:rsidRPr="00477A83">
              <w:rPr>
                <w:rFonts w:ascii="Lato" w:hAnsi="Lato"/>
                <w:i/>
                <w:color w:val="0000FF"/>
                <w:spacing w:val="-1"/>
                <w:sz w:val="24"/>
                <w:u w:val="single"/>
              </w:rPr>
              <w:fldChar w:fldCharType="end"/>
            </w:r>
            <w:r w:rsidRPr="00477A83">
              <w:rPr>
                <w:rFonts w:ascii="Lato" w:hAnsi="Lato"/>
                <w:i/>
                <w:color w:val="0000FF"/>
                <w:spacing w:val="-1"/>
                <w:sz w:val="24"/>
                <w:u w:val="single"/>
              </w:rPr>
              <w:fldChar w:fldCharType="begin"/>
            </w:r>
            <w:r w:rsidRPr="00477A83">
              <w:rPr>
                <w:rFonts w:ascii="Lato" w:hAnsi="Lato"/>
                <w:i/>
                <w:color w:val="0000FF"/>
                <w:spacing w:val="-1"/>
                <w:sz w:val="24"/>
                <w:u w:val="single"/>
              </w:rPr>
              <w:instrText xml:space="preserve"> HYPERLINK "https://www.legislation.gov.au/Details/C2017C00146" </w:instrText>
            </w:r>
            <w:r w:rsidRPr="00477A83">
              <w:rPr>
                <w:rFonts w:ascii="Lato" w:hAnsi="Lato"/>
                <w:i/>
                <w:color w:val="0000FF"/>
                <w:spacing w:val="-1"/>
                <w:sz w:val="24"/>
                <w:u w:val="single"/>
              </w:rPr>
              <w:fldChar w:fldCharType="separate"/>
            </w:r>
            <w:r w:rsidR="000E7679" w:rsidRPr="00477A83">
              <w:rPr>
                <w:rStyle w:val="Hyperlink"/>
                <w:rFonts w:ascii="Lato" w:hAnsi="Lato"/>
                <w:i/>
                <w:spacing w:val="-1"/>
                <w:sz w:val="24"/>
              </w:rPr>
              <w:t>Customs Act (</w:t>
            </w:r>
            <w:proofErr w:type="spellStart"/>
            <w:r w:rsidR="000E7679" w:rsidRPr="00477A83">
              <w:rPr>
                <w:rStyle w:val="Hyperlink"/>
                <w:rFonts w:ascii="Lato" w:hAnsi="Lato"/>
                <w:i/>
                <w:spacing w:val="-1"/>
                <w:sz w:val="24"/>
              </w:rPr>
              <w:t>Cth</w:t>
            </w:r>
            <w:proofErr w:type="spellEnd"/>
            <w:r w:rsidR="000E7679" w:rsidRPr="00477A83">
              <w:rPr>
                <w:rStyle w:val="Hyperlink"/>
                <w:rFonts w:ascii="Lato" w:hAnsi="Lato"/>
                <w:i/>
                <w:spacing w:val="-1"/>
                <w:sz w:val="24"/>
              </w:rPr>
              <w:t>)</w:t>
            </w:r>
          </w:p>
          <w:p w:rsidR="000E7679" w:rsidRPr="00477A83" w:rsidRDefault="00BE619E" w:rsidP="000E7679">
            <w:pPr>
              <w:numPr>
                <w:ilvl w:val="0"/>
                <w:numId w:val="37"/>
              </w:numPr>
              <w:ind w:left="357" w:right="142" w:hanging="357"/>
              <w:rPr>
                <w:rFonts w:ascii="Lato" w:hAnsi="Lato"/>
                <w:spacing w:val="-1"/>
                <w:sz w:val="24"/>
              </w:rPr>
            </w:pPr>
            <w:r w:rsidRPr="00477A83">
              <w:rPr>
                <w:rFonts w:ascii="Lato" w:hAnsi="Lato"/>
                <w:i/>
                <w:color w:val="0000FF"/>
                <w:spacing w:val="-1"/>
                <w:sz w:val="24"/>
                <w:u w:val="single"/>
              </w:rPr>
              <w:fldChar w:fldCharType="end"/>
            </w:r>
            <w:hyperlink r:id="rId20" w:history="1">
              <w:r w:rsidR="000E7679" w:rsidRPr="00477A83">
                <w:rPr>
                  <w:rFonts w:ascii="Lato" w:hAnsi="Lato" w:cs="Arial"/>
                  <w:i/>
                  <w:color w:val="0000FF"/>
                  <w:sz w:val="24"/>
                  <w:u w:val="single"/>
                </w:rPr>
                <w:t>Criminal Records (Spent Convictions) Act</w:t>
              </w:r>
            </w:hyperlink>
          </w:p>
        </w:tc>
      </w:tr>
      <w:tr w:rsidR="000E7679" w:rsidRPr="00477A83" w:rsidTr="00F603F9">
        <w:tc>
          <w:tcPr>
            <w:tcW w:w="3969" w:type="dxa"/>
            <w:tcBorders>
              <w:top w:val="single" w:sz="4" w:space="0" w:color="auto"/>
              <w:left w:val="single" w:sz="4" w:space="0" w:color="auto"/>
              <w:bottom w:val="single" w:sz="4" w:space="0" w:color="auto"/>
              <w:right w:val="single" w:sz="4" w:space="0" w:color="auto"/>
            </w:tcBorders>
            <w:hideMark/>
          </w:tcPr>
          <w:p w:rsidR="000E7679" w:rsidRPr="00477A83" w:rsidRDefault="000E7679" w:rsidP="000E7679">
            <w:pPr>
              <w:spacing w:before="60"/>
              <w:ind w:right="284"/>
              <w:rPr>
                <w:rFonts w:ascii="Lato" w:hAnsi="Lato"/>
                <w:b/>
                <w:sz w:val="24"/>
              </w:rPr>
            </w:pPr>
            <w:r w:rsidRPr="00477A83">
              <w:rPr>
                <w:rFonts w:ascii="Lato" w:hAnsi="Lato"/>
                <w:b/>
                <w:sz w:val="24"/>
              </w:rPr>
              <w:t>Departmental policy</w:t>
            </w:r>
          </w:p>
        </w:tc>
        <w:tc>
          <w:tcPr>
            <w:tcW w:w="6095" w:type="dxa"/>
            <w:tcBorders>
              <w:top w:val="single" w:sz="4" w:space="0" w:color="auto"/>
              <w:left w:val="single" w:sz="4" w:space="0" w:color="auto"/>
              <w:bottom w:val="single" w:sz="4" w:space="0" w:color="auto"/>
              <w:right w:val="single" w:sz="4" w:space="0" w:color="auto"/>
            </w:tcBorders>
            <w:hideMark/>
          </w:tcPr>
          <w:p w:rsidR="000E7679" w:rsidRPr="00477A83" w:rsidRDefault="00B5315D" w:rsidP="000E7679">
            <w:pPr>
              <w:numPr>
                <w:ilvl w:val="0"/>
                <w:numId w:val="37"/>
              </w:numPr>
              <w:ind w:left="357" w:right="142" w:hanging="357"/>
              <w:rPr>
                <w:rFonts w:ascii="Lato" w:hAnsi="Lato"/>
                <w:spacing w:val="-1"/>
                <w:sz w:val="24"/>
              </w:rPr>
            </w:pPr>
            <w:hyperlink r:id="rId21" w:history="1">
              <w:r w:rsidR="000E7679" w:rsidRPr="00477A83">
                <w:rPr>
                  <w:rFonts w:ascii="Lato" w:hAnsi="Lato" w:cs="Arial"/>
                  <w:color w:val="0000FF"/>
                  <w:sz w:val="24"/>
                  <w:u w:val="single"/>
                </w:rPr>
                <w:t>Enrolment policy</w:t>
              </w:r>
            </w:hyperlink>
            <w:r w:rsidR="000E7679" w:rsidRPr="00477A83">
              <w:rPr>
                <w:rFonts w:ascii="Lato" w:hAnsi="Lato"/>
                <w:spacing w:val="-1"/>
                <w:sz w:val="24"/>
              </w:rPr>
              <w:t xml:space="preserve"> and </w:t>
            </w:r>
            <w:hyperlink r:id="rId22" w:history="1">
              <w:r w:rsidR="000E7679" w:rsidRPr="00477A83">
                <w:rPr>
                  <w:rFonts w:ascii="Lato" w:hAnsi="Lato"/>
                  <w:color w:val="0000FF"/>
                  <w:spacing w:val="-1"/>
                  <w:sz w:val="24"/>
                  <w:u w:val="single"/>
                </w:rPr>
                <w:t>guidelines</w:t>
              </w:r>
            </w:hyperlink>
          </w:p>
          <w:p w:rsidR="000E7679" w:rsidRPr="00477A83" w:rsidRDefault="00B5315D" w:rsidP="000E7679">
            <w:pPr>
              <w:numPr>
                <w:ilvl w:val="0"/>
                <w:numId w:val="37"/>
              </w:numPr>
              <w:ind w:left="357" w:right="142" w:hanging="357"/>
              <w:rPr>
                <w:rFonts w:ascii="Lato" w:hAnsi="Lato"/>
                <w:spacing w:val="-1"/>
                <w:sz w:val="24"/>
              </w:rPr>
            </w:pPr>
            <w:hyperlink r:id="rId23" w:history="1">
              <w:r w:rsidR="000E7679" w:rsidRPr="00477A83">
                <w:rPr>
                  <w:rFonts w:ascii="Lato" w:hAnsi="Lato"/>
                  <w:color w:val="0000FF"/>
                  <w:spacing w:val="-1"/>
                  <w:sz w:val="24"/>
                  <w:u w:val="single"/>
                </w:rPr>
                <w:t>Data access policy</w:t>
              </w:r>
            </w:hyperlink>
            <w:r w:rsidR="000E7679" w:rsidRPr="00477A83">
              <w:rPr>
                <w:rFonts w:ascii="Lato" w:hAnsi="Lato"/>
                <w:color w:val="0000FF"/>
                <w:spacing w:val="-1"/>
                <w:sz w:val="24"/>
                <w:u w:val="single"/>
              </w:rPr>
              <w:t xml:space="preserve"> </w:t>
            </w:r>
            <w:r w:rsidR="000E7679" w:rsidRPr="00477A83">
              <w:rPr>
                <w:rFonts w:ascii="Lato" w:hAnsi="Lato"/>
                <w:spacing w:val="-1"/>
                <w:sz w:val="24"/>
              </w:rPr>
              <w:t xml:space="preserve">and </w:t>
            </w:r>
            <w:hyperlink r:id="rId24" w:history="1">
              <w:r w:rsidR="000E7679" w:rsidRPr="00477A83">
                <w:rPr>
                  <w:rFonts w:ascii="Lato" w:hAnsi="Lato"/>
                  <w:color w:val="0000FF"/>
                  <w:spacing w:val="-1"/>
                  <w:sz w:val="24"/>
                  <w:u w:val="single"/>
                </w:rPr>
                <w:t>Data access protocol</w:t>
              </w:r>
            </w:hyperlink>
          </w:p>
          <w:p w:rsidR="000E7679" w:rsidRPr="00477A83" w:rsidRDefault="0064743D" w:rsidP="000E7679">
            <w:pPr>
              <w:numPr>
                <w:ilvl w:val="0"/>
                <w:numId w:val="37"/>
              </w:numPr>
              <w:ind w:left="357" w:right="142" w:hanging="357"/>
              <w:rPr>
                <w:rStyle w:val="Hyperlink"/>
                <w:rFonts w:ascii="Lato" w:hAnsi="Lato"/>
                <w:spacing w:val="-1"/>
                <w:sz w:val="24"/>
              </w:rPr>
            </w:pPr>
            <w:r w:rsidRPr="00477A83">
              <w:rPr>
                <w:rFonts w:ascii="Lato" w:hAnsi="Lato"/>
                <w:color w:val="0000FF"/>
                <w:spacing w:val="-1"/>
                <w:sz w:val="24"/>
                <w:u w:val="single"/>
              </w:rPr>
              <w:fldChar w:fldCharType="begin"/>
            </w:r>
            <w:r w:rsidR="00863247" w:rsidRPr="00477A83">
              <w:rPr>
                <w:rFonts w:ascii="Lato" w:hAnsi="Lato"/>
                <w:color w:val="0000FF"/>
                <w:spacing w:val="-1"/>
                <w:sz w:val="24"/>
                <w:u w:val="single"/>
              </w:rPr>
              <w:instrText>HYPERLINK "https://education.nt.gov.au/education/policies"</w:instrText>
            </w:r>
            <w:r w:rsidRPr="00477A83">
              <w:rPr>
                <w:rFonts w:ascii="Lato" w:hAnsi="Lato"/>
                <w:color w:val="0000FF"/>
                <w:spacing w:val="-1"/>
                <w:sz w:val="24"/>
                <w:u w:val="single"/>
              </w:rPr>
              <w:fldChar w:fldCharType="separate"/>
            </w:r>
            <w:r w:rsidR="000E7679" w:rsidRPr="00477A83">
              <w:rPr>
                <w:rStyle w:val="Hyperlink"/>
                <w:rFonts w:ascii="Lato" w:hAnsi="Lato"/>
                <w:spacing w:val="-1"/>
                <w:sz w:val="24"/>
              </w:rPr>
              <w:t xml:space="preserve">Privacy statement </w:t>
            </w:r>
          </w:p>
          <w:p w:rsidR="000E7679" w:rsidRPr="00477A83" w:rsidRDefault="0064743D" w:rsidP="000E7679">
            <w:pPr>
              <w:numPr>
                <w:ilvl w:val="0"/>
                <w:numId w:val="37"/>
              </w:numPr>
              <w:ind w:left="357" w:right="142" w:hanging="357"/>
              <w:rPr>
                <w:rFonts w:ascii="Lato" w:hAnsi="Lato"/>
                <w:spacing w:val="-1"/>
                <w:sz w:val="24"/>
              </w:rPr>
            </w:pPr>
            <w:r w:rsidRPr="00477A83">
              <w:rPr>
                <w:rFonts w:ascii="Lato" w:hAnsi="Lato"/>
                <w:color w:val="0000FF"/>
                <w:spacing w:val="-1"/>
                <w:sz w:val="24"/>
                <w:u w:val="single"/>
              </w:rPr>
              <w:fldChar w:fldCharType="end"/>
            </w:r>
            <w:hyperlink r:id="rId25" w:history="1">
              <w:r w:rsidR="000E7679" w:rsidRPr="00477A83">
                <w:rPr>
                  <w:rFonts w:ascii="Lato" w:hAnsi="Lato"/>
                  <w:color w:val="0000FF"/>
                  <w:spacing w:val="-1"/>
                  <w:sz w:val="24"/>
                  <w:u w:val="single"/>
                </w:rPr>
                <w:t>Complaints policy and guidelines</w:t>
              </w:r>
            </w:hyperlink>
          </w:p>
        </w:tc>
      </w:tr>
      <w:tr w:rsidR="000E7679" w:rsidRPr="00477A83" w:rsidTr="00F603F9">
        <w:tc>
          <w:tcPr>
            <w:tcW w:w="3969" w:type="dxa"/>
            <w:tcBorders>
              <w:top w:val="single" w:sz="4" w:space="0" w:color="auto"/>
              <w:left w:val="single" w:sz="4" w:space="0" w:color="auto"/>
              <w:bottom w:val="single" w:sz="4" w:space="0" w:color="auto"/>
              <w:right w:val="single" w:sz="4" w:space="0" w:color="auto"/>
            </w:tcBorders>
            <w:hideMark/>
          </w:tcPr>
          <w:p w:rsidR="000E7679" w:rsidRPr="00477A83" w:rsidRDefault="000E7679" w:rsidP="000E7679">
            <w:pPr>
              <w:spacing w:before="60"/>
              <w:ind w:right="284"/>
              <w:rPr>
                <w:rFonts w:ascii="Lato" w:hAnsi="Lato"/>
                <w:b/>
                <w:sz w:val="24"/>
              </w:rPr>
            </w:pPr>
            <w:r w:rsidRPr="00477A83">
              <w:rPr>
                <w:rFonts w:ascii="Lato" w:hAnsi="Lato"/>
                <w:b/>
                <w:sz w:val="24"/>
              </w:rPr>
              <w:t>Relevant resources and links</w:t>
            </w:r>
          </w:p>
        </w:tc>
        <w:tc>
          <w:tcPr>
            <w:tcW w:w="6095" w:type="dxa"/>
            <w:tcBorders>
              <w:top w:val="single" w:sz="4" w:space="0" w:color="auto"/>
              <w:left w:val="single" w:sz="4" w:space="0" w:color="auto"/>
              <w:bottom w:val="single" w:sz="4" w:space="0" w:color="auto"/>
              <w:right w:val="single" w:sz="4" w:space="0" w:color="auto"/>
            </w:tcBorders>
            <w:hideMark/>
          </w:tcPr>
          <w:p w:rsidR="000E7679" w:rsidRPr="00477A83" w:rsidRDefault="00B5315D" w:rsidP="000E7679">
            <w:pPr>
              <w:numPr>
                <w:ilvl w:val="0"/>
                <w:numId w:val="37"/>
              </w:numPr>
              <w:spacing w:before="60"/>
              <w:ind w:left="357" w:right="142" w:hanging="357"/>
              <w:rPr>
                <w:rFonts w:ascii="Lato" w:hAnsi="Lato"/>
                <w:sz w:val="24"/>
              </w:rPr>
            </w:pPr>
            <w:hyperlink r:id="rId26" w:history="1">
              <w:r w:rsidR="000E7679" w:rsidRPr="00477A83">
                <w:rPr>
                  <w:rFonts w:ascii="Lato" w:hAnsi="Lato" w:cs="Arial"/>
                  <w:bCs/>
                  <w:color w:val="0000FF"/>
                  <w:sz w:val="24"/>
                  <w:u w:val="single"/>
                  <w:lang w:val="en-US"/>
                </w:rPr>
                <w:t>SAFE NT</w:t>
              </w:r>
            </w:hyperlink>
          </w:p>
        </w:tc>
      </w:tr>
    </w:tbl>
    <w:p w:rsidR="000E7679" w:rsidRPr="00477A83" w:rsidRDefault="000E7679" w:rsidP="000E7679">
      <w:pPr>
        <w:rPr>
          <w:rFonts w:ascii="Lato" w:hAnsi="Lato"/>
          <w:sz w:val="24"/>
          <w:lang w:val="en-US"/>
        </w:rPr>
      </w:pPr>
      <w:bookmarkStart w:id="5" w:name="_APPENDIX_A:_"/>
      <w:bookmarkEnd w:id="5"/>
    </w:p>
    <w:p w:rsidR="000E7679" w:rsidRPr="00477A83" w:rsidRDefault="000E7679" w:rsidP="000E7679">
      <w:pPr>
        <w:rPr>
          <w:rFonts w:ascii="Lato" w:hAnsi="Lato"/>
          <w:sz w:val="24"/>
          <w:lang w:val="en-US"/>
        </w:rPr>
      </w:pPr>
    </w:p>
    <w:p w:rsidR="000E7679" w:rsidRPr="00477A83" w:rsidRDefault="000E7679" w:rsidP="000E7679">
      <w:pPr>
        <w:rPr>
          <w:rFonts w:ascii="Lato" w:hAnsi="Lato" w:cs="Arial"/>
          <w:b/>
          <w:bCs/>
          <w:sz w:val="24"/>
          <w:lang w:val="en-US"/>
        </w:rPr>
      </w:pPr>
      <w:bookmarkStart w:id="6" w:name="_APPENDIX_A:__1"/>
      <w:bookmarkEnd w:id="6"/>
      <w:r w:rsidRPr="00477A83">
        <w:rPr>
          <w:rFonts w:ascii="Lato" w:hAnsi="Lato" w:cs="Arial"/>
          <w:b/>
          <w:bCs/>
          <w:sz w:val="24"/>
          <w:lang w:val="en-US"/>
        </w:rPr>
        <w:t>APPENDIX A:  PROCESS FOR ENROLMENT OF PROSPECTIVE MATURE AGE STUDENTS</w:t>
      </w:r>
    </w:p>
    <w:p w:rsidR="000E7679" w:rsidRPr="00477A83" w:rsidRDefault="000E7679" w:rsidP="000E7679">
      <w:pPr>
        <w:ind w:left="284"/>
        <w:rPr>
          <w:rFonts w:ascii="Lato" w:hAnsi="Lato"/>
          <w:b/>
          <w:i/>
          <w:sz w:val="24"/>
          <w:lang w:val="en-US"/>
        </w:rPr>
      </w:pPr>
      <w:r w:rsidRPr="00477A83">
        <w:rPr>
          <w:rFonts w:ascii="Lato" w:hAnsi="Lato"/>
          <w:b/>
          <w:i/>
          <w:sz w:val="24"/>
          <w:lang w:val="en-US"/>
        </w:rPr>
        <w:t xml:space="preserve">All prospective mature age students must attend a school in person in order to </w:t>
      </w:r>
      <w:proofErr w:type="spellStart"/>
      <w:r w:rsidRPr="00477A83">
        <w:rPr>
          <w:rFonts w:ascii="Lato" w:hAnsi="Lato"/>
          <w:b/>
          <w:i/>
          <w:sz w:val="24"/>
          <w:lang w:val="en-US"/>
        </w:rPr>
        <w:t>enrol</w:t>
      </w:r>
      <w:proofErr w:type="spellEnd"/>
      <w:r w:rsidRPr="00477A83">
        <w:rPr>
          <w:rFonts w:ascii="Lato" w:hAnsi="Lato"/>
          <w:b/>
          <w:i/>
          <w:sz w:val="24"/>
          <w:lang w:val="en-US"/>
        </w:rPr>
        <w:t xml:space="preserve">. Applications may be submitted online however, it is the principal’s responsibility to contact the prospective student to arrange an appropriate time to meet and discuss enrolment requirements and options. </w:t>
      </w:r>
    </w:p>
    <w:p w:rsidR="000E7679" w:rsidRPr="000E7679" w:rsidRDefault="000E7679" w:rsidP="000E7679">
      <w:pPr>
        <w:spacing w:before="120" w:after="120"/>
        <w:jc w:val="center"/>
        <w:rPr>
          <w:rFonts w:ascii="Lato" w:hAnsi="Lato"/>
        </w:rPr>
      </w:pPr>
      <w:r w:rsidRPr="000E7679">
        <w:rPr>
          <w:rFonts w:ascii="Lato" w:hAnsi="Lato"/>
        </w:rPr>
        <w:object w:dxaOrig="10987" w:dyaOrig="150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8in" o:ole="">
            <v:imagedata r:id="rId27" o:title=""/>
          </v:shape>
          <o:OLEObject Type="Embed" ProgID="Visio.Drawing.11" ShapeID="_x0000_i1025" DrawAspect="Content" ObjectID="_1559459388" r:id="rId28"/>
        </w:object>
      </w:r>
    </w:p>
    <w:p w:rsidR="000E7679" w:rsidRPr="000E7679" w:rsidRDefault="000E7679" w:rsidP="000E7679">
      <w:pPr>
        <w:jc w:val="right"/>
        <w:rPr>
          <w:rFonts w:ascii="Lato" w:hAnsi="Lato"/>
          <w:b/>
        </w:rPr>
        <w:sectPr w:rsidR="000E7679" w:rsidRPr="000E7679" w:rsidSect="00883C49">
          <w:headerReference w:type="even" r:id="rId29"/>
          <w:headerReference w:type="default" r:id="rId30"/>
          <w:footerReference w:type="even" r:id="rId31"/>
          <w:footerReference w:type="default" r:id="rId32"/>
          <w:headerReference w:type="first" r:id="rId33"/>
          <w:footerReference w:type="first" r:id="rId34"/>
          <w:type w:val="continuous"/>
          <w:pgSz w:w="11906" w:h="16838" w:code="9"/>
          <w:pgMar w:top="567" w:right="709" w:bottom="567" w:left="425" w:header="454" w:footer="312" w:gutter="0"/>
          <w:pgNumType w:start="1"/>
          <w:cols w:space="708"/>
          <w:titlePg/>
          <w:docGrid w:linePitch="360"/>
        </w:sectPr>
      </w:pPr>
    </w:p>
    <w:p w:rsidR="000E7679" w:rsidRPr="000E7679" w:rsidRDefault="000E7679" w:rsidP="000E7679">
      <w:pPr>
        <w:jc w:val="right"/>
        <w:rPr>
          <w:rFonts w:ascii="Lato" w:hAnsi="Lato"/>
          <w:b/>
        </w:rPr>
      </w:pPr>
    </w:p>
    <w:p w:rsidR="000E7679" w:rsidRDefault="000E7679" w:rsidP="000E7679">
      <w:pPr>
        <w:keepNext/>
        <w:spacing w:after="120"/>
        <w:outlineLvl w:val="0"/>
        <w:rPr>
          <w:rFonts w:ascii="Lato" w:hAnsi="Lato" w:cs="Arial"/>
          <w:b/>
          <w:bCs/>
          <w:sz w:val="24"/>
          <w:szCs w:val="32"/>
          <w:lang w:val="en-US"/>
        </w:rPr>
      </w:pPr>
      <w:bookmarkStart w:id="8" w:name="_APPENDIX_B:_SAFE"/>
      <w:bookmarkEnd w:id="8"/>
    </w:p>
    <w:p w:rsidR="000E7679" w:rsidRDefault="000E7679" w:rsidP="000E7679">
      <w:pPr>
        <w:keepNext/>
        <w:spacing w:after="120"/>
        <w:outlineLvl w:val="0"/>
        <w:rPr>
          <w:rFonts w:ascii="Lato" w:hAnsi="Lato" w:cs="Arial"/>
          <w:b/>
          <w:bCs/>
          <w:sz w:val="24"/>
          <w:szCs w:val="32"/>
          <w:lang w:val="en-US"/>
        </w:rPr>
      </w:pPr>
    </w:p>
    <w:p w:rsidR="000E7679" w:rsidRDefault="000E7679" w:rsidP="000E7679">
      <w:pPr>
        <w:keepNext/>
        <w:spacing w:after="120"/>
        <w:outlineLvl w:val="0"/>
        <w:rPr>
          <w:rFonts w:ascii="Lato" w:hAnsi="Lato" w:cs="Arial"/>
          <w:b/>
          <w:bCs/>
          <w:sz w:val="24"/>
          <w:szCs w:val="32"/>
          <w:lang w:val="en-US"/>
        </w:rPr>
      </w:pPr>
    </w:p>
    <w:p w:rsidR="000E7679" w:rsidRPr="000E7679" w:rsidRDefault="000E7679" w:rsidP="000E7679">
      <w:pPr>
        <w:keepNext/>
        <w:spacing w:after="120"/>
        <w:outlineLvl w:val="0"/>
        <w:rPr>
          <w:rFonts w:ascii="Lato" w:hAnsi="Lato" w:cs="Arial"/>
          <w:b/>
          <w:bCs/>
          <w:sz w:val="24"/>
          <w:szCs w:val="32"/>
          <w:lang w:val="en-US"/>
        </w:rPr>
      </w:pPr>
      <w:r w:rsidRPr="000E7679">
        <w:rPr>
          <w:rFonts w:ascii="Lato" w:hAnsi="Lato" w:cs="Arial"/>
          <w:b/>
          <w:bCs/>
          <w:sz w:val="24"/>
          <w:szCs w:val="32"/>
          <w:lang w:val="en-US"/>
        </w:rPr>
        <w:t>APPENDIX B: SAFE NT LOCATIONS</w:t>
      </w:r>
    </w:p>
    <w:p w:rsidR="000E7679" w:rsidRPr="000E7679" w:rsidRDefault="000E7679" w:rsidP="000E7679">
      <w:pPr>
        <w:ind w:left="284"/>
        <w:jc w:val="center"/>
        <w:rPr>
          <w:rFonts w:ascii="Lato" w:hAnsi="Lato"/>
          <w:b/>
          <w:sz w:val="28"/>
          <w:szCs w:val="28"/>
          <w:lang w:val="en-US"/>
        </w:rPr>
      </w:pPr>
    </w:p>
    <w:tbl>
      <w:tblPr>
        <w:tblW w:w="10426" w:type="dxa"/>
        <w:jc w:val="center"/>
        <w:tblCellMar>
          <w:top w:w="15" w:type="dxa"/>
          <w:left w:w="15" w:type="dxa"/>
          <w:bottom w:w="15" w:type="dxa"/>
          <w:right w:w="15" w:type="dxa"/>
        </w:tblCellMar>
        <w:tblLook w:val="04A0" w:firstRow="1" w:lastRow="0" w:firstColumn="1" w:lastColumn="0" w:noHBand="0" w:noVBand="1"/>
      </w:tblPr>
      <w:tblGrid>
        <w:gridCol w:w="4214"/>
        <w:gridCol w:w="487"/>
        <w:gridCol w:w="5725"/>
      </w:tblGrid>
      <w:tr w:rsidR="000E7679" w:rsidRPr="000E7679" w:rsidTr="00F603F9">
        <w:trPr>
          <w:trHeight w:val="554"/>
          <w:tblHeader/>
          <w:jc w:val="center"/>
        </w:trPr>
        <w:tc>
          <w:tcPr>
            <w:tcW w:w="4701" w:type="dxa"/>
            <w:gridSpan w:val="2"/>
            <w:shd w:val="clear" w:color="auto" w:fill="006293"/>
            <w:tcMar>
              <w:top w:w="24" w:type="dxa"/>
              <w:left w:w="120" w:type="dxa"/>
              <w:bottom w:w="24" w:type="dxa"/>
              <w:right w:w="120" w:type="dxa"/>
            </w:tcMar>
            <w:vAlign w:val="bottom"/>
            <w:hideMark/>
          </w:tcPr>
          <w:p w:rsidR="000E7679" w:rsidRPr="000E7679" w:rsidRDefault="000E7679" w:rsidP="000E7679">
            <w:pPr>
              <w:spacing w:after="300"/>
              <w:ind w:left="1724"/>
              <w:jc w:val="center"/>
              <w:rPr>
                <w:rFonts w:ascii="Lato" w:hAnsi="Lato" w:cs="Open Sans"/>
                <w:color w:val="FFFFFF"/>
                <w:sz w:val="24"/>
              </w:rPr>
            </w:pPr>
            <w:r w:rsidRPr="000E7679">
              <w:rPr>
                <w:rFonts w:ascii="Lato" w:hAnsi="Lato" w:cs="Open Sans"/>
                <w:b/>
                <w:bCs/>
                <w:color w:val="FFFFFF"/>
                <w:sz w:val="24"/>
              </w:rPr>
              <w:lastRenderedPageBreak/>
              <w:t>GROUP</w:t>
            </w:r>
          </w:p>
        </w:tc>
        <w:tc>
          <w:tcPr>
            <w:tcW w:w="5725" w:type="dxa"/>
            <w:shd w:val="clear" w:color="auto" w:fill="006293"/>
            <w:tcMar>
              <w:top w:w="24" w:type="dxa"/>
              <w:left w:w="120" w:type="dxa"/>
              <w:bottom w:w="24" w:type="dxa"/>
              <w:right w:w="120" w:type="dxa"/>
            </w:tcMar>
            <w:vAlign w:val="bottom"/>
            <w:hideMark/>
          </w:tcPr>
          <w:p w:rsidR="000E7679" w:rsidRPr="000E7679" w:rsidRDefault="000E7679" w:rsidP="000E7679">
            <w:pPr>
              <w:spacing w:after="300"/>
              <w:ind w:left="1724"/>
              <w:jc w:val="center"/>
              <w:rPr>
                <w:rFonts w:ascii="Lato" w:hAnsi="Lato" w:cs="Open Sans"/>
                <w:color w:val="FFFFFF"/>
                <w:sz w:val="24"/>
              </w:rPr>
            </w:pPr>
            <w:r w:rsidRPr="000E7679">
              <w:rPr>
                <w:rFonts w:ascii="Lato" w:hAnsi="Lato" w:cs="Open Sans"/>
                <w:b/>
                <w:bCs/>
                <w:color w:val="FFFFFF"/>
                <w:sz w:val="24"/>
              </w:rPr>
              <w:t>ADDRESS</w:t>
            </w:r>
          </w:p>
        </w:tc>
      </w:tr>
      <w:tr w:rsidR="000E7679" w:rsidRPr="000E7679" w:rsidTr="00F603F9">
        <w:trPr>
          <w:trHeight w:val="1082"/>
          <w:jc w:val="center"/>
        </w:trPr>
        <w:tc>
          <w:tcPr>
            <w:tcW w:w="4214" w:type="dxa"/>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b/>
                <w:bCs/>
                <w:sz w:val="24"/>
              </w:rPr>
              <w:t>SAFE NT Darwin</w:t>
            </w:r>
          </w:p>
        </w:tc>
        <w:tc>
          <w:tcPr>
            <w:tcW w:w="6212" w:type="dxa"/>
            <w:gridSpan w:val="2"/>
            <w:shd w:val="clear" w:color="auto" w:fill="D7F2FF"/>
            <w:tcMar>
              <w:top w:w="24" w:type="dxa"/>
              <w:left w:w="120" w:type="dxa"/>
              <w:bottom w:w="24" w:type="dxa"/>
              <w:right w:w="120" w:type="dxa"/>
            </w:tcMar>
            <w:hideMark/>
          </w:tcPr>
          <w:p w:rsidR="000E7679" w:rsidRPr="000E7679" w:rsidRDefault="003B097A" w:rsidP="000E7679">
            <w:pPr>
              <w:spacing w:after="300"/>
              <w:ind w:left="1724"/>
              <w:jc w:val="right"/>
              <w:rPr>
                <w:rFonts w:ascii="Lato" w:hAnsi="Lato" w:cs="Open Sans"/>
                <w:sz w:val="24"/>
              </w:rPr>
            </w:pPr>
            <w:r w:rsidRPr="003B097A">
              <w:rPr>
                <w:rFonts w:ascii="Lato" w:hAnsi="Lato" w:cs="Open Sans"/>
                <w:sz w:val="24"/>
              </w:rPr>
              <w:t>Ground Floor</w:t>
            </w:r>
            <w:r w:rsidRPr="003B097A">
              <w:rPr>
                <w:rFonts w:ascii="Lato" w:hAnsi="Lato" w:cs="Open Sans"/>
                <w:sz w:val="24"/>
              </w:rPr>
              <w:br/>
              <w:t>37 Woods Street, Darwin</w:t>
            </w:r>
            <w:r w:rsidRPr="003B097A">
              <w:rPr>
                <w:rFonts w:ascii="Lato" w:hAnsi="Lato" w:cs="Open Sans"/>
                <w:sz w:val="24"/>
              </w:rPr>
              <w:br/>
            </w:r>
            <w:r w:rsidRPr="003B097A">
              <w:rPr>
                <w:rFonts w:ascii="Lato" w:hAnsi="Lato" w:cs="Open Sans"/>
                <w:b/>
                <w:bCs/>
                <w:sz w:val="24"/>
              </w:rPr>
              <w:t>Toll Free: 1800 723 368</w:t>
            </w:r>
          </w:p>
        </w:tc>
      </w:tr>
      <w:tr w:rsidR="000E7679" w:rsidRPr="000E7679" w:rsidTr="00F603F9">
        <w:trPr>
          <w:trHeight w:val="1095"/>
          <w:jc w:val="center"/>
        </w:trPr>
        <w:tc>
          <w:tcPr>
            <w:tcW w:w="4214" w:type="dxa"/>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Territory Business Centre</w:t>
            </w:r>
            <w:r w:rsidRPr="000E7679">
              <w:rPr>
                <w:rFonts w:ascii="Lato" w:hAnsi="Lato" w:cs="Open Sans"/>
                <w:sz w:val="24"/>
              </w:rPr>
              <w:br/>
            </w:r>
            <w:r w:rsidRPr="000E7679">
              <w:rPr>
                <w:rFonts w:ascii="Lato" w:hAnsi="Lato" w:cs="Open Sans"/>
                <w:b/>
                <w:bCs/>
                <w:sz w:val="24"/>
              </w:rPr>
              <w:t>Alice Springs</w:t>
            </w:r>
          </w:p>
        </w:tc>
        <w:tc>
          <w:tcPr>
            <w:tcW w:w="6212" w:type="dxa"/>
            <w:gridSpan w:val="2"/>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Ground Floor</w:t>
            </w:r>
            <w:r w:rsidRPr="000E7679">
              <w:rPr>
                <w:rFonts w:ascii="Lato" w:hAnsi="Lato" w:cs="Open Sans"/>
                <w:sz w:val="24"/>
              </w:rPr>
              <w:br/>
              <w:t>'The Green Well' Building</w:t>
            </w:r>
            <w:r w:rsidRPr="000E7679">
              <w:rPr>
                <w:rFonts w:ascii="Lato" w:hAnsi="Lato" w:cs="Open Sans"/>
                <w:sz w:val="24"/>
              </w:rPr>
              <w:br/>
              <w:t>50 Bath Street, Alice Springs</w:t>
            </w:r>
          </w:p>
        </w:tc>
      </w:tr>
      <w:tr w:rsidR="000E7679" w:rsidRPr="000E7679" w:rsidTr="00F603F9">
        <w:trPr>
          <w:trHeight w:val="1095"/>
          <w:jc w:val="center"/>
        </w:trPr>
        <w:tc>
          <w:tcPr>
            <w:tcW w:w="4214" w:type="dxa"/>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Territory Business Centre</w:t>
            </w:r>
            <w:r w:rsidRPr="000E7679">
              <w:rPr>
                <w:rFonts w:ascii="Lato" w:hAnsi="Lato" w:cs="Open Sans"/>
                <w:sz w:val="24"/>
              </w:rPr>
              <w:br/>
            </w:r>
            <w:r w:rsidRPr="000E7679">
              <w:rPr>
                <w:rFonts w:ascii="Lato" w:hAnsi="Lato" w:cs="Open Sans"/>
                <w:b/>
                <w:bCs/>
                <w:sz w:val="24"/>
              </w:rPr>
              <w:t>Darwin</w:t>
            </w:r>
          </w:p>
        </w:tc>
        <w:tc>
          <w:tcPr>
            <w:tcW w:w="6212" w:type="dxa"/>
            <w:gridSpan w:val="2"/>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Ground Floor</w:t>
            </w:r>
            <w:r w:rsidRPr="000E7679">
              <w:rPr>
                <w:rFonts w:ascii="Lato" w:hAnsi="Lato" w:cs="Open Sans"/>
                <w:sz w:val="24"/>
              </w:rPr>
              <w:br/>
              <w:t>Development House</w:t>
            </w:r>
            <w:r w:rsidRPr="000E7679">
              <w:rPr>
                <w:rFonts w:ascii="Lato" w:hAnsi="Lato" w:cs="Open Sans"/>
                <w:sz w:val="24"/>
              </w:rPr>
              <w:br/>
              <w:t>76 The Esplanade, Darwin</w:t>
            </w:r>
          </w:p>
        </w:tc>
      </w:tr>
      <w:tr w:rsidR="000E7679" w:rsidRPr="000E7679" w:rsidTr="00F603F9">
        <w:trPr>
          <w:trHeight w:val="818"/>
          <w:jc w:val="center"/>
        </w:trPr>
        <w:tc>
          <w:tcPr>
            <w:tcW w:w="4214" w:type="dxa"/>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Territory Business Centre</w:t>
            </w:r>
            <w:r w:rsidRPr="000E7679">
              <w:rPr>
                <w:rFonts w:ascii="Lato" w:hAnsi="Lato" w:cs="Open Sans"/>
                <w:sz w:val="24"/>
              </w:rPr>
              <w:br/>
            </w:r>
            <w:r w:rsidRPr="000E7679">
              <w:rPr>
                <w:rFonts w:ascii="Lato" w:hAnsi="Lato" w:cs="Open Sans"/>
                <w:b/>
                <w:bCs/>
                <w:sz w:val="24"/>
              </w:rPr>
              <w:t>Katherine</w:t>
            </w:r>
          </w:p>
        </w:tc>
        <w:tc>
          <w:tcPr>
            <w:tcW w:w="6212" w:type="dxa"/>
            <w:gridSpan w:val="2"/>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 xml:space="preserve">Shop 1, </w:t>
            </w:r>
            <w:proofErr w:type="spellStart"/>
            <w:r w:rsidRPr="000E7679">
              <w:rPr>
                <w:rFonts w:ascii="Lato" w:hAnsi="Lato" w:cs="Open Sans"/>
                <w:sz w:val="24"/>
              </w:rPr>
              <w:t>Randazzo</w:t>
            </w:r>
            <w:proofErr w:type="spellEnd"/>
            <w:r w:rsidRPr="000E7679">
              <w:rPr>
                <w:rFonts w:ascii="Lato" w:hAnsi="Lato" w:cs="Open Sans"/>
                <w:sz w:val="24"/>
              </w:rPr>
              <w:t xml:space="preserve"> Building</w:t>
            </w:r>
            <w:r w:rsidRPr="000E7679">
              <w:rPr>
                <w:rFonts w:ascii="Lato" w:hAnsi="Lato" w:cs="Open Sans"/>
                <w:sz w:val="24"/>
              </w:rPr>
              <w:br/>
              <w:t>18 Katherine Terrace, Katherine</w:t>
            </w:r>
          </w:p>
        </w:tc>
      </w:tr>
      <w:tr w:rsidR="000E7679" w:rsidRPr="000E7679" w:rsidTr="00F603F9">
        <w:trPr>
          <w:trHeight w:val="818"/>
          <w:jc w:val="center"/>
        </w:trPr>
        <w:tc>
          <w:tcPr>
            <w:tcW w:w="4214" w:type="dxa"/>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Territory Business Centre</w:t>
            </w:r>
            <w:r w:rsidRPr="000E7679">
              <w:rPr>
                <w:rFonts w:ascii="Lato" w:hAnsi="Lato" w:cs="Open Sans"/>
                <w:sz w:val="24"/>
              </w:rPr>
              <w:br/>
            </w:r>
            <w:r w:rsidRPr="000E7679">
              <w:rPr>
                <w:rFonts w:ascii="Lato" w:hAnsi="Lato" w:cs="Open Sans"/>
                <w:b/>
                <w:bCs/>
                <w:sz w:val="24"/>
              </w:rPr>
              <w:t>Tennant Creek</w:t>
            </w:r>
          </w:p>
        </w:tc>
        <w:tc>
          <w:tcPr>
            <w:tcW w:w="6212" w:type="dxa"/>
            <w:gridSpan w:val="2"/>
            <w:shd w:val="clear" w:color="auto" w:fill="D7F2FF"/>
            <w:tcMar>
              <w:top w:w="24" w:type="dxa"/>
              <w:left w:w="120" w:type="dxa"/>
              <w:bottom w:w="24" w:type="dxa"/>
              <w:right w:w="120" w:type="dxa"/>
            </w:tcMar>
            <w:hideMark/>
          </w:tcPr>
          <w:p w:rsidR="000E7679" w:rsidRPr="000E7679" w:rsidRDefault="000E7679" w:rsidP="000E7679">
            <w:pPr>
              <w:spacing w:after="300"/>
              <w:ind w:left="1724"/>
              <w:jc w:val="right"/>
              <w:rPr>
                <w:rFonts w:ascii="Lato" w:hAnsi="Lato" w:cs="Open Sans"/>
                <w:sz w:val="24"/>
              </w:rPr>
            </w:pPr>
            <w:r w:rsidRPr="000E7679">
              <w:rPr>
                <w:rFonts w:ascii="Lato" w:hAnsi="Lato" w:cs="Open Sans"/>
                <w:sz w:val="24"/>
              </w:rPr>
              <w:t>Shop 2, Barkly House</w:t>
            </w:r>
            <w:r w:rsidRPr="000E7679">
              <w:rPr>
                <w:rFonts w:ascii="Lato" w:hAnsi="Lato" w:cs="Open Sans"/>
                <w:sz w:val="24"/>
              </w:rPr>
              <w:br/>
            </w:r>
            <w:proofErr w:type="spellStart"/>
            <w:r w:rsidRPr="000E7679">
              <w:rPr>
                <w:rFonts w:ascii="Lato" w:hAnsi="Lato" w:cs="Open Sans"/>
                <w:sz w:val="24"/>
              </w:rPr>
              <w:t>Cnr</w:t>
            </w:r>
            <w:proofErr w:type="spellEnd"/>
            <w:r w:rsidRPr="000E7679">
              <w:rPr>
                <w:rFonts w:ascii="Lato" w:hAnsi="Lato" w:cs="Open Sans"/>
                <w:sz w:val="24"/>
              </w:rPr>
              <w:t xml:space="preserve"> Davidson and Paterson Streets, Tennant Creek</w:t>
            </w:r>
          </w:p>
        </w:tc>
      </w:tr>
    </w:tbl>
    <w:p w:rsidR="000E7679" w:rsidRPr="000E7679" w:rsidRDefault="000E7679" w:rsidP="000E7679">
      <w:pPr>
        <w:ind w:hanging="709"/>
        <w:jc w:val="center"/>
        <w:rPr>
          <w:rFonts w:ascii="Lato" w:hAnsi="Lato"/>
          <w:b/>
          <w:sz w:val="28"/>
          <w:szCs w:val="28"/>
        </w:rPr>
      </w:pPr>
    </w:p>
    <w:p w:rsidR="000E7679" w:rsidRPr="000E7679" w:rsidRDefault="000E7679" w:rsidP="000E7679">
      <w:pPr>
        <w:spacing w:before="120" w:after="120"/>
        <w:ind w:left="851"/>
        <w:jc w:val="center"/>
        <w:rPr>
          <w:rFonts w:ascii="Lato" w:hAnsi="Lato"/>
          <w:sz w:val="22"/>
          <w:szCs w:val="22"/>
        </w:rPr>
      </w:pPr>
    </w:p>
    <w:p w:rsidR="00343B24" w:rsidRPr="000E7679" w:rsidRDefault="00343B24" w:rsidP="00AA05C4">
      <w:pPr>
        <w:rPr>
          <w:rFonts w:ascii="Lato" w:hAnsi="Lato" w:cs="Arial"/>
          <w:sz w:val="24"/>
        </w:rPr>
      </w:pPr>
    </w:p>
    <w:sectPr w:rsidR="00343B24" w:rsidRPr="000E7679" w:rsidSect="00B3033E">
      <w:headerReference w:type="default" r:id="rId35"/>
      <w:footerReference w:type="default" r:id="rId36"/>
      <w:headerReference w:type="first" r:id="rId37"/>
      <w:footerReference w:type="first" r:id="rId38"/>
      <w:type w:val="continuous"/>
      <w:pgSz w:w="11906" w:h="16838" w:code="9"/>
      <w:pgMar w:top="1134" w:right="851" w:bottom="993"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740" w:rsidRDefault="00E44740">
      <w:r>
        <w:separator/>
      </w:r>
    </w:p>
  </w:endnote>
  <w:endnote w:type="continuationSeparator" w:id="0">
    <w:p w:rsidR="00E44740" w:rsidRDefault="00E4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5D" w:rsidRDefault="00B531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79" w:rsidRPr="005B6284" w:rsidRDefault="000E7679" w:rsidP="002864C7">
    <w:pPr>
      <w:pStyle w:val="Footer"/>
      <w:tabs>
        <w:tab w:val="left" w:pos="-2410"/>
        <w:tab w:val="right" w:pos="10065"/>
      </w:tabs>
      <w:ind w:left="0"/>
    </w:pPr>
    <w:r w:rsidRPr="009F5CE1">
      <w:t xml:space="preserve">Page </w:t>
    </w:r>
    <w:r>
      <w:fldChar w:fldCharType="begin"/>
    </w:r>
    <w:r>
      <w:instrText xml:space="preserve"> PAGE </w:instrText>
    </w:r>
    <w:r>
      <w:fldChar w:fldCharType="separate"/>
    </w:r>
    <w:r w:rsidR="00B5315D">
      <w:rPr>
        <w:noProof/>
      </w:rPr>
      <w:t>6</w:t>
    </w:r>
    <w:r>
      <w:fldChar w:fldCharType="end"/>
    </w:r>
    <w:r w:rsidRPr="009F5CE1">
      <w:t xml:space="preserve"> of </w:t>
    </w:r>
    <w:fldSimple w:instr=" NUMPAGES  ">
      <w:r w:rsidR="00B5315D">
        <w:rPr>
          <w:noProof/>
        </w:rPr>
        <w:t>7</w:t>
      </w:r>
    </w:fldSimple>
    <w:r>
      <w:rPr>
        <w:b/>
        <w:sz w:val="24"/>
      </w:rPr>
      <w:tab/>
    </w:r>
    <w:r w:rsidRPr="002864C7">
      <w:rPr>
        <w:sz w:val="24"/>
      </w:rPr>
      <w:t>www.</w:t>
    </w:r>
    <w:r>
      <w:rPr>
        <w:sz w:val="24"/>
      </w:rPr>
      <w:t>education</w:t>
    </w:r>
    <w:r w:rsidRPr="002864C7">
      <w:rPr>
        <w:sz w:val="24"/>
      </w:rPr>
      <w:t>.gov.au</w:t>
    </w:r>
  </w:p>
  <w:p w:rsidR="000E7679" w:rsidRDefault="000E767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79" w:rsidRDefault="000E7679" w:rsidP="00231398">
    <w:pPr>
      <w:pStyle w:val="Footer"/>
      <w:tabs>
        <w:tab w:val="left" w:pos="-2410"/>
        <w:tab w:val="right" w:pos="10204"/>
      </w:tabs>
      <w:ind w:left="0"/>
    </w:pPr>
    <w:r w:rsidRPr="009F5CE1">
      <w:t xml:space="preserve">Page </w:t>
    </w:r>
    <w:r>
      <w:fldChar w:fldCharType="begin"/>
    </w:r>
    <w:r>
      <w:instrText xml:space="preserve"> PAGE </w:instrText>
    </w:r>
    <w:r>
      <w:fldChar w:fldCharType="separate"/>
    </w:r>
    <w:r w:rsidR="00B5315D">
      <w:rPr>
        <w:noProof/>
      </w:rPr>
      <w:t>1</w:t>
    </w:r>
    <w:r>
      <w:fldChar w:fldCharType="end"/>
    </w:r>
    <w:r w:rsidRPr="009F5CE1">
      <w:t xml:space="preserve"> of </w:t>
    </w:r>
    <w:fldSimple w:instr=" NUMPAGES  ">
      <w:r w:rsidR="00B5315D">
        <w:rPr>
          <w:noProof/>
        </w:rPr>
        <w:t>7</w:t>
      </w:r>
    </w:fldSimple>
    <w:r>
      <w:rPr>
        <w:b/>
        <w:sz w:val="24"/>
      </w:rPr>
      <w:tab/>
    </w:r>
    <w:r w:rsidRPr="00281028">
      <w:rPr>
        <w:sz w:val="24"/>
      </w:rPr>
      <w:t>www.</w:t>
    </w:r>
    <w:r>
      <w:rPr>
        <w:sz w:val="24"/>
      </w:rPr>
      <w:t>education</w:t>
    </w:r>
    <w:r w:rsidRPr="00281028">
      <w:rPr>
        <w:sz w:val="24"/>
      </w:rPr>
      <w:t>.gov.au</w:t>
    </w:r>
  </w:p>
  <w:p w:rsidR="000E7679" w:rsidRDefault="000E767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40" w:rsidRPr="005B6284" w:rsidRDefault="00E44740" w:rsidP="00067E81">
    <w:pPr>
      <w:pStyle w:val="Footer"/>
      <w:tabs>
        <w:tab w:val="left" w:pos="-2410"/>
        <w:tab w:val="right" w:pos="10204"/>
      </w:tabs>
      <w:ind w:left="0"/>
    </w:pPr>
    <w:r w:rsidRPr="00513404">
      <w:t xml:space="preserve">Page </w:t>
    </w:r>
    <w:r w:rsidR="000E7679">
      <w:t>6</w:t>
    </w:r>
    <w:r>
      <w:t xml:space="preserve"> of </w:t>
    </w:r>
    <w:fldSimple w:instr=" NUMPAGES  ">
      <w:r w:rsidR="00B5315D">
        <w:rPr>
          <w:noProof/>
        </w:rPr>
        <w:t>7</w:t>
      </w:r>
    </w:fldSimple>
    <w:r>
      <w:rPr>
        <w:b/>
        <w:sz w:val="24"/>
      </w:rPr>
      <w:tab/>
    </w:r>
    <w:r>
      <w:rPr>
        <w:sz w:val="24"/>
      </w:rPr>
      <w:t>www.education</w:t>
    </w:r>
    <w:r w:rsidRPr="003D1153">
      <w:rPr>
        <w:sz w:val="24"/>
      </w:rPr>
      <w:t>.nt.gov.au</w:t>
    </w:r>
  </w:p>
  <w:p w:rsidR="00094AE4" w:rsidRDefault="00094AE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40" w:rsidRPr="007C1A21" w:rsidRDefault="00E44740" w:rsidP="00883EAC">
    <w:pPr>
      <w:pStyle w:val="Footer"/>
      <w:tabs>
        <w:tab w:val="left" w:pos="-2410"/>
        <w:tab w:val="right" w:pos="10204"/>
      </w:tabs>
      <w:ind w:left="0"/>
      <w:rPr>
        <w:rFonts w:ascii="Lato" w:hAnsi="Lato"/>
      </w:rPr>
    </w:pPr>
    <w:r w:rsidRPr="007C1A21">
      <w:rPr>
        <w:rFonts w:ascii="Lato" w:hAnsi="Lato"/>
      </w:rPr>
      <w:t xml:space="preserve">Page </w:t>
    </w:r>
    <w:r w:rsidRPr="007C1A21">
      <w:rPr>
        <w:rFonts w:ascii="Lato" w:hAnsi="Lato"/>
        <w:b/>
        <w:sz w:val="24"/>
      </w:rPr>
      <w:fldChar w:fldCharType="begin"/>
    </w:r>
    <w:r w:rsidRPr="007C1A21">
      <w:rPr>
        <w:rFonts w:ascii="Lato" w:hAnsi="Lato"/>
        <w:b/>
      </w:rPr>
      <w:instrText xml:space="preserve"> PAGE </w:instrText>
    </w:r>
    <w:r w:rsidRPr="007C1A21">
      <w:rPr>
        <w:rFonts w:ascii="Lato" w:hAnsi="Lato"/>
        <w:b/>
        <w:sz w:val="24"/>
      </w:rPr>
      <w:fldChar w:fldCharType="separate"/>
    </w:r>
    <w:r w:rsidR="00477A83">
      <w:rPr>
        <w:rFonts w:ascii="Lato" w:hAnsi="Lato"/>
        <w:b/>
        <w:noProof/>
      </w:rPr>
      <w:t>1</w:t>
    </w:r>
    <w:r w:rsidRPr="007C1A21">
      <w:rPr>
        <w:rFonts w:ascii="Lato" w:hAnsi="Lato"/>
        <w:b/>
        <w:sz w:val="24"/>
      </w:rPr>
      <w:fldChar w:fldCharType="end"/>
    </w:r>
    <w:r w:rsidRPr="007C1A21">
      <w:rPr>
        <w:rFonts w:ascii="Lato" w:hAnsi="Lato"/>
      </w:rPr>
      <w:t xml:space="preserve"> of </w:t>
    </w:r>
    <w:r w:rsidRPr="007C1A21">
      <w:rPr>
        <w:rFonts w:ascii="Lato" w:hAnsi="Lato"/>
        <w:b/>
        <w:sz w:val="24"/>
      </w:rPr>
      <w:fldChar w:fldCharType="begin"/>
    </w:r>
    <w:r w:rsidRPr="007C1A21">
      <w:rPr>
        <w:rFonts w:ascii="Lato" w:hAnsi="Lato"/>
        <w:b/>
      </w:rPr>
      <w:instrText xml:space="preserve"> NUMPAGES  </w:instrText>
    </w:r>
    <w:r w:rsidRPr="007C1A21">
      <w:rPr>
        <w:rFonts w:ascii="Lato" w:hAnsi="Lato"/>
        <w:b/>
        <w:sz w:val="24"/>
      </w:rPr>
      <w:fldChar w:fldCharType="separate"/>
    </w:r>
    <w:r w:rsidR="00477A83">
      <w:rPr>
        <w:rFonts w:ascii="Lato" w:hAnsi="Lato"/>
        <w:b/>
        <w:noProof/>
      </w:rPr>
      <w:t>6</w:t>
    </w:r>
    <w:r w:rsidRPr="007C1A21">
      <w:rPr>
        <w:rFonts w:ascii="Lato" w:hAnsi="Lato"/>
        <w:b/>
        <w:sz w:val="24"/>
      </w:rPr>
      <w:fldChar w:fldCharType="end"/>
    </w:r>
    <w:r w:rsidRPr="007C1A21">
      <w:rPr>
        <w:rFonts w:ascii="Lato" w:hAnsi="Lato"/>
        <w:b/>
        <w:sz w:val="24"/>
      </w:rPr>
      <w:tab/>
    </w:r>
    <w:r w:rsidRPr="007C1A21">
      <w:rPr>
        <w:rFonts w:ascii="Lato" w:hAnsi="Lato"/>
        <w:sz w:val="24"/>
      </w:rPr>
      <w:t>www.education.nt.gov.au</w:t>
    </w:r>
  </w:p>
  <w:p w:rsidR="00094AE4" w:rsidRDefault="00094A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740" w:rsidRDefault="00E44740">
      <w:r>
        <w:separator/>
      </w:r>
    </w:p>
  </w:footnote>
  <w:footnote w:type="continuationSeparator" w:id="0">
    <w:p w:rsidR="00E44740" w:rsidRDefault="00E44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15D" w:rsidRDefault="00B531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79" w:rsidRPr="00C11AC9" w:rsidRDefault="000E7679" w:rsidP="002C3A4D">
    <w:pPr>
      <w:spacing w:before="120" w:after="120"/>
      <w:ind w:left="426"/>
      <w:rPr>
        <w:i/>
      </w:rPr>
    </w:pPr>
    <w:r>
      <w:rPr>
        <w:b/>
        <w:bCs/>
        <w:iCs/>
        <w:color w:val="002868"/>
        <w:lang w:val="en-US"/>
      </w:rPr>
      <w:t xml:space="preserve">DoE Guideline: </w:t>
    </w:r>
    <w:r w:rsidRPr="00C11AC9">
      <w:rPr>
        <w:i/>
      </w:rPr>
      <w:t xml:space="preserve">Criminal </w:t>
    </w:r>
    <w:r>
      <w:rPr>
        <w:i/>
      </w:rPr>
      <w:t>history c</w:t>
    </w:r>
    <w:r w:rsidRPr="00C11AC9">
      <w:rPr>
        <w:i/>
      </w:rPr>
      <w:t xml:space="preserve">hecks for </w:t>
    </w:r>
    <w:r>
      <w:rPr>
        <w:i/>
      </w:rPr>
      <w:t xml:space="preserve">prospective </w:t>
    </w:r>
    <w:r w:rsidRPr="00C11AC9">
      <w:rPr>
        <w:i/>
      </w:rPr>
      <w:t>mature age students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679" w:rsidRDefault="000E7679" w:rsidP="000E7679">
    <w:pPr>
      <w:pStyle w:val="Header"/>
    </w:pPr>
    <w:r>
      <w:rPr>
        <w:noProof/>
        <w:lang w:eastAsia="en-AU"/>
      </w:rPr>
      <w:drawing>
        <wp:anchor distT="114300" distB="114300" distL="114300" distR="114300" simplePos="0" relativeHeight="251661824" behindDoc="1" locked="0" layoutInCell="1" allowOverlap="1" wp14:anchorId="70750FC4" wp14:editId="55EAB568">
          <wp:simplePos x="0" y="0"/>
          <wp:positionH relativeFrom="margin">
            <wp:posOffset>4989885</wp:posOffset>
          </wp:positionH>
          <wp:positionV relativeFrom="page">
            <wp:align>top</wp:align>
          </wp:positionV>
          <wp:extent cx="704850" cy="11049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114300" distB="114300" distL="114300" distR="114300" simplePos="0" relativeHeight="251662848" behindDoc="1" locked="0" layoutInCell="0" allowOverlap="1" wp14:anchorId="477F5929" wp14:editId="7B8C59E0">
          <wp:simplePos x="0" y="0"/>
          <wp:positionH relativeFrom="margin">
            <wp:posOffset>140280</wp:posOffset>
          </wp:positionH>
          <wp:positionV relativeFrom="margin">
            <wp:posOffset>-3000900</wp:posOffset>
          </wp:positionV>
          <wp:extent cx="2169160" cy="701040"/>
          <wp:effectExtent l="0" t="0" r="0" b="381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7679" w:rsidRDefault="000E7679">
    <w:pPr>
      <w:rPr>
        <w:color w:val="FFFFFF"/>
      </w:rPr>
    </w:pPr>
  </w:p>
  <w:tbl>
    <w:tblPr>
      <w:tblpPr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2127"/>
      <w:gridCol w:w="5078"/>
      <w:gridCol w:w="1584"/>
      <w:gridCol w:w="425"/>
      <w:gridCol w:w="992"/>
    </w:tblGrid>
    <w:tr w:rsidR="000E7679" w:rsidTr="00802314">
      <w:trPr>
        <w:cantSplit/>
        <w:trHeight w:hRule="exact" w:val="680"/>
      </w:trPr>
      <w:tc>
        <w:tcPr>
          <w:tcW w:w="10206" w:type="dxa"/>
          <w:gridSpan w:val="5"/>
          <w:vAlign w:val="center"/>
        </w:tcPr>
        <w:p w:rsidR="000E7679" w:rsidRPr="000E7679" w:rsidRDefault="000E7679" w:rsidP="0077265F">
          <w:pPr>
            <w:pStyle w:val="BannerBig"/>
            <w:rPr>
              <w:rFonts w:ascii="Lato Black" w:hAnsi="Lato Black"/>
              <w:color w:val="002868"/>
              <w:sz w:val="46"/>
              <w:szCs w:val="46"/>
            </w:rPr>
          </w:pPr>
          <w:r w:rsidRPr="000E7679">
            <w:rPr>
              <w:rFonts w:ascii="Lato Black" w:hAnsi="Lato Black"/>
              <w:color w:val="002868"/>
              <w:sz w:val="46"/>
              <w:szCs w:val="46"/>
            </w:rPr>
            <w:t>GUIDELINES</w:t>
          </w:r>
        </w:p>
      </w:tc>
    </w:tr>
    <w:tr w:rsidR="000E7679" w:rsidTr="00802314">
      <w:trPr>
        <w:cantSplit/>
        <w:trHeight w:val="794"/>
      </w:trPr>
      <w:tc>
        <w:tcPr>
          <w:tcW w:w="10206" w:type="dxa"/>
          <w:gridSpan w:val="5"/>
          <w:vAlign w:val="center"/>
        </w:tcPr>
        <w:p w:rsidR="000E7679" w:rsidRPr="000E7679" w:rsidRDefault="000E7679" w:rsidP="00134881">
          <w:pPr>
            <w:pStyle w:val="PolicyTitle"/>
            <w:rPr>
              <w:rFonts w:ascii="Lato" w:hAnsi="Lato"/>
            </w:rPr>
          </w:pPr>
          <w:r w:rsidRPr="000E7679">
            <w:rPr>
              <w:rFonts w:ascii="Lato" w:hAnsi="Lato"/>
            </w:rPr>
            <w:t>CRIMINAL HISTORY CHECKS FOR PROSPECTIVE MATURE AGE STUDENTS</w:t>
          </w:r>
        </w:p>
      </w:tc>
    </w:tr>
    <w:tr w:rsidR="000E7679" w:rsidTr="001C24E3">
      <w:trPr>
        <w:cantSplit/>
        <w:trHeight w:val="284"/>
      </w:trPr>
      <w:tc>
        <w:tcPr>
          <w:tcW w:w="2127" w:type="dxa"/>
          <w:vAlign w:val="center"/>
        </w:tcPr>
        <w:p w:rsidR="000E7679" w:rsidRPr="000E7679" w:rsidRDefault="000E7679">
          <w:pPr>
            <w:pStyle w:val="Header"/>
            <w:rPr>
              <w:rFonts w:ascii="Lato" w:hAnsi="Lato"/>
            </w:rPr>
          </w:pPr>
          <w:r w:rsidRPr="000E7679">
            <w:rPr>
              <w:rFonts w:ascii="Lato" w:hAnsi="Lato"/>
            </w:rPr>
            <w:t>Responsibility of:</w:t>
          </w:r>
        </w:p>
      </w:tc>
      <w:tc>
        <w:tcPr>
          <w:tcW w:w="5078" w:type="dxa"/>
          <w:vAlign w:val="center"/>
        </w:tcPr>
        <w:p w:rsidR="000E7679" w:rsidRPr="000E7679" w:rsidRDefault="000E7679">
          <w:pPr>
            <w:pStyle w:val="Header"/>
            <w:rPr>
              <w:rFonts w:ascii="Lato" w:hAnsi="Lato"/>
            </w:rPr>
          </w:pPr>
          <w:r w:rsidRPr="000E7679">
            <w:rPr>
              <w:rFonts w:ascii="Lato" w:hAnsi="Lato"/>
            </w:rPr>
            <w:t>School Support Services</w:t>
          </w:r>
        </w:p>
      </w:tc>
      <w:tc>
        <w:tcPr>
          <w:tcW w:w="1584" w:type="dxa"/>
          <w:vAlign w:val="center"/>
        </w:tcPr>
        <w:p w:rsidR="000E7679" w:rsidRPr="000E7679" w:rsidRDefault="00B5315D" w:rsidP="00802314">
          <w:pPr>
            <w:pStyle w:val="Header"/>
            <w:rPr>
              <w:rFonts w:ascii="Lato" w:hAnsi="Lato"/>
              <w:lang w:val="en-US"/>
            </w:rPr>
          </w:pPr>
          <w:r>
            <w:rPr>
              <w:rFonts w:ascii="Lato" w:hAnsi="Lato"/>
            </w:rPr>
            <w:t>FILE</w:t>
          </w:r>
          <w:bookmarkStart w:id="7" w:name="_GoBack"/>
          <w:bookmarkEnd w:id="7"/>
          <w:r w:rsidR="001C24E3" w:rsidRPr="001C24E3">
            <w:rPr>
              <w:rFonts w:ascii="Lato" w:hAnsi="Lato"/>
            </w:rPr>
            <w:t>2016/205</w:t>
          </w:r>
        </w:p>
      </w:tc>
      <w:tc>
        <w:tcPr>
          <w:tcW w:w="1417" w:type="dxa"/>
          <w:gridSpan w:val="2"/>
          <w:vAlign w:val="center"/>
        </w:tcPr>
        <w:p w:rsidR="000E7679" w:rsidRPr="000E7679" w:rsidRDefault="000E7679" w:rsidP="001C24E3">
          <w:pPr>
            <w:pStyle w:val="Header"/>
            <w:rPr>
              <w:rFonts w:ascii="Lato" w:hAnsi="Lato"/>
              <w:lang w:val="en-US"/>
            </w:rPr>
          </w:pPr>
        </w:p>
      </w:tc>
    </w:tr>
    <w:tr w:rsidR="000E7679" w:rsidTr="001C24E3">
      <w:trPr>
        <w:cantSplit/>
        <w:trHeight w:val="284"/>
      </w:trPr>
      <w:tc>
        <w:tcPr>
          <w:tcW w:w="2127" w:type="dxa"/>
          <w:vAlign w:val="center"/>
        </w:tcPr>
        <w:p w:rsidR="000E7679" w:rsidRPr="000E7679" w:rsidRDefault="000E7679">
          <w:pPr>
            <w:pStyle w:val="Header"/>
            <w:rPr>
              <w:rFonts w:ascii="Lato" w:hAnsi="Lato"/>
            </w:rPr>
          </w:pPr>
          <w:r w:rsidRPr="000E7679">
            <w:rPr>
              <w:rFonts w:ascii="Lato" w:hAnsi="Lato"/>
            </w:rPr>
            <w:t>Effective Date:</w:t>
          </w:r>
        </w:p>
      </w:tc>
      <w:tc>
        <w:tcPr>
          <w:tcW w:w="5078" w:type="dxa"/>
          <w:vAlign w:val="center"/>
        </w:tcPr>
        <w:p w:rsidR="000E7679" w:rsidRPr="000E7679" w:rsidRDefault="000E7679" w:rsidP="003C36DC">
          <w:pPr>
            <w:pStyle w:val="Header"/>
            <w:rPr>
              <w:rFonts w:ascii="Lato" w:hAnsi="Lato"/>
            </w:rPr>
          </w:pPr>
          <w:r w:rsidRPr="000E7679">
            <w:rPr>
              <w:rFonts w:ascii="Lato" w:hAnsi="Lato"/>
            </w:rPr>
            <w:t>January 2016</w:t>
          </w:r>
        </w:p>
      </w:tc>
      <w:tc>
        <w:tcPr>
          <w:tcW w:w="1584" w:type="dxa"/>
          <w:vAlign w:val="center"/>
        </w:tcPr>
        <w:p w:rsidR="000E7679" w:rsidRPr="000E7679" w:rsidRDefault="001C24E3" w:rsidP="001C24E3">
          <w:pPr>
            <w:pStyle w:val="Header"/>
            <w:rPr>
              <w:rFonts w:ascii="Lato" w:hAnsi="Lato"/>
            </w:rPr>
          </w:pPr>
          <w:r>
            <w:rPr>
              <w:rFonts w:ascii="Lato" w:hAnsi="Lato"/>
            </w:rPr>
            <w:t>EDOC</w:t>
          </w:r>
          <w:r w:rsidRPr="000E7679">
            <w:rPr>
              <w:rFonts w:ascii="Lato" w:hAnsi="Lato"/>
            </w:rPr>
            <w:t>2016/7177</w:t>
          </w:r>
        </w:p>
      </w:tc>
      <w:tc>
        <w:tcPr>
          <w:tcW w:w="1417" w:type="dxa"/>
          <w:gridSpan w:val="2"/>
          <w:vAlign w:val="center"/>
        </w:tcPr>
        <w:p w:rsidR="000E7679" w:rsidRPr="000E7679" w:rsidRDefault="000E7679">
          <w:pPr>
            <w:pStyle w:val="Header"/>
            <w:rPr>
              <w:rFonts w:ascii="Lato" w:hAnsi="Lato"/>
            </w:rPr>
          </w:pPr>
        </w:p>
      </w:tc>
    </w:tr>
    <w:tr w:rsidR="000E7679" w:rsidTr="001913E6">
      <w:trPr>
        <w:cantSplit/>
        <w:trHeight w:val="284"/>
      </w:trPr>
      <w:tc>
        <w:tcPr>
          <w:tcW w:w="2127" w:type="dxa"/>
          <w:vAlign w:val="center"/>
        </w:tcPr>
        <w:p w:rsidR="000E7679" w:rsidRPr="000E7679" w:rsidRDefault="000E7679">
          <w:pPr>
            <w:pStyle w:val="Header"/>
            <w:rPr>
              <w:rFonts w:ascii="Lato" w:hAnsi="Lato"/>
            </w:rPr>
          </w:pPr>
          <w:r w:rsidRPr="000E7679">
            <w:rPr>
              <w:rFonts w:ascii="Lato" w:hAnsi="Lato"/>
            </w:rPr>
            <w:t>Next Review Date:</w:t>
          </w:r>
        </w:p>
      </w:tc>
      <w:tc>
        <w:tcPr>
          <w:tcW w:w="5078" w:type="dxa"/>
          <w:vAlign w:val="center"/>
        </w:tcPr>
        <w:p w:rsidR="000E7679" w:rsidRPr="000E7679" w:rsidRDefault="000E7679" w:rsidP="003C36DC">
          <w:pPr>
            <w:pStyle w:val="Header"/>
            <w:rPr>
              <w:rFonts w:ascii="Lato" w:hAnsi="Lato"/>
            </w:rPr>
          </w:pPr>
          <w:r w:rsidRPr="000E7679">
            <w:rPr>
              <w:rFonts w:ascii="Lato" w:hAnsi="Lato"/>
            </w:rPr>
            <w:t>January 2019</w:t>
          </w:r>
        </w:p>
      </w:tc>
      <w:tc>
        <w:tcPr>
          <w:tcW w:w="2009" w:type="dxa"/>
          <w:gridSpan w:val="2"/>
          <w:vAlign w:val="center"/>
        </w:tcPr>
        <w:p w:rsidR="000E7679" w:rsidRPr="000E7679" w:rsidRDefault="000E7679">
          <w:pPr>
            <w:pStyle w:val="Header"/>
            <w:rPr>
              <w:rFonts w:ascii="Lato" w:hAnsi="Lato"/>
            </w:rPr>
          </w:pPr>
          <w:r w:rsidRPr="000E7679">
            <w:rPr>
              <w:rFonts w:ascii="Lato" w:hAnsi="Lato"/>
            </w:rPr>
            <w:t>VERSION NUMBER:</w:t>
          </w:r>
        </w:p>
      </w:tc>
      <w:tc>
        <w:tcPr>
          <w:tcW w:w="992" w:type="dxa"/>
          <w:vAlign w:val="center"/>
        </w:tcPr>
        <w:p w:rsidR="000E7679" w:rsidRPr="000E7679" w:rsidRDefault="000E7679" w:rsidP="00D60794">
          <w:pPr>
            <w:pStyle w:val="Header"/>
            <w:rPr>
              <w:rFonts w:ascii="Lato" w:hAnsi="Lato"/>
            </w:rPr>
          </w:pPr>
          <w:r w:rsidRPr="000E7679">
            <w:rPr>
              <w:rFonts w:ascii="Lato" w:hAnsi="Lato"/>
            </w:rPr>
            <w:t>1</w:t>
          </w:r>
        </w:p>
      </w:tc>
    </w:tr>
    <w:tr w:rsidR="000E7679" w:rsidTr="001913E6">
      <w:trPr>
        <w:cantSplit/>
        <w:trHeight w:val="284"/>
      </w:trPr>
      <w:tc>
        <w:tcPr>
          <w:tcW w:w="2127" w:type="dxa"/>
          <w:vAlign w:val="center"/>
        </w:tcPr>
        <w:p w:rsidR="000E7679" w:rsidRPr="000E7679" w:rsidRDefault="000E7679">
          <w:pPr>
            <w:pStyle w:val="Header"/>
            <w:rPr>
              <w:rFonts w:ascii="Lato" w:hAnsi="Lato"/>
            </w:rPr>
          </w:pPr>
          <w:r w:rsidRPr="000E7679">
            <w:rPr>
              <w:rFonts w:ascii="Lato" w:hAnsi="Lato"/>
            </w:rPr>
            <w:t>Target Audience:</w:t>
          </w:r>
        </w:p>
      </w:tc>
      <w:tc>
        <w:tcPr>
          <w:tcW w:w="5078" w:type="dxa"/>
          <w:vAlign w:val="center"/>
        </w:tcPr>
        <w:p w:rsidR="000E7679" w:rsidRPr="000E7679" w:rsidRDefault="000E7679" w:rsidP="00D60794">
          <w:pPr>
            <w:pStyle w:val="Header"/>
            <w:rPr>
              <w:rFonts w:ascii="Lato" w:hAnsi="Lato"/>
            </w:rPr>
          </w:pPr>
          <w:r w:rsidRPr="000E7679">
            <w:rPr>
              <w:rFonts w:ascii="Lato" w:hAnsi="Lato"/>
            </w:rPr>
            <w:t>NT Government school principals, vetting entity, mature age students and school communities.</w:t>
          </w:r>
        </w:p>
        <w:p w:rsidR="000E7679" w:rsidRPr="000E7679" w:rsidRDefault="000E7679" w:rsidP="00D60794">
          <w:pPr>
            <w:pStyle w:val="Header"/>
            <w:rPr>
              <w:rFonts w:ascii="Lato" w:hAnsi="Lato"/>
            </w:rPr>
          </w:pPr>
          <w:r w:rsidRPr="000E7679">
            <w:rPr>
              <w:rFonts w:ascii="Lato" w:hAnsi="Lato"/>
            </w:rPr>
            <w:t xml:space="preserve"> </w:t>
          </w:r>
        </w:p>
      </w:tc>
      <w:tc>
        <w:tcPr>
          <w:tcW w:w="3001" w:type="dxa"/>
          <w:gridSpan w:val="3"/>
          <w:vAlign w:val="center"/>
        </w:tcPr>
        <w:p w:rsidR="000E7679" w:rsidRPr="000E7679" w:rsidRDefault="000E7679">
          <w:pPr>
            <w:pStyle w:val="Header"/>
            <w:tabs>
              <w:tab w:val="left" w:pos="2160"/>
            </w:tabs>
            <w:rPr>
              <w:rFonts w:ascii="Lato" w:hAnsi="Lato"/>
            </w:rPr>
          </w:pPr>
        </w:p>
      </w:tc>
    </w:tr>
  </w:tbl>
  <w:p w:rsidR="000E7679" w:rsidRDefault="000E7679">
    <w:pPr>
      <w:pStyle w:val="Header"/>
      <w:rPr>
        <w:color w:val="FFFFFF"/>
        <w:sz w:val="18"/>
      </w:rPr>
    </w:pPr>
    <w:r>
      <w:rPr>
        <w:noProof/>
        <w:lang w:eastAsia="en-AU"/>
      </w:rPr>
      <mc:AlternateContent>
        <mc:Choice Requires="wps">
          <w:drawing>
            <wp:anchor distT="0" distB="0" distL="114300" distR="114300" simplePos="0" relativeHeight="251660800" behindDoc="0" locked="0" layoutInCell="1" allowOverlap="1" wp14:anchorId="283E4381" wp14:editId="77B074D7">
              <wp:simplePos x="0" y="0"/>
              <wp:positionH relativeFrom="page">
                <wp:posOffset>5956769</wp:posOffset>
              </wp:positionH>
              <wp:positionV relativeFrom="page">
                <wp:posOffset>677268</wp:posOffset>
              </wp:positionV>
              <wp:extent cx="1574800" cy="327025"/>
              <wp:effectExtent l="0" t="0" r="6350" b="15875"/>
              <wp:wrapTight wrapText="bothSides">
                <wp:wrapPolygon edited="0">
                  <wp:start x="0" y="0"/>
                  <wp:lineTo x="0" y="21390"/>
                  <wp:lineTo x="21426" y="21390"/>
                  <wp:lineTo x="21426"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679" w:rsidRDefault="000E7679" w:rsidP="000E7679">
                          <w:pPr>
                            <w:pStyle w:val="Departmentof"/>
                          </w:pPr>
                          <w:r>
                            <w:t>Department of</w:t>
                          </w:r>
                        </w:p>
                        <w:p w:rsidR="000E7679" w:rsidRDefault="000E7679" w:rsidP="000E7679">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E4381" id="_x0000_t202" coordsize="21600,21600" o:spt="202" path="m,l,21600r21600,l21600,xe">
              <v:stroke joinstyle="miter"/>
              <v:path gradientshapeok="t" o:connecttype="rect"/>
            </v:shapetype>
            <v:shape id="Text Box 5" o:spid="_x0000_s1026" type="#_x0000_t202" style="position:absolute;margin-left:469.05pt;margin-top:53.35pt;width:124pt;height:25.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" filled="f" stroked="f">
              <v:textbox inset="0,0,0,0">
                <w:txbxContent>
                  <w:p w:rsidR="000E7679" w:rsidRDefault="000E7679" w:rsidP="000E7679">
                    <w:pPr>
                      <w:pStyle w:val="Departmentof"/>
                    </w:pPr>
                    <w:r>
                      <w:t>Department of</w:t>
                    </w:r>
                  </w:p>
                  <w:p w:rsidR="000E7679" w:rsidRDefault="000E7679" w:rsidP="000E7679">
                    <w:pPr>
                      <w:pStyle w:val="Departmentname"/>
                    </w:pPr>
                    <w:r>
                      <w:t>Education</w:t>
                    </w:r>
                  </w:p>
                </w:txbxContent>
              </v:textbox>
              <w10:wrap type="tight" anchorx="page" anchory="page"/>
            </v:shape>
          </w:pict>
        </mc:Fallback>
      </mc:AlternateContent>
    </w:r>
  </w:p>
  <w:p w:rsidR="000E7679" w:rsidRDefault="000E7679">
    <w:pPr>
      <w:pStyle w:val="Header"/>
      <w:rPr>
        <w:color w:val="FFFFFF"/>
        <w:sz w:val="18"/>
      </w:rPr>
    </w:pPr>
  </w:p>
  <w:p w:rsidR="000E7679" w:rsidRDefault="000E7679">
    <w:pPr>
      <w:pStyle w:val="Header"/>
      <w:rPr>
        <w:color w:val="FFFFFF"/>
        <w:sz w:val="18"/>
      </w:rPr>
    </w:pPr>
  </w:p>
  <w:p w:rsidR="000E7679" w:rsidRPr="000E7679" w:rsidRDefault="000E7679" w:rsidP="000E7679">
    <w:pPr>
      <w:pStyle w:val="Header"/>
      <w:ind w:left="1162"/>
      <w:rPr>
        <w:color w:val="FFFFFF"/>
        <w:sz w:val="23"/>
      </w:rPr>
    </w:pPr>
    <w:r>
      <w:rPr>
        <w:color w:val="FFFFFF"/>
        <w:sz w:val="23"/>
      </w:rPr>
      <w:t>DEPARTMENT OF EMPLOYMENT, EDUCATION AND TRAINING</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BC4" w:rsidRPr="00C11AC9" w:rsidRDefault="001B1BC4" w:rsidP="001B1BC4">
    <w:pPr>
      <w:spacing w:before="120" w:after="120"/>
      <w:rPr>
        <w:i/>
      </w:rPr>
    </w:pPr>
    <w:r>
      <w:rPr>
        <w:b/>
        <w:bCs/>
        <w:iCs/>
        <w:color w:val="002868"/>
        <w:lang w:val="en-US"/>
      </w:rPr>
      <w:t xml:space="preserve">DoE Guideline: </w:t>
    </w:r>
    <w:r w:rsidRPr="00C11AC9">
      <w:rPr>
        <w:i/>
      </w:rPr>
      <w:t xml:space="preserve">Criminal </w:t>
    </w:r>
    <w:r>
      <w:rPr>
        <w:i/>
      </w:rPr>
      <w:t>history c</w:t>
    </w:r>
    <w:r w:rsidRPr="00C11AC9">
      <w:rPr>
        <w:i/>
      </w:rPr>
      <w:t xml:space="preserve">hecks for </w:t>
    </w:r>
    <w:r>
      <w:rPr>
        <w:i/>
      </w:rPr>
      <w:t xml:space="preserve">prospective </w:t>
    </w:r>
    <w:r w:rsidRPr="00C11AC9">
      <w:rPr>
        <w:i/>
      </w:rPr>
      <w:t>mature age students</w:t>
    </w:r>
  </w:p>
  <w:p w:rsidR="00E44740" w:rsidRPr="001B1BC4" w:rsidRDefault="00E44740" w:rsidP="001B1BC4">
    <w:pPr>
      <w:pStyle w:val="Header"/>
    </w:pPr>
  </w:p>
  <w:p w:rsidR="00094AE4" w:rsidRDefault="00094AE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740" w:rsidRDefault="00E44740" w:rsidP="000846C2">
    <w:pPr>
      <w:tabs>
        <w:tab w:val="left" w:pos="8080"/>
      </w:tabs>
      <w:rPr>
        <w:color w:val="FFFFFF"/>
      </w:rPr>
    </w:pPr>
    <w:r>
      <w:rPr>
        <w:noProof/>
        <w:lang w:eastAsia="en-AU"/>
      </w:rPr>
      <w:drawing>
        <wp:anchor distT="114300" distB="114300" distL="114300" distR="114300" simplePos="0" relativeHeight="251658752" behindDoc="1" locked="0" layoutInCell="0" allowOverlap="1" wp14:anchorId="5CA87C56" wp14:editId="46B6E70D">
          <wp:simplePos x="0" y="0"/>
          <wp:positionH relativeFrom="margin">
            <wp:posOffset>-123825</wp:posOffset>
          </wp:positionH>
          <wp:positionV relativeFrom="margin">
            <wp:posOffset>-2726055</wp:posOffset>
          </wp:positionV>
          <wp:extent cx="2169160" cy="701040"/>
          <wp:effectExtent l="0" t="0" r="0" b="3810"/>
          <wp:wrapNone/>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pic:spPr>
              </pic:pic>
            </a:graphicData>
          </a:graphic>
          <wp14:sizeRelH relativeFrom="page">
            <wp14:pctWidth>0</wp14:pctWidth>
          </wp14:sizeRelH>
          <wp14:sizeRelV relativeFrom="page">
            <wp14:pctHeight>0</wp14:pctHeight>
          </wp14:sizeRelV>
        </wp:anchor>
      </w:drawing>
    </w:r>
    <w:r>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E44740" w:rsidTr="00195D9D">
      <w:trPr>
        <w:cantSplit/>
        <w:trHeight w:hRule="exact" w:val="680"/>
      </w:trPr>
      <w:tc>
        <w:tcPr>
          <w:tcW w:w="10514" w:type="dxa"/>
          <w:gridSpan w:val="5"/>
          <w:vAlign w:val="center"/>
        </w:tcPr>
        <w:p w:rsidR="00E44740" w:rsidRPr="00195D9D" w:rsidRDefault="00E44740" w:rsidP="00AA05C4">
          <w:pPr>
            <w:pStyle w:val="BannerBig"/>
            <w:rPr>
              <w:rFonts w:ascii="Lato Black" w:hAnsi="Lato Black"/>
              <w:color w:val="002868"/>
              <w:sz w:val="46"/>
              <w:szCs w:val="46"/>
            </w:rPr>
          </w:pPr>
          <w:r>
            <w:rPr>
              <w:rFonts w:ascii="Lato Black" w:hAnsi="Lato Black"/>
              <w:color w:val="002868"/>
              <w:sz w:val="46"/>
              <w:szCs w:val="46"/>
            </w:rPr>
            <w:t xml:space="preserve">GUIDELINES </w:t>
          </w:r>
        </w:p>
      </w:tc>
    </w:tr>
    <w:tr w:rsidR="00E44740" w:rsidTr="00195D9D">
      <w:trPr>
        <w:cantSplit/>
        <w:trHeight w:val="794"/>
      </w:trPr>
      <w:tc>
        <w:tcPr>
          <w:tcW w:w="10514" w:type="dxa"/>
          <w:gridSpan w:val="5"/>
          <w:vAlign w:val="center"/>
        </w:tcPr>
        <w:p w:rsidR="00E44740" w:rsidRPr="00195D9D" w:rsidRDefault="00E44740" w:rsidP="00AA05C4">
          <w:pPr>
            <w:pStyle w:val="PolicyTitle"/>
            <w:rPr>
              <w:rFonts w:ascii="Lato" w:hAnsi="Lato"/>
            </w:rPr>
          </w:pPr>
          <w:r>
            <w:rPr>
              <w:rFonts w:ascii="Lato" w:hAnsi="Lato"/>
            </w:rPr>
            <w:t>COMPLAINTS MANAGEMENT FOR SCHOOLS</w:t>
          </w:r>
        </w:p>
      </w:tc>
    </w:tr>
    <w:tr w:rsidR="00E44740" w:rsidTr="00195D9D">
      <w:trPr>
        <w:cantSplit/>
        <w:trHeight w:val="284"/>
      </w:trPr>
      <w:tc>
        <w:tcPr>
          <w:tcW w:w="2127" w:type="dxa"/>
          <w:vAlign w:val="center"/>
        </w:tcPr>
        <w:p w:rsidR="00E44740" w:rsidRPr="00195D9D" w:rsidRDefault="00E44740" w:rsidP="00343B24">
          <w:pPr>
            <w:pStyle w:val="Header"/>
            <w:rPr>
              <w:rFonts w:ascii="Lato" w:hAnsi="Lato"/>
              <w:sz w:val="22"/>
              <w:szCs w:val="22"/>
            </w:rPr>
          </w:pPr>
          <w:r w:rsidRPr="00195D9D">
            <w:rPr>
              <w:rFonts w:ascii="Lato" w:hAnsi="Lato"/>
              <w:sz w:val="22"/>
              <w:szCs w:val="22"/>
            </w:rPr>
            <w:t>Responsibility of:</w:t>
          </w:r>
        </w:p>
      </w:tc>
      <w:tc>
        <w:tcPr>
          <w:tcW w:w="5386" w:type="dxa"/>
          <w:vAlign w:val="center"/>
        </w:tcPr>
        <w:p w:rsidR="00E44740" w:rsidRDefault="00E44740" w:rsidP="00343B24">
          <w:pPr>
            <w:pStyle w:val="Header"/>
          </w:pPr>
          <w:r>
            <w:t>School Support Services</w:t>
          </w:r>
        </w:p>
      </w:tc>
      <w:tc>
        <w:tcPr>
          <w:tcW w:w="1017" w:type="dxa"/>
          <w:vAlign w:val="center"/>
        </w:tcPr>
        <w:p w:rsidR="00E44740" w:rsidRPr="007F1076" w:rsidRDefault="00E44740" w:rsidP="00343B24">
          <w:pPr>
            <w:pStyle w:val="Header"/>
            <w:rPr>
              <w:lang w:val="en-US"/>
            </w:rPr>
          </w:pPr>
          <w:r>
            <w:t>DoE</w:t>
          </w:r>
          <w:r w:rsidRPr="007F1076">
            <w:t xml:space="preserve"> File: </w:t>
          </w:r>
        </w:p>
      </w:tc>
      <w:tc>
        <w:tcPr>
          <w:tcW w:w="1984" w:type="dxa"/>
          <w:gridSpan w:val="2"/>
          <w:vAlign w:val="center"/>
        </w:tcPr>
        <w:p w:rsidR="00E44740" w:rsidRPr="007F1076" w:rsidRDefault="00E44740" w:rsidP="00343B24">
          <w:pPr>
            <w:pStyle w:val="Header"/>
            <w:rPr>
              <w:lang w:val="en-US"/>
            </w:rPr>
          </w:pPr>
          <w:r w:rsidRPr="00A759D3">
            <w:t>FILE2014/427</w:t>
          </w:r>
        </w:p>
      </w:tc>
    </w:tr>
    <w:tr w:rsidR="00E44740" w:rsidTr="00195D9D">
      <w:trPr>
        <w:cantSplit/>
        <w:trHeight w:val="284"/>
      </w:trPr>
      <w:tc>
        <w:tcPr>
          <w:tcW w:w="2127" w:type="dxa"/>
          <w:vAlign w:val="center"/>
        </w:tcPr>
        <w:p w:rsidR="00E44740" w:rsidRPr="00195D9D" w:rsidRDefault="00E44740" w:rsidP="00343B24">
          <w:pPr>
            <w:pStyle w:val="Header"/>
            <w:rPr>
              <w:rFonts w:ascii="Lato" w:hAnsi="Lato"/>
              <w:sz w:val="22"/>
              <w:szCs w:val="22"/>
            </w:rPr>
          </w:pPr>
          <w:r w:rsidRPr="00195D9D">
            <w:rPr>
              <w:rFonts w:ascii="Lato" w:hAnsi="Lato"/>
              <w:sz w:val="22"/>
              <w:szCs w:val="22"/>
            </w:rPr>
            <w:t>Effective Date:</w:t>
          </w:r>
        </w:p>
      </w:tc>
      <w:tc>
        <w:tcPr>
          <w:tcW w:w="5386" w:type="dxa"/>
          <w:vAlign w:val="center"/>
        </w:tcPr>
        <w:p w:rsidR="00E44740" w:rsidRDefault="00E44740" w:rsidP="00343B24">
          <w:pPr>
            <w:pStyle w:val="Header"/>
          </w:pPr>
          <w:r w:rsidRPr="00C37C10">
            <w:t>December 2016</w:t>
          </w:r>
        </w:p>
      </w:tc>
      <w:tc>
        <w:tcPr>
          <w:tcW w:w="3001" w:type="dxa"/>
          <w:gridSpan w:val="3"/>
          <w:vAlign w:val="center"/>
        </w:tcPr>
        <w:p w:rsidR="00E44740" w:rsidRPr="00195D9D" w:rsidRDefault="00E44740" w:rsidP="00AA05C4">
          <w:pPr>
            <w:pStyle w:val="Header"/>
            <w:rPr>
              <w:rFonts w:ascii="Lato" w:hAnsi="Lato"/>
              <w:sz w:val="22"/>
              <w:szCs w:val="22"/>
            </w:rPr>
          </w:pPr>
          <w:r w:rsidRPr="00C37C10">
            <w:rPr>
              <w:rFonts w:ascii="Lato" w:hAnsi="Lato"/>
              <w:sz w:val="22"/>
              <w:szCs w:val="22"/>
            </w:rPr>
            <w:t>EDOC2016/4929</w:t>
          </w:r>
          <w:r>
            <w:rPr>
              <w:rFonts w:ascii="Lato" w:hAnsi="Lato"/>
              <w:sz w:val="22"/>
              <w:szCs w:val="22"/>
            </w:rPr>
            <w:t>4</w:t>
          </w:r>
        </w:p>
      </w:tc>
    </w:tr>
    <w:tr w:rsidR="00E44740" w:rsidTr="00195D9D">
      <w:trPr>
        <w:cantSplit/>
        <w:trHeight w:val="284"/>
      </w:trPr>
      <w:tc>
        <w:tcPr>
          <w:tcW w:w="2127" w:type="dxa"/>
          <w:vAlign w:val="center"/>
        </w:tcPr>
        <w:p w:rsidR="00E44740" w:rsidRPr="00195D9D" w:rsidRDefault="00E44740" w:rsidP="00343B24">
          <w:pPr>
            <w:pStyle w:val="Header"/>
            <w:rPr>
              <w:rFonts w:ascii="Lato" w:hAnsi="Lato"/>
              <w:sz w:val="22"/>
              <w:szCs w:val="22"/>
            </w:rPr>
          </w:pPr>
          <w:r w:rsidRPr="00195D9D">
            <w:rPr>
              <w:rFonts w:ascii="Lato" w:hAnsi="Lato"/>
              <w:sz w:val="22"/>
              <w:szCs w:val="22"/>
            </w:rPr>
            <w:t>Next Review Date:</w:t>
          </w:r>
        </w:p>
      </w:tc>
      <w:tc>
        <w:tcPr>
          <w:tcW w:w="5386" w:type="dxa"/>
          <w:vAlign w:val="center"/>
        </w:tcPr>
        <w:p w:rsidR="00E44740" w:rsidRDefault="00E44740" w:rsidP="00343B24">
          <w:pPr>
            <w:pStyle w:val="Header"/>
          </w:pPr>
          <w:r>
            <w:t>December 2020</w:t>
          </w:r>
        </w:p>
      </w:tc>
      <w:tc>
        <w:tcPr>
          <w:tcW w:w="2009" w:type="dxa"/>
          <w:gridSpan w:val="2"/>
          <w:vAlign w:val="center"/>
        </w:tcPr>
        <w:p w:rsidR="00E44740" w:rsidRPr="00195D9D" w:rsidRDefault="00E44740" w:rsidP="00343B24">
          <w:pPr>
            <w:pStyle w:val="Header"/>
            <w:rPr>
              <w:rFonts w:ascii="Lato" w:hAnsi="Lato"/>
              <w:sz w:val="22"/>
              <w:szCs w:val="22"/>
            </w:rPr>
          </w:pPr>
          <w:r w:rsidRPr="00195D9D">
            <w:rPr>
              <w:rFonts w:ascii="Lato" w:hAnsi="Lato"/>
              <w:sz w:val="22"/>
              <w:szCs w:val="22"/>
            </w:rPr>
            <w:t>Version Number:</w:t>
          </w:r>
        </w:p>
      </w:tc>
      <w:tc>
        <w:tcPr>
          <w:tcW w:w="992" w:type="dxa"/>
          <w:vAlign w:val="center"/>
        </w:tcPr>
        <w:p w:rsidR="00E44740" w:rsidRPr="00195D9D" w:rsidRDefault="00E44740" w:rsidP="00C23039">
          <w:pPr>
            <w:pStyle w:val="Header"/>
            <w:rPr>
              <w:rFonts w:ascii="Lato" w:hAnsi="Lato"/>
              <w:sz w:val="22"/>
              <w:szCs w:val="22"/>
            </w:rPr>
          </w:pPr>
          <w:r>
            <w:rPr>
              <w:rFonts w:ascii="Lato" w:hAnsi="Lato"/>
              <w:sz w:val="22"/>
              <w:szCs w:val="22"/>
            </w:rPr>
            <w:t>3</w:t>
          </w:r>
        </w:p>
      </w:tc>
    </w:tr>
    <w:tr w:rsidR="00E44740" w:rsidTr="00195D9D">
      <w:trPr>
        <w:cantSplit/>
        <w:trHeight w:val="284"/>
      </w:trPr>
      <w:tc>
        <w:tcPr>
          <w:tcW w:w="2127" w:type="dxa"/>
          <w:vAlign w:val="center"/>
        </w:tcPr>
        <w:p w:rsidR="00E44740" w:rsidRPr="00195D9D" w:rsidRDefault="00E44740">
          <w:pPr>
            <w:pStyle w:val="Header"/>
            <w:rPr>
              <w:rFonts w:ascii="Lato" w:hAnsi="Lato"/>
              <w:sz w:val="22"/>
              <w:szCs w:val="22"/>
            </w:rPr>
          </w:pPr>
          <w:r w:rsidRPr="00195D9D">
            <w:rPr>
              <w:rFonts w:ascii="Lato" w:hAnsi="Lato"/>
              <w:sz w:val="22"/>
              <w:szCs w:val="22"/>
            </w:rPr>
            <w:t>Target Audience:</w:t>
          </w:r>
        </w:p>
      </w:tc>
      <w:tc>
        <w:tcPr>
          <w:tcW w:w="5386" w:type="dxa"/>
          <w:vAlign w:val="center"/>
        </w:tcPr>
        <w:p w:rsidR="00E44740" w:rsidRPr="00195D9D" w:rsidRDefault="00E44740" w:rsidP="00C23039">
          <w:pPr>
            <w:pStyle w:val="Header"/>
            <w:rPr>
              <w:rFonts w:ascii="Lato" w:hAnsi="Lato"/>
              <w:sz w:val="22"/>
              <w:szCs w:val="22"/>
            </w:rPr>
          </w:pPr>
          <w:r w:rsidRPr="00C37C10">
            <w:rPr>
              <w:rFonts w:ascii="Lato" w:hAnsi="Lato"/>
              <w:sz w:val="22"/>
              <w:szCs w:val="22"/>
            </w:rPr>
            <w:t>Whole school community/corporate staff</w:t>
          </w:r>
        </w:p>
      </w:tc>
      <w:tc>
        <w:tcPr>
          <w:tcW w:w="3001" w:type="dxa"/>
          <w:gridSpan w:val="3"/>
          <w:vAlign w:val="center"/>
        </w:tcPr>
        <w:p w:rsidR="00E44740" w:rsidRPr="00195D9D" w:rsidRDefault="00E44740">
          <w:pPr>
            <w:pStyle w:val="Header"/>
            <w:tabs>
              <w:tab w:val="left" w:pos="2160"/>
            </w:tabs>
            <w:rPr>
              <w:rFonts w:ascii="Lato" w:hAnsi="Lato"/>
              <w:sz w:val="22"/>
              <w:szCs w:val="22"/>
            </w:rPr>
          </w:pPr>
        </w:p>
      </w:tc>
    </w:tr>
  </w:tbl>
  <w:p w:rsidR="00E44740" w:rsidRDefault="00E44740" w:rsidP="000846C2">
    <w:pPr>
      <w:pStyle w:val="Header"/>
    </w:pPr>
    <w:r>
      <w:rPr>
        <w:noProof/>
        <w:lang w:eastAsia="en-AU"/>
      </w:rPr>
      <w:drawing>
        <wp:anchor distT="114300" distB="114300" distL="114300" distR="114300" simplePos="0" relativeHeight="251657728" behindDoc="1" locked="0" layoutInCell="1" allowOverlap="1" wp14:anchorId="71CAC891" wp14:editId="0B7D63A2">
          <wp:simplePos x="0" y="0"/>
          <wp:positionH relativeFrom="margin">
            <wp:posOffset>4483735</wp:posOffset>
          </wp:positionH>
          <wp:positionV relativeFrom="page">
            <wp:posOffset>635</wp:posOffset>
          </wp:positionV>
          <wp:extent cx="704850" cy="1104900"/>
          <wp:effectExtent l="0" t="0" r="0" b="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pic:spPr>
              </pic:pic>
            </a:graphicData>
          </a:graphic>
          <wp14:sizeRelH relativeFrom="margin">
            <wp14:pctWidth>0</wp14:pctWidth>
          </wp14:sizeRelH>
          <wp14:sizeRelV relativeFrom="margin">
            <wp14:pctHeight>0</wp14:pctHeight>
          </wp14:sizeRelV>
        </wp:anchor>
      </w:drawing>
    </w:r>
  </w:p>
  <w:p w:rsidR="00E44740" w:rsidRDefault="00E44740" w:rsidP="000846C2">
    <w:pPr>
      <w:pStyle w:val="Header"/>
    </w:pPr>
    <w:r>
      <w:rPr>
        <w:noProof/>
        <w:lang w:eastAsia="en-AU"/>
      </w:rPr>
      <mc:AlternateContent>
        <mc:Choice Requires="wps">
          <w:drawing>
            <wp:anchor distT="0" distB="0" distL="114300" distR="114300" simplePos="0" relativeHeight="251655680" behindDoc="0" locked="0" layoutInCell="1" allowOverlap="1" wp14:anchorId="6463E231" wp14:editId="66E94F4F">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40" w:rsidRDefault="00E44740" w:rsidP="000846C2">
                          <w:pPr>
                            <w:pStyle w:val="Departmentof"/>
                          </w:pPr>
                          <w:r>
                            <w:t>Department of</w:t>
                          </w:r>
                        </w:p>
                        <w:p w:rsidR="00E44740" w:rsidRDefault="00E44740"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3E231" id="_x0000_t202" coordsize="21600,21600" o:spt="202" path="m,l,21600r21600,l21600,xe">
              <v:stroke joinstyle="miter"/>
              <v:path gradientshapeok="t" o:connecttype="rect"/>
            </v:shapetype>
            <v:shape id="_x0000_tx2" o:spid="_x0000_s1027" type="#_x0000_t202" style="position:absolute;margin-left:453.25pt;margin-top:49.55pt;width:124pt;height:25.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4dFtAIAALA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" filled="f" stroked="f">
              <v:textbox inset="0,0,0,0">
                <w:txbxContent>
                  <w:p w:rsidR="00E44740" w:rsidRDefault="00E44740" w:rsidP="000846C2">
                    <w:pPr>
                      <w:pStyle w:val="Departmentof"/>
                    </w:pPr>
                    <w:r>
                      <w:t>Department of</w:t>
                    </w:r>
                  </w:p>
                  <w:p w:rsidR="00E44740" w:rsidRDefault="00E44740" w:rsidP="000846C2">
                    <w:pPr>
                      <w:pStyle w:val="Departmentname"/>
                    </w:pPr>
                    <w:r>
                      <w:t>Education</w:t>
                    </w:r>
                  </w:p>
                </w:txbxContent>
              </v:textbox>
              <w10:wrap type="tight" anchorx="page" anchory="page"/>
            </v:shape>
          </w:pict>
        </mc:Fallback>
      </mc:AlternateContent>
    </w:r>
  </w:p>
  <w:p w:rsidR="00E44740" w:rsidRDefault="00E44740" w:rsidP="000846C2">
    <w:pPr>
      <w:pStyle w:val="Header"/>
    </w:pPr>
  </w:p>
  <w:p w:rsidR="00E44740" w:rsidRDefault="00E44740" w:rsidP="000846C2">
    <w:pPr>
      <w:pStyle w:val="Header"/>
      <w:tabs>
        <w:tab w:val="left" w:pos="7515"/>
      </w:tabs>
    </w:pPr>
    <w:r>
      <w:tab/>
    </w:r>
  </w:p>
  <w:p w:rsidR="00E44740" w:rsidRDefault="00E44740" w:rsidP="000F239E">
    <w:pPr>
      <w:pStyle w:val="Header"/>
      <w:tabs>
        <w:tab w:val="right" w:pos="8789"/>
      </w:tabs>
      <w:rPr>
        <w:color w:val="FFFFFF"/>
      </w:rPr>
    </w:pPr>
    <w:r>
      <w:rPr>
        <w:noProof/>
        <w:lang w:eastAsia="en-AU"/>
      </w:rPr>
      <mc:AlternateContent>
        <mc:Choice Requires="wps">
          <w:drawing>
            <wp:anchor distT="0" distB="0" distL="114300" distR="114300" simplePos="0" relativeHeight="251656704" behindDoc="0" locked="0" layoutInCell="1" allowOverlap="1" wp14:anchorId="1F947DEA" wp14:editId="1EAF4949">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4740" w:rsidRDefault="00E44740"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1F947DEA" id="Text Box 9" o:spid="_x0000_s1028" type="#_x0000_t202" style="position:absolute;margin-left:371.3pt;margin-top:682.9pt;width:124.7pt;height:1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v+C1oLECAACwBQAA&#10;DgAAAAAAAAAAAAAAAAAuAgAAZHJzL2Uyb0RvYy54bWxQSwECLQAUAAYACAAAACEATtd6b+AAAAAN&#10;AQAADwAAAAAAAAAAAAAAAAALBQAAZHJzL2Rvd25yZXYueG1sUEsFBgAAAAAEAAQA8wAAABgGAAAA&#10;AA==&#10;" filled="f" stroked="f">
              <v:textbox inset="0,0,0,0">
                <w:txbxContent>
                  <w:p w:rsidR="00E44740" w:rsidRDefault="00E44740" w:rsidP="000846C2">
                    <w:pPr>
                      <w:pStyle w:val="web"/>
                    </w:pPr>
                    <w:r>
                      <w:t>www.education.nt.gov.au</w:t>
                    </w:r>
                  </w:p>
                </w:txbxContent>
              </v:textbox>
              <w10:wrap type="tight" anchorx="margin" anchory="margin"/>
            </v:shape>
          </w:pict>
        </mc:Fallback>
      </mc:AlternateContent>
    </w:r>
  </w:p>
  <w:p w:rsidR="00E44740" w:rsidRDefault="00E44740">
    <w:pPr>
      <w:pStyle w:val="Header"/>
      <w:rPr>
        <w:color w:val="FFFFFF"/>
      </w:rPr>
    </w:pPr>
  </w:p>
  <w:p w:rsidR="00094AE4" w:rsidRDefault="00094A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0000402"/>
    <w:multiLevelType w:val="multilevel"/>
    <w:tmpl w:val="00000885"/>
    <w:lvl w:ilvl="0">
      <w:start w:val="1"/>
      <w:numFmt w:val="lowerLetter"/>
      <w:lvlText w:val="(%1)"/>
      <w:lvlJc w:val="left"/>
      <w:pPr>
        <w:ind w:left="916" w:hanging="435"/>
      </w:pPr>
      <w:rPr>
        <w:rFonts w:ascii="Arial" w:hAnsi="Arial" w:cs="Arial"/>
        <w:b w:val="0"/>
        <w:bCs w:val="0"/>
        <w:spacing w:val="-1"/>
        <w:sz w:val="24"/>
        <w:szCs w:val="24"/>
      </w:rPr>
    </w:lvl>
    <w:lvl w:ilvl="1">
      <w:numFmt w:val="bullet"/>
      <w:lvlText w:val="•"/>
      <w:lvlJc w:val="left"/>
      <w:pPr>
        <w:ind w:left="1317" w:hanging="435"/>
      </w:pPr>
    </w:lvl>
    <w:lvl w:ilvl="2">
      <w:numFmt w:val="bullet"/>
      <w:lvlText w:val="•"/>
      <w:lvlJc w:val="left"/>
      <w:pPr>
        <w:ind w:left="1719" w:hanging="435"/>
      </w:pPr>
    </w:lvl>
    <w:lvl w:ilvl="3">
      <w:numFmt w:val="bullet"/>
      <w:lvlText w:val="•"/>
      <w:lvlJc w:val="left"/>
      <w:pPr>
        <w:ind w:left="2120" w:hanging="435"/>
      </w:pPr>
    </w:lvl>
    <w:lvl w:ilvl="4">
      <w:numFmt w:val="bullet"/>
      <w:lvlText w:val="•"/>
      <w:lvlJc w:val="left"/>
      <w:pPr>
        <w:ind w:left="2522" w:hanging="435"/>
      </w:pPr>
    </w:lvl>
    <w:lvl w:ilvl="5">
      <w:numFmt w:val="bullet"/>
      <w:lvlText w:val="•"/>
      <w:lvlJc w:val="left"/>
      <w:pPr>
        <w:ind w:left="2923" w:hanging="435"/>
      </w:pPr>
    </w:lvl>
    <w:lvl w:ilvl="6">
      <w:numFmt w:val="bullet"/>
      <w:lvlText w:val="•"/>
      <w:lvlJc w:val="left"/>
      <w:pPr>
        <w:ind w:left="3325" w:hanging="435"/>
      </w:pPr>
    </w:lvl>
    <w:lvl w:ilvl="7">
      <w:numFmt w:val="bullet"/>
      <w:lvlText w:val="•"/>
      <w:lvlJc w:val="left"/>
      <w:pPr>
        <w:ind w:left="3726" w:hanging="435"/>
      </w:pPr>
    </w:lvl>
    <w:lvl w:ilvl="8">
      <w:numFmt w:val="bullet"/>
      <w:lvlText w:val="•"/>
      <w:lvlJc w:val="left"/>
      <w:pPr>
        <w:ind w:left="4128" w:hanging="435"/>
      </w:pPr>
    </w:lvl>
  </w:abstractNum>
  <w:abstractNum w:abstractNumId="3" w15:restartNumberingAfterBreak="0">
    <w:nsid w:val="01391FE2"/>
    <w:multiLevelType w:val="hybridMultilevel"/>
    <w:tmpl w:val="8E2E052C"/>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3824D40"/>
    <w:multiLevelType w:val="hybridMultilevel"/>
    <w:tmpl w:val="B78891E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CD7889"/>
    <w:multiLevelType w:val="hybridMultilevel"/>
    <w:tmpl w:val="08AAA102"/>
    <w:lvl w:ilvl="0" w:tplc="79C63DB8">
      <w:start w:val="1"/>
      <w:numFmt w:val="decimal"/>
      <w:lvlText w:val="%1."/>
      <w:lvlJc w:val="left"/>
      <w:pPr>
        <w:ind w:left="928"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542809"/>
    <w:multiLevelType w:val="hybridMultilevel"/>
    <w:tmpl w:val="1E62E342"/>
    <w:lvl w:ilvl="0" w:tplc="0C090005">
      <w:start w:val="1"/>
      <w:numFmt w:val="bullet"/>
      <w:lvlText w:val=""/>
      <w:lvlJc w:val="left"/>
      <w:pPr>
        <w:ind w:left="786" w:hanging="360"/>
      </w:pPr>
      <w:rPr>
        <w:rFonts w:ascii="Wingdings" w:hAnsi="Wingdings" w:hint="default"/>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1E0D0090"/>
    <w:multiLevelType w:val="hybridMultilevel"/>
    <w:tmpl w:val="6AEA23A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47713BC"/>
    <w:multiLevelType w:val="hybridMultilevel"/>
    <w:tmpl w:val="6B64542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27E35CA4"/>
    <w:multiLevelType w:val="hybridMultilevel"/>
    <w:tmpl w:val="78CEDAF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F02D54"/>
    <w:multiLevelType w:val="hybridMultilevel"/>
    <w:tmpl w:val="56C8D22A"/>
    <w:lvl w:ilvl="0" w:tplc="0C090019">
      <w:start w:val="1"/>
      <w:numFmt w:val="lowerLetter"/>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14" w15:restartNumberingAfterBreak="0">
    <w:nsid w:val="2DC52B33"/>
    <w:multiLevelType w:val="hybridMultilevel"/>
    <w:tmpl w:val="FF96A4E6"/>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358F73FD"/>
    <w:multiLevelType w:val="hybridMultilevel"/>
    <w:tmpl w:val="F5E85D3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8"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7A70646"/>
    <w:multiLevelType w:val="hybridMultilevel"/>
    <w:tmpl w:val="B1D4B72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C455F2"/>
    <w:multiLevelType w:val="hybridMultilevel"/>
    <w:tmpl w:val="EBE673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15:restartNumberingAfterBreak="0">
    <w:nsid w:val="49A27D9B"/>
    <w:multiLevelType w:val="hybridMultilevel"/>
    <w:tmpl w:val="E1E25F4C"/>
    <w:lvl w:ilvl="0" w:tplc="0C090005">
      <w:start w:val="1"/>
      <w:numFmt w:val="bullet"/>
      <w:lvlText w:val=""/>
      <w:lvlJc w:val="left"/>
      <w:pPr>
        <w:ind w:left="1264" w:hanging="360"/>
      </w:pPr>
      <w:rPr>
        <w:rFonts w:ascii="Wingdings" w:hAnsi="Wingdings" w:hint="default"/>
      </w:rPr>
    </w:lvl>
    <w:lvl w:ilvl="1" w:tplc="0C090003" w:tentative="1">
      <w:start w:val="1"/>
      <w:numFmt w:val="bullet"/>
      <w:lvlText w:val="o"/>
      <w:lvlJc w:val="left"/>
      <w:pPr>
        <w:ind w:left="1984" w:hanging="360"/>
      </w:pPr>
      <w:rPr>
        <w:rFonts w:ascii="Courier New" w:hAnsi="Courier New" w:cs="Courier New" w:hint="default"/>
      </w:rPr>
    </w:lvl>
    <w:lvl w:ilvl="2" w:tplc="0C090005" w:tentative="1">
      <w:start w:val="1"/>
      <w:numFmt w:val="bullet"/>
      <w:lvlText w:val=""/>
      <w:lvlJc w:val="left"/>
      <w:pPr>
        <w:ind w:left="2704" w:hanging="360"/>
      </w:pPr>
      <w:rPr>
        <w:rFonts w:ascii="Wingdings" w:hAnsi="Wingdings" w:hint="default"/>
      </w:rPr>
    </w:lvl>
    <w:lvl w:ilvl="3" w:tplc="0C090001" w:tentative="1">
      <w:start w:val="1"/>
      <w:numFmt w:val="bullet"/>
      <w:lvlText w:val=""/>
      <w:lvlJc w:val="left"/>
      <w:pPr>
        <w:ind w:left="3424" w:hanging="360"/>
      </w:pPr>
      <w:rPr>
        <w:rFonts w:ascii="Symbol" w:hAnsi="Symbol" w:hint="default"/>
      </w:rPr>
    </w:lvl>
    <w:lvl w:ilvl="4" w:tplc="0C090003" w:tentative="1">
      <w:start w:val="1"/>
      <w:numFmt w:val="bullet"/>
      <w:lvlText w:val="o"/>
      <w:lvlJc w:val="left"/>
      <w:pPr>
        <w:ind w:left="4144" w:hanging="360"/>
      </w:pPr>
      <w:rPr>
        <w:rFonts w:ascii="Courier New" w:hAnsi="Courier New" w:cs="Courier New" w:hint="default"/>
      </w:rPr>
    </w:lvl>
    <w:lvl w:ilvl="5" w:tplc="0C090005" w:tentative="1">
      <w:start w:val="1"/>
      <w:numFmt w:val="bullet"/>
      <w:lvlText w:val=""/>
      <w:lvlJc w:val="left"/>
      <w:pPr>
        <w:ind w:left="4864" w:hanging="360"/>
      </w:pPr>
      <w:rPr>
        <w:rFonts w:ascii="Wingdings" w:hAnsi="Wingdings" w:hint="default"/>
      </w:rPr>
    </w:lvl>
    <w:lvl w:ilvl="6" w:tplc="0C090001" w:tentative="1">
      <w:start w:val="1"/>
      <w:numFmt w:val="bullet"/>
      <w:lvlText w:val=""/>
      <w:lvlJc w:val="left"/>
      <w:pPr>
        <w:ind w:left="5584" w:hanging="360"/>
      </w:pPr>
      <w:rPr>
        <w:rFonts w:ascii="Symbol" w:hAnsi="Symbol" w:hint="default"/>
      </w:rPr>
    </w:lvl>
    <w:lvl w:ilvl="7" w:tplc="0C090003" w:tentative="1">
      <w:start w:val="1"/>
      <w:numFmt w:val="bullet"/>
      <w:lvlText w:val="o"/>
      <w:lvlJc w:val="left"/>
      <w:pPr>
        <w:ind w:left="6304" w:hanging="360"/>
      </w:pPr>
      <w:rPr>
        <w:rFonts w:ascii="Courier New" w:hAnsi="Courier New" w:cs="Courier New" w:hint="default"/>
      </w:rPr>
    </w:lvl>
    <w:lvl w:ilvl="8" w:tplc="0C090005" w:tentative="1">
      <w:start w:val="1"/>
      <w:numFmt w:val="bullet"/>
      <w:lvlText w:val=""/>
      <w:lvlJc w:val="left"/>
      <w:pPr>
        <w:ind w:left="7024" w:hanging="360"/>
      </w:pPr>
      <w:rPr>
        <w:rFonts w:ascii="Wingdings" w:hAnsi="Wingdings" w:hint="default"/>
      </w:rPr>
    </w:lvl>
  </w:abstractNum>
  <w:abstractNum w:abstractNumId="23" w15:restartNumberingAfterBreak="0">
    <w:nsid w:val="4B1354E5"/>
    <w:multiLevelType w:val="hybridMultilevel"/>
    <w:tmpl w:val="293EB662"/>
    <w:lvl w:ilvl="0" w:tplc="0C090005">
      <w:start w:val="1"/>
      <w:numFmt w:val="bullet"/>
      <w:lvlText w:val=""/>
      <w:lvlJc w:val="left"/>
      <w:pPr>
        <w:ind w:left="1212" w:hanging="360"/>
      </w:pPr>
      <w:rPr>
        <w:rFonts w:ascii="Wingdings" w:hAnsi="Wingding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24" w15:restartNumberingAfterBreak="0">
    <w:nsid w:val="53330DB1"/>
    <w:multiLevelType w:val="hybridMultilevel"/>
    <w:tmpl w:val="CE146D3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260431"/>
    <w:multiLevelType w:val="hybridMultilevel"/>
    <w:tmpl w:val="F42CFECE"/>
    <w:lvl w:ilvl="0" w:tplc="0C090005">
      <w:start w:val="1"/>
      <w:numFmt w:val="bullet"/>
      <w:lvlText w:val=""/>
      <w:lvlJc w:val="left"/>
      <w:pPr>
        <w:ind w:left="362" w:hanging="360"/>
      </w:pPr>
      <w:rPr>
        <w:rFonts w:ascii="Wingdings" w:hAnsi="Wingdings" w:hint="default"/>
      </w:rPr>
    </w:lvl>
    <w:lvl w:ilvl="1" w:tplc="0C090003" w:tentative="1">
      <w:start w:val="1"/>
      <w:numFmt w:val="bullet"/>
      <w:lvlText w:val="o"/>
      <w:lvlJc w:val="left"/>
      <w:pPr>
        <w:ind w:left="1082" w:hanging="360"/>
      </w:pPr>
      <w:rPr>
        <w:rFonts w:ascii="Courier New" w:hAnsi="Courier New" w:cs="Courier New" w:hint="default"/>
      </w:rPr>
    </w:lvl>
    <w:lvl w:ilvl="2" w:tplc="0C090005" w:tentative="1">
      <w:start w:val="1"/>
      <w:numFmt w:val="bullet"/>
      <w:lvlText w:val=""/>
      <w:lvlJc w:val="left"/>
      <w:pPr>
        <w:ind w:left="1802" w:hanging="360"/>
      </w:pPr>
      <w:rPr>
        <w:rFonts w:ascii="Wingdings" w:hAnsi="Wingdings" w:hint="default"/>
      </w:rPr>
    </w:lvl>
    <w:lvl w:ilvl="3" w:tplc="0C090001" w:tentative="1">
      <w:start w:val="1"/>
      <w:numFmt w:val="bullet"/>
      <w:lvlText w:val=""/>
      <w:lvlJc w:val="left"/>
      <w:pPr>
        <w:ind w:left="2522" w:hanging="360"/>
      </w:pPr>
      <w:rPr>
        <w:rFonts w:ascii="Symbol" w:hAnsi="Symbol" w:hint="default"/>
      </w:rPr>
    </w:lvl>
    <w:lvl w:ilvl="4" w:tplc="0C090003" w:tentative="1">
      <w:start w:val="1"/>
      <w:numFmt w:val="bullet"/>
      <w:lvlText w:val="o"/>
      <w:lvlJc w:val="left"/>
      <w:pPr>
        <w:ind w:left="3242" w:hanging="360"/>
      </w:pPr>
      <w:rPr>
        <w:rFonts w:ascii="Courier New" w:hAnsi="Courier New" w:cs="Courier New" w:hint="default"/>
      </w:rPr>
    </w:lvl>
    <w:lvl w:ilvl="5" w:tplc="0C090005" w:tentative="1">
      <w:start w:val="1"/>
      <w:numFmt w:val="bullet"/>
      <w:lvlText w:val=""/>
      <w:lvlJc w:val="left"/>
      <w:pPr>
        <w:ind w:left="3962" w:hanging="360"/>
      </w:pPr>
      <w:rPr>
        <w:rFonts w:ascii="Wingdings" w:hAnsi="Wingdings" w:hint="default"/>
      </w:rPr>
    </w:lvl>
    <w:lvl w:ilvl="6" w:tplc="0C090001" w:tentative="1">
      <w:start w:val="1"/>
      <w:numFmt w:val="bullet"/>
      <w:lvlText w:val=""/>
      <w:lvlJc w:val="left"/>
      <w:pPr>
        <w:ind w:left="4682" w:hanging="360"/>
      </w:pPr>
      <w:rPr>
        <w:rFonts w:ascii="Symbol" w:hAnsi="Symbol" w:hint="default"/>
      </w:rPr>
    </w:lvl>
    <w:lvl w:ilvl="7" w:tplc="0C090003" w:tentative="1">
      <w:start w:val="1"/>
      <w:numFmt w:val="bullet"/>
      <w:lvlText w:val="o"/>
      <w:lvlJc w:val="left"/>
      <w:pPr>
        <w:ind w:left="5402" w:hanging="360"/>
      </w:pPr>
      <w:rPr>
        <w:rFonts w:ascii="Courier New" w:hAnsi="Courier New" w:cs="Courier New" w:hint="default"/>
      </w:rPr>
    </w:lvl>
    <w:lvl w:ilvl="8" w:tplc="0C090005" w:tentative="1">
      <w:start w:val="1"/>
      <w:numFmt w:val="bullet"/>
      <w:lvlText w:val=""/>
      <w:lvlJc w:val="left"/>
      <w:pPr>
        <w:ind w:left="6122" w:hanging="360"/>
      </w:pPr>
      <w:rPr>
        <w:rFonts w:ascii="Wingdings" w:hAnsi="Wingdings" w:hint="default"/>
      </w:rPr>
    </w:lvl>
  </w:abstractNum>
  <w:abstractNum w:abstractNumId="26" w15:restartNumberingAfterBreak="0">
    <w:nsid w:val="58417182"/>
    <w:multiLevelType w:val="multilevel"/>
    <w:tmpl w:val="65B4464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EA22C98"/>
    <w:multiLevelType w:val="hybridMultilevel"/>
    <w:tmpl w:val="149ABCAC"/>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8"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E1E7E"/>
    <w:multiLevelType w:val="hybridMultilevel"/>
    <w:tmpl w:val="F4F2A3FE"/>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1"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EF4991"/>
    <w:multiLevelType w:val="hybridMultilevel"/>
    <w:tmpl w:val="EDDE112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4" w15:restartNumberingAfterBreak="0">
    <w:nsid w:val="72527366"/>
    <w:multiLevelType w:val="hybridMultilevel"/>
    <w:tmpl w:val="FB06D3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35" w15:restartNumberingAfterBreak="0">
    <w:nsid w:val="72981098"/>
    <w:multiLevelType w:val="hybridMultilevel"/>
    <w:tmpl w:val="A3D47A22"/>
    <w:lvl w:ilvl="0" w:tplc="0C090009">
      <w:start w:val="1"/>
      <w:numFmt w:val="bullet"/>
      <w:lvlText w:val=""/>
      <w:lvlJc w:val="left"/>
      <w:pPr>
        <w:ind w:left="915" w:hanging="360"/>
      </w:pPr>
      <w:rPr>
        <w:rFonts w:ascii="Wingdings" w:hAnsi="Wingdings" w:hint="default"/>
      </w:rPr>
    </w:lvl>
    <w:lvl w:ilvl="1" w:tplc="0C090003" w:tentative="1">
      <w:start w:val="1"/>
      <w:numFmt w:val="bullet"/>
      <w:lvlText w:val="o"/>
      <w:lvlJc w:val="left"/>
      <w:pPr>
        <w:ind w:left="1635" w:hanging="360"/>
      </w:pPr>
      <w:rPr>
        <w:rFonts w:ascii="Courier New" w:hAnsi="Courier New" w:cs="Courier New" w:hint="default"/>
      </w:rPr>
    </w:lvl>
    <w:lvl w:ilvl="2" w:tplc="0C090005" w:tentative="1">
      <w:start w:val="1"/>
      <w:numFmt w:val="bullet"/>
      <w:lvlText w:val=""/>
      <w:lvlJc w:val="left"/>
      <w:pPr>
        <w:ind w:left="2355" w:hanging="360"/>
      </w:pPr>
      <w:rPr>
        <w:rFonts w:ascii="Wingdings" w:hAnsi="Wingdings" w:hint="default"/>
      </w:rPr>
    </w:lvl>
    <w:lvl w:ilvl="3" w:tplc="0C090001" w:tentative="1">
      <w:start w:val="1"/>
      <w:numFmt w:val="bullet"/>
      <w:lvlText w:val=""/>
      <w:lvlJc w:val="left"/>
      <w:pPr>
        <w:ind w:left="3075" w:hanging="360"/>
      </w:pPr>
      <w:rPr>
        <w:rFonts w:ascii="Symbol" w:hAnsi="Symbol" w:hint="default"/>
      </w:rPr>
    </w:lvl>
    <w:lvl w:ilvl="4" w:tplc="0C090003" w:tentative="1">
      <w:start w:val="1"/>
      <w:numFmt w:val="bullet"/>
      <w:lvlText w:val="o"/>
      <w:lvlJc w:val="left"/>
      <w:pPr>
        <w:ind w:left="3795" w:hanging="360"/>
      </w:pPr>
      <w:rPr>
        <w:rFonts w:ascii="Courier New" w:hAnsi="Courier New" w:cs="Courier New" w:hint="default"/>
      </w:rPr>
    </w:lvl>
    <w:lvl w:ilvl="5" w:tplc="0C090005" w:tentative="1">
      <w:start w:val="1"/>
      <w:numFmt w:val="bullet"/>
      <w:lvlText w:val=""/>
      <w:lvlJc w:val="left"/>
      <w:pPr>
        <w:ind w:left="4515" w:hanging="360"/>
      </w:pPr>
      <w:rPr>
        <w:rFonts w:ascii="Wingdings" w:hAnsi="Wingdings" w:hint="default"/>
      </w:rPr>
    </w:lvl>
    <w:lvl w:ilvl="6" w:tplc="0C090001" w:tentative="1">
      <w:start w:val="1"/>
      <w:numFmt w:val="bullet"/>
      <w:lvlText w:val=""/>
      <w:lvlJc w:val="left"/>
      <w:pPr>
        <w:ind w:left="5235" w:hanging="360"/>
      </w:pPr>
      <w:rPr>
        <w:rFonts w:ascii="Symbol" w:hAnsi="Symbol" w:hint="default"/>
      </w:rPr>
    </w:lvl>
    <w:lvl w:ilvl="7" w:tplc="0C090003" w:tentative="1">
      <w:start w:val="1"/>
      <w:numFmt w:val="bullet"/>
      <w:lvlText w:val="o"/>
      <w:lvlJc w:val="left"/>
      <w:pPr>
        <w:ind w:left="5955" w:hanging="360"/>
      </w:pPr>
      <w:rPr>
        <w:rFonts w:ascii="Courier New" w:hAnsi="Courier New" w:cs="Courier New" w:hint="default"/>
      </w:rPr>
    </w:lvl>
    <w:lvl w:ilvl="8" w:tplc="0C090005" w:tentative="1">
      <w:start w:val="1"/>
      <w:numFmt w:val="bullet"/>
      <w:lvlText w:val=""/>
      <w:lvlJc w:val="left"/>
      <w:pPr>
        <w:ind w:left="6675" w:hanging="360"/>
      </w:pPr>
      <w:rPr>
        <w:rFonts w:ascii="Wingdings" w:hAnsi="Wingdings" w:hint="default"/>
      </w:rPr>
    </w:lvl>
  </w:abstractNum>
  <w:abstractNum w:abstractNumId="36" w15:restartNumberingAfterBreak="0">
    <w:nsid w:val="737A679F"/>
    <w:multiLevelType w:val="hybridMultilevel"/>
    <w:tmpl w:val="F274F2D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7" w15:restartNumberingAfterBreak="0">
    <w:nsid w:val="7D765C33"/>
    <w:multiLevelType w:val="hybridMultilevel"/>
    <w:tmpl w:val="CC323C92"/>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17"/>
  </w:num>
  <w:num w:numId="4">
    <w:abstractNumId w:val="26"/>
  </w:num>
  <w:num w:numId="5">
    <w:abstractNumId w:val="31"/>
  </w:num>
  <w:num w:numId="6">
    <w:abstractNumId w:val="5"/>
  </w:num>
  <w:num w:numId="7">
    <w:abstractNumId w:val="19"/>
  </w:num>
  <w:num w:numId="8">
    <w:abstractNumId w:val="32"/>
  </w:num>
  <w:num w:numId="9">
    <w:abstractNumId w:val="18"/>
  </w:num>
  <w:num w:numId="10">
    <w:abstractNumId w:val="29"/>
  </w:num>
  <w:num w:numId="11">
    <w:abstractNumId w:val="28"/>
  </w:num>
  <w:num w:numId="12">
    <w:abstractNumId w:val="16"/>
  </w:num>
  <w:num w:numId="13">
    <w:abstractNumId w:val="12"/>
  </w:num>
  <w:num w:numId="14">
    <w:abstractNumId w:val="9"/>
  </w:num>
  <w:num w:numId="15">
    <w:abstractNumId w:val="35"/>
  </w:num>
  <w:num w:numId="16">
    <w:abstractNumId w:val="15"/>
  </w:num>
  <w:num w:numId="17">
    <w:abstractNumId w:val="2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11"/>
  </w:num>
  <w:num w:numId="22">
    <w:abstractNumId w:val="7"/>
  </w:num>
  <w:num w:numId="23">
    <w:abstractNumId w:val="8"/>
  </w:num>
  <w:num w:numId="24">
    <w:abstractNumId w:val="37"/>
  </w:num>
  <w:num w:numId="25">
    <w:abstractNumId w:val="10"/>
  </w:num>
  <w:num w:numId="26">
    <w:abstractNumId w:val="4"/>
  </w:num>
  <w:num w:numId="27">
    <w:abstractNumId w:val="30"/>
  </w:num>
  <w:num w:numId="28">
    <w:abstractNumId w:val="14"/>
  </w:num>
  <w:num w:numId="29">
    <w:abstractNumId w:val="36"/>
  </w:num>
  <w:num w:numId="30">
    <w:abstractNumId w:val="33"/>
  </w:num>
  <w:num w:numId="31">
    <w:abstractNumId w:val="25"/>
  </w:num>
  <w:num w:numId="32">
    <w:abstractNumId w:val="23"/>
  </w:num>
  <w:num w:numId="33">
    <w:abstractNumId w:val="20"/>
  </w:num>
  <w:num w:numId="34">
    <w:abstractNumId w:val="13"/>
  </w:num>
  <w:num w:numId="35">
    <w:abstractNumId w:val="22"/>
  </w:num>
  <w:num w:numId="36">
    <w:abstractNumId w:val="2"/>
  </w:num>
  <w:num w:numId="37">
    <w:abstractNumId w:val="34"/>
  </w:num>
  <w:num w:numId="38">
    <w:abstractNumId w:val="27"/>
  </w:num>
  <w:num w:numId="39">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C13"/>
    <w:rsid w:val="00003A66"/>
    <w:rsid w:val="00020F03"/>
    <w:rsid w:val="00031674"/>
    <w:rsid w:val="000328C4"/>
    <w:rsid w:val="00036F11"/>
    <w:rsid w:val="0005333D"/>
    <w:rsid w:val="000560D8"/>
    <w:rsid w:val="00063F99"/>
    <w:rsid w:val="00066679"/>
    <w:rsid w:val="00067E81"/>
    <w:rsid w:val="000823CA"/>
    <w:rsid w:val="000846C2"/>
    <w:rsid w:val="00086CB5"/>
    <w:rsid w:val="00090E16"/>
    <w:rsid w:val="00094AE4"/>
    <w:rsid w:val="0009582D"/>
    <w:rsid w:val="000A04F8"/>
    <w:rsid w:val="000B48DD"/>
    <w:rsid w:val="000D159E"/>
    <w:rsid w:val="000E3A0D"/>
    <w:rsid w:val="000E7679"/>
    <w:rsid w:val="000F1D88"/>
    <w:rsid w:val="000F239E"/>
    <w:rsid w:val="0010190F"/>
    <w:rsid w:val="001077CA"/>
    <w:rsid w:val="00112C95"/>
    <w:rsid w:val="00112F67"/>
    <w:rsid w:val="001164FB"/>
    <w:rsid w:val="00155324"/>
    <w:rsid w:val="00155A7F"/>
    <w:rsid w:val="001623FF"/>
    <w:rsid w:val="001647D2"/>
    <w:rsid w:val="00173603"/>
    <w:rsid w:val="00174DBA"/>
    <w:rsid w:val="00182347"/>
    <w:rsid w:val="00182877"/>
    <w:rsid w:val="001872C8"/>
    <w:rsid w:val="00190B53"/>
    <w:rsid w:val="001913E6"/>
    <w:rsid w:val="00195D9D"/>
    <w:rsid w:val="001A3541"/>
    <w:rsid w:val="001A5BA1"/>
    <w:rsid w:val="001B0A13"/>
    <w:rsid w:val="001B1BC4"/>
    <w:rsid w:val="001B32F2"/>
    <w:rsid w:val="001C2010"/>
    <w:rsid w:val="001C24E3"/>
    <w:rsid w:val="001C2C39"/>
    <w:rsid w:val="001C5257"/>
    <w:rsid w:val="001E1E6B"/>
    <w:rsid w:val="001F1382"/>
    <w:rsid w:val="001F1F36"/>
    <w:rsid w:val="001F67B0"/>
    <w:rsid w:val="002133FA"/>
    <w:rsid w:val="0021568E"/>
    <w:rsid w:val="0022316E"/>
    <w:rsid w:val="00232356"/>
    <w:rsid w:val="0023316D"/>
    <w:rsid w:val="00235BA1"/>
    <w:rsid w:val="002429F0"/>
    <w:rsid w:val="00242B6F"/>
    <w:rsid w:val="002456C1"/>
    <w:rsid w:val="00246774"/>
    <w:rsid w:val="00267E21"/>
    <w:rsid w:val="002747B8"/>
    <w:rsid w:val="00275405"/>
    <w:rsid w:val="00286376"/>
    <w:rsid w:val="00292868"/>
    <w:rsid w:val="002960A6"/>
    <w:rsid w:val="002B576E"/>
    <w:rsid w:val="002C47FB"/>
    <w:rsid w:val="002D2052"/>
    <w:rsid w:val="002D4DBE"/>
    <w:rsid w:val="002F3D96"/>
    <w:rsid w:val="002F6C83"/>
    <w:rsid w:val="003174C2"/>
    <w:rsid w:val="00320702"/>
    <w:rsid w:val="003255A0"/>
    <w:rsid w:val="00326734"/>
    <w:rsid w:val="00343B24"/>
    <w:rsid w:val="00375306"/>
    <w:rsid w:val="003769B3"/>
    <w:rsid w:val="0038205B"/>
    <w:rsid w:val="0038444A"/>
    <w:rsid w:val="003A1BDA"/>
    <w:rsid w:val="003A4010"/>
    <w:rsid w:val="003B097A"/>
    <w:rsid w:val="003C6944"/>
    <w:rsid w:val="003D1153"/>
    <w:rsid w:val="003D6CD1"/>
    <w:rsid w:val="003F4FB9"/>
    <w:rsid w:val="003F6C05"/>
    <w:rsid w:val="0041095E"/>
    <w:rsid w:val="00412E5A"/>
    <w:rsid w:val="00414EA9"/>
    <w:rsid w:val="00456280"/>
    <w:rsid w:val="00460484"/>
    <w:rsid w:val="00463389"/>
    <w:rsid w:val="00477816"/>
    <w:rsid w:val="00477A83"/>
    <w:rsid w:val="004844E5"/>
    <w:rsid w:val="0048575B"/>
    <w:rsid w:val="00485B44"/>
    <w:rsid w:val="0049115E"/>
    <w:rsid w:val="004B3CDB"/>
    <w:rsid w:val="004B3FEC"/>
    <w:rsid w:val="004B4C13"/>
    <w:rsid w:val="004B7D95"/>
    <w:rsid w:val="004C7E5A"/>
    <w:rsid w:val="004E4DF1"/>
    <w:rsid w:val="004E4FC4"/>
    <w:rsid w:val="004F0E43"/>
    <w:rsid w:val="004F71DD"/>
    <w:rsid w:val="005010EA"/>
    <w:rsid w:val="00513404"/>
    <w:rsid w:val="00516D4F"/>
    <w:rsid w:val="0052515F"/>
    <w:rsid w:val="00556473"/>
    <w:rsid w:val="005612E3"/>
    <w:rsid w:val="0057392D"/>
    <w:rsid w:val="00590F5D"/>
    <w:rsid w:val="005B2A0F"/>
    <w:rsid w:val="005B3E2B"/>
    <w:rsid w:val="005B6284"/>
    <w:rsid w:val="005C13CF"/>
    <w:rsid w:val="005C1DAB"/>
    <w:rsid w:val="005C3779"/>
    <w:rsid w:val="005D3D34"/>
    <w:rsid w:val="005E1351"/>
    <w:rsid w:val="005F6A82"/>
    <w:rsid w:val="00603F6E"/>
    <w:rsid w:val="00621CB5"/>
    <w:rsid w:val="0062491E"/>
    <w:rsid w:val="006251AB"/>
    <w:rsid w:val="0063699B"/>
    <w:rsid w:val="0064743D"/>
    <w:rsid w:val="006571E2"/>
    <w:rsid w:val="00663069"/>
    <w:rsid w:val="00665EEA"/>
    <w:rsid w:val="0066792B"/>
    <w:rsid w:val="00686874"/>
    <w:rsid w:val="00692F72"/>
    <w:rsid w:val="0069667B"/>
    <w:rsid w:val="006A36FE"/>
    <w:rsid w:val="006B1000"/>
    <w:rsid w:val="006C27D4"/>
    <w:rsid w:val="006C4386"/>
    <w:rsid w:val="006D582B"/>
    <w:rsid w:val="006D7AF1"/>
    <w:rsid w:val="006E142A"/>
    <w:rsid w:val="006F369D"/>
    <w:rsid w:val="006F5BF7"/>
    <w:rsid w:val="00707C7C"/>
    <w:rsid w:val="00715A3B"/>
    <w:rsid w:val="007165FF"/>
    <w:rsid w:val="00716648"/>
    <w:rsid w:val="00722270"/>
    <w:rsid w:val="0072454E"/>
    <w:rsid w:val="007253A7"/>
    <w:rsid w:val="007336DD"/>
    <w:rsid w:val="00741B89"/>
    <w:rsid w:val="00763FE7"/>
    <w:rsid w:val="007663C8"/>
    <w:rsid w:val="00771AFA"/>
    <w:rsid w:val="00774571"/>
    <w:rsid w:val="0078639B"/>
    <w:rsid w:val="00793D14"/>
    <w:rsid w:val="00795ECB"/>
    <w:rsid w:val="007A515A"/>
    <w:rsid w:val="007B1526"/>
    <w:rsid w:val="007C1A21"/>
    <w:rsid w:val="007C3F12"/>
    <w:rsid w:val="007C6313"/>
    <w:rsid w:val="007C6353"/>
    <w:rsid w:val="007F7169"/>
    <w:rsid w:val="00802314"/>
    <w:rsid w:val="00811F8C"/>
    <w:rsid w:val="008150EC"/>
    <w:rsid w:val="00831B69"/>
    <w:rsid w:val="00842507"/>
    <w:rsid w:val="008506B0"/>
    <w:rsid w:val="008622C2"/>
    <w:rsid w:val="00863247"/>
    <w:rsid w:val="00866191"/>
    <w:rsid w:val="00876D59"/>
    <w:rsid w:val="008823AA"/>
    <w:rsid w:val="00883EAC"/>
    <w:rsid w:val="008A19EA"/>
    <w:rsid w:val="008B3273"/>
    <w:rsid w:val="008B5D98"/>
    <w:rsid w:val="008C149B"/>
    <w:rsid w:val="008C1729"/>
    <w:rsid w:val="008D2561"/>
    <w:rsid w:val="008D7556"/>
    <w:rsid w:val="008E5259"/>
    <w:rsid w:val="008E72C2"/>
    <w:rsid w:val="008F065F"/>
    <w:rsid w:val="008F2B56"/>
    <w:rsid w:val="00913FDE"/>
    <w:rsid w:val="00933BDB"/>
    <w:rsid w:val="00935A89"/>
    <w:rsid w:val="00937E07"/>
    <w:rsid w:val="009402BF"/>
    <w:rsid w:val="00941A74"/>
    <w:rsid w:val="0096003D"/>
    <w:rsid w:val="0097419B"/>
    <w:rsid w:val="00990F6D"/>
    <w:rsid w:val="00995A1E"/>
    <w:rsid w:val="009A2FA8"/>
    <w:rsid w:val="009B7CCE"/>
    <w:rsid w:val="009C6A8B"/>
    <w:rsid w:val="009D47AC"/>
    <w:rsid w:val="009D6203"/>
    <w:rsid w:val="009F1081"/>
    <w:rsid w:val="009F62FC"/>
    <w:rsid w:val="00A020C5"/>
    <w:rsid w:val="00A11D6B"/>
    <w:rsid w:val="00A133B4"/>
    <w:rsid w:val="00A211ED"/>
    <w:rsid w:val="00A23478"/>
    <w:rsid w:val="00A26D72"/>
    <w:rsid w:val="00A37C53"/>
    <w:rsid w:val="00A438B8"/>
    <w:rsid w:val="00A46021"/>
    <w:rsid w:val="00A67D83"/>
    <w:rsid w:val="00A759D3"/>
    <w:rsid w:val="00A81388"/>
    <w:rsid w:val="00A872A5"/>
    <w:rsid w:val="00A87A33"/>
    <w:rsid w:val="00A9268A"/>
    <w:rsid w:val="00AA05C4"/>
    <w:rsid w:val="00AA5D8E"/>
    <w:rsid w:val="00AC1412"/>
    <w:rsid w:val="00AC2AD1"/>
    <w:rsid w:val="00AC3065"/>
    <w:rsid w:val="00AC4EDD"/>
    <w:rsid w:val="00AC5FB6"/>
    <w:rsid w:val="00AE2D1B"/>
    <w:rsid w:val="00AE59AA"/>
    <w:rsid w:val="00AF44A8"/>
    <w:rsid w:val="00B0265F"/>
    <w:rsid w:val="00B027D5"/>
    <w:rsid w:val="00B03CE1"/>
    <w:rsid w:val="00B07FF8"/>
    <w:rsid w:val="00B16287"/>
    <w:rsid w:val="00B20857"/>
    <w:rsid w:val="00B23A64"/>
    <w:rsid w:val="00B3033E"/>
    <w:rsid w:val="00B4204F"/>
    <w:rsid w:val="00B43B82"/>
    <w:rsid w:val="00B47546"/>
    <w:rsid w:val="00B5315D"/>
    <w:rsid w:val="00B633DB"/>
    <w:rsid w:val="00B84249"/>
    <w:rsid w:val="00B865B3"/>
    <w:rsid w:val="00BC008D"/>
    <w:rsid w:val="00BC2C0A"/>
    <w:rsid w:val="00BC4523"/>
    <w:rsid w:val="00BC625F"/>
    <w:rsid w:val="00BD343F"/>
    <w:rsid w:val="00BD6443"/>
    <w:rsid w:val="00BE0AAA"/>
    <w:rsid w:val="00BE4FE7"/>
    <w:rsid w:val="00BE619E"/>
    <w:rsid w:val="00C215C6"/>
    <w:rsid w:val="00C23039"/>
    <w:rsid w:val="00C2767E"/>
    <w:rsid w:val="00C37C10"/>
    <w:rsid w:val="00C435BF"/>
    <w:rsid w:val="00C465D6"/>
    <w:rsid w:val="00C53FF7"/>
    <w:rsid w:val="00C57284"/>
    <w:rsid w:val="00C72A28"/>
    <w:rsid w:val="00C72D79"/>
    <w:rsid w:val="00C75338"/>
    <w:rsid w:val="00C96DB4"/>
    <w:rsid w:val="00CA3B7A"/>
    <w:rsid w:val="00CA6D4C"/>
    <w:rsid w:val="00CA6F57"/>
    <w:rsid w:val="00CB09DD"/>
    <w:rsid w:val="00CB1479"/>
    <w:rsid w:val="00CC1C0D"/>
    <w:rsid w:val="00CD2696"/>
    <w:rsid w:val="00CE21E2"/>
    <w:rsid w:val="00CF5B81"/>
    <w:rsid w:val="00CF7AE1"/>
    <w:rsid w:val="00D00BD1"/>
    <w:rsid w:val="00D11054"/>
    <w:rsid w:val="00D243E2"/>
    <w:rsid w:val="00D25AFC"/>
    <w:rsid w:val="00D30404"/>
    <w:rsid w:val="00D37927"/>
    <w:rsid w:val="00D40F26"/>
    <w:rsid w:val="00D431A6"/>
    <w:rsid w:val="00D62B3C"/>
    <w:rsid w:val="00D63AF8"/>
    <w:rsid w:val="00D71545"/>
    <w:rsid w:val="00D72768"/>
    <w:rsid w:val="00D83414"/>
    <w:rsid w:val="00D9117E"/>
    <w:rsid w:val="00D9196B"/>
    <w:rsid w:val="00D95BCB"/>
    <w:rsid w:val="00DA0598"/>
    <w:rsid w:val="00DA616A"/>
    <w:rsid w:val="00DC2038"/>
    <w:rsid w:val="00DC58EB"/>
    <w:rsid w:val="00DE1019"/>
    <w:rsid w:val="00E010B2"/>
    <w:rsid w:val="00E02CDF"/>
    <w:rsid w:val="00E106F8"/>
    <w:rsid w:val="00E31512"/>
    <w:rsid w:val="00E417CC"/>
    <w:rsid w:val="00E44740"/>
    <w:rsid w:val="00E44E5F"/>
    <w:rsid w:val="00E45A8D"/>
    <w:rsid w:val="00E52493"/>
    <w:rsid w:val="00E620B6"/>
    <w:rsid w:val="00E6252D"/>
    <w:rsid w:val="00E675B8"/>
    <w:rsid w:val="00E72FCC"/>
    <w:rsid w:val="00E86537"/>
    <w:rsid w:val="00E91853"/>
    <w:rsid w:val="00EC2AC8"/>
    <w:rsid w:val="00EE369B"/>
    <w:rsid w:val="00EF6EFE"/>
    <w:rsid w:val="00F0238F"/>
    <w:rsid w:val="00F07B72"/>
    <w:rsid w:val="00F07FC2"/>
    <w:rsid w:val="00F275BE"/>
    <w:rsid w:val="00F312FB"/>
    <w:rsid w:val="00F3258F"/>
    <w:rsid w:val="00F33576"/>
    <w:rsid w:val="00F5551F"/>
    <w:rsid w:val="00F56E46"/>
    <w:rsid w:val="00F657AD"/>
    <w:rsid w:val="00F74243"/>
    <w:rsid w:val="00F77E70"/>
    <w:rsid w:val="00F83FCE"/>
    <w:rsid w:val="00F905CD"/>
    <w:rsid w:val="00F9539F"/>
    <w:rsid w:val="00F95D35"/>
    <w:rsid w:val="00FB5712"/>
    <w:rsid w:val="00FE74A7"/>
    <w:rsid w:val="00FF4052"/>
    <w:rsid w:val="00FF7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15:docId w15:val="{E2D0C88F-455F-44CF-A085-0B00FCCE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5C4"/>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link w:val="Heading3Char"/>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3"/>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1"/>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uiPriority w:val="99"/>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2"/>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link w:val="ListParagraphChar"/>
    <w:uiPriority w:val="34"/>
    <w:qFormat/>
    <w:rsid w:val="001913E6"/>
    <w:pPr>
      <w:ind w:left="720"/>
      <w:contextualSpacing/>
    </w:pPr>
  </w:style>
  <w:style w:type="numbering" w:customStyle="1" w:styleId="Style1">
    <w:name w:val="Style1"/>
    <w:rsid w:val="00B027D5"/>
    <w:pPr>
      <w:numPr>
        <w:numId w:val="5"/>
      </w:numPr>
    </w:pPr>
  </w:style>
  <w:style w:type="numbering" w:customStyle="1" w:styleId="Style2">
    <w:name w:val="Style2"/>
    <w:rsid w:val="00B027D5"/>
    <w:pPr>
      <w:numPr>
        <w:numId w:val="6"/>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7"/>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8"/>
      </w:numPr>
    </w:pPr>
  </w:style>
  <w:style w:type="numbering" w:customStyle="1" w:styleId="Style5">
    <w:name w:val="Style5"/>
    <w:uiPriority w:val="99"/>
    <w:rsid w:val="00456280"/>
    <w:pPr>
      <w:numPr>
        <w:numId w:val="9"/>
      </w:numPr>
    </w:pPr>
  </w:style>
  <w:style w:type="numbering" w:customStyle="1" w:styleId="Style6">
    <w:name w:val="Style6"/>
    <w:uiPriority w:val="99"/>
    <w:rsid w:val="00456280"/>
    <w:pPr>
      <w:numPr>
        <w:numId w:val="10"/>
      </w:numPr>
    </w:pPr>
  </w:style>
  <w:style w:type="numbering" w:customStyle="1" w:styleId="Style7">
    <w:name w:val="Style7"/>
    <w:uiPriority w:val="99"/>
    <w:rsid w:val="003255A0"/>
    <w:pPr>
      <w:numPr>
        <w:numId w:val="11"/>
      </w:numPr>
    </w:pPr>
  </w:style>
  <w:style w:type="numbering" w:customStyle="1" w:styleId="Style8">
    <w:name w:val="Style8"/>
    <w:uiPriority w:val="99"/>
    <w:rsid w:val="003255A0"/>
    <w:pPr>
      <w:numPr>
        <w:numId w:val="12"/>
      </w:numPr>
    </w:pPr>
  </w:style>
  <w:style w:type="numbering" w:customStyle="1" w:styleId="Style9">
    <w:name w:val="Style9"/>
    <w:uiPriority w:val="99"/>
    <w:rsid w:val="003255A0"/>
    <w:pPr>
      <w:numPr>
        <w:numId w:val="13"/>
      </w:numPr>
    </w:pPr>
  </w:style>
  <w:style w:type="numbering" w:customStyle="1" w:styleId="Style10">
    <w:name w:val="Style10"/>
    <w:uiPriority w:val="99"/>
    <w:rsid w:val="003255A0"/>
    <w:pPr>
      <w:numPr>
        <w:numId w:val="14"/>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qFormat/>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character" w:customStyle="1" w:styleId="Heading3Char">
    <w:name w:val="Heading 3 Char"/>
    <w:basedOn w:val="DefaultParagraphFont"/>
    <w:link w:val="Heading3"/>
    <w:rsid w:val="0096003D"/>
    <w:rPr>
      <w:rFonts w:ascii="Arial (W1)" w:hAnsi="Arial (W1)" w:cs="Arial"/>
      <w:b/>
      <w:bCs/>
      <w:szCs w:val="26"/>
      <w:lang w:eastAsia="en-US"/>
    </w:rPr>
  </w:style>
  <w:style w:type="paragraph" w:styleId="BlockText">
    <w:name w:val="Block Text"/>
    <w:basedOn w:val="Normal"/>
    <w:rsid w:val="0096003D"/>
    <w:pPr>
      <w:ind w:left="720" w:right="-56"/>
    </w:pPr>
    <w:rPr>
      <w:rFonts w:cs="Arial"/>
      <w:sz w:val="24"/>
      <w:szCs w:val="20"/>
      <w:lang w:val="en-US"/>
    </w:rPr>
  </w:style>
  <w:style w:type="paragraph" w:customStyle="1" w:styleId="Default">
    <w:name w:val="Default"/>
    <w:rsid w:val="0096003D"/>
    <w:pPr>
      <w:autoSpaceDE w:val="0"/>
      <w:autoSpaceDN w:val="0"/>
      <w:adjustRightInd w:val="0"/>
    </w:pPr>
    <w:rPr>
      <w:rFonts w:ascii="Arial" w:hAnsi="Arial" w:cs="Arial"/>
      <w:color w:val="000000"/>
      <w:sz w:val="24"/>
      <w:szCs w:val="24"/>
    </w:rPr>
  </w:style>
  <w:style w:type="paragraph" w:customStyle="1" w:styleId="MediumGrid1-Accent21">
    <w:name w:val="Medium Grid 1 - Accent 21"/>
    <w:basedOn w:val="Normal"/>
    <w:uiPriority w:val="34"/>
    <w:qFormat/>
    <w:rsid w:val="00F905CD"/>
    <w:pPr>
      <w:ind w:left="720"/>
      <w:contextualSpacing/>
    </w:pPr>
  </w:style>
  <w:style w:type="paragraph" w:customStyle="1" w:styleId="policysubparagrah">
    <w:name w:val="policy sub paragrah"/>
    <w:basedOn w:val="Normal"/>
    <w:link w:val="policysubparagrahChar"/>
    <w:autoRedefine/>
    <w:rsid w:val="00C23039"/>
    <w:pPr>
      <w:tabs>
        <w:tab w:val="left" w:pos="2880"/>
        <w:tab w:val="left" w:pos="3600"/>
      </w:tabs>
      <w:ind w:left="709"/>
    </w:pPr>
    <w:rPr>
      <w:sz w:val="24"/>
      <w:szCs w:val="20"/>
    </w:rPr>
  </w:style>
  <w:style w:type="character" w:customStyle="1" w:styleId="policysubparagrahChar">
    <w:name w:val="policy sub paragrah Char"/>
    <w:link w:val="policysubparagrah"/>
    <w:rsid w:val="00C23039"/>
    <w:rPr>
      <w:rFonts w:ascii="Arial" w:hAnsi="Arial"/>
      <w:sz w:val="24"/>
      <w:lang w:eastAsia="en-US"/>
    </w:rPr>
  </w:style>
  <w:style w:type="character" w:customStyle="1" w:styleId="ListParagraphChar">
    <w:name w:val="List Paragraph Char"/>
    <w:basedOn w:val="DefaultParagraphFont"/>
    <w:link w:val="ListParagraph"/>
    <w:uiPriority w:val="34"/>
    <w:locked/>
    <w:rsid w:val="00AA05C4"/>
    <w:rPr>
      <w:rFonts w:ascii="Arial" w:hAnsi="Arial"/>
      <w:szCs w:val="24"/>
      <w:lang w:eastAsia="en-US"/>
    </w:rPr>
  </w:style>
  <w:style w:type="paragraph" w:customStyle="1" w:styleId="Definition">
    <w:name w:val="Definition"/>
    <w:basedOn w:val="Normal"/>
    <w:rsid w:val="00D25AFC"/>
    <w:pPr>
      <w:widowControl w:val="0"/>
      <w:spacing w:after="240"/>
      <w:ind w:left="1100"/>
      <w:jc w:val="both"/>
    </w:pPr>
    <w:rPr>
      <w:rFonts w:ascii="Helvetica" w:hAnsi="Helvetica"/>
      <w:sz w:val="24"/>
      <w:szCs w:val="20"/>
      <w:lang w:eastAsia="en-AU"/>
    </w:rPr>
  </w:style>
  <w:style w:type="paragraph" w:styleId="NoSpacing">
    <w:name w:val="No Spacing"/>
    <w:uiPriority w:val="1"/>
    <w:qFormat/>
    <w:rsid w:val="00D25AFC"/>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5609">
      <w:bodyDiv w:val="1"/>
      <w:marLeft w:val="0"/>
      <w:marRight w:val="0"/>
      <w:marTop w:val="0"/>
      <w:marBottom w:val="0"/>
      <w:divBdr>
        <w:top w:val="none" w:sz="0" w:space="0" w:color="auto"/>
        <w:left w:val="none" w:sz="0" w:space="0" w:color="auto"/>
        <w:bottom w:val="none" w:sz="0" w:space="0" w:color="auto"/>
        <w:right w:val="none" w:sz="0" w:space="0" w:color="auto"/>
      </w:divBdr>
    </w:div>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 w:id="1208295311">
      <w:bodyDiv w:val="1"/>
      <w:marLeft w:val="0"/>
      <w:marRight w:val="0"/>
      <w:marTop w:val="0"/>
      <w:marBottom w:val="0"/>
      <w:divBdr>
        <w:top w:val="none" w:sz="0" w:space="0" w:color="auto"/>
        <w:left w:val="none" w:sz="0" w:space="0" w:color="auto"/>
        <w:bottom w:val="none" w:sz="0" w:space="0" w:color="auto"/>
        <w:right w:val="none" w:sz="0" w:space="0" w:color="auto"/>
      </w:divBdr>
    </w:div>
    <w:div w:id="213879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policies/enrolment" TargetMode="External"/><Relationship Id="rId13" Type="http://schemas.openxmlformats.org/officeDocument/2006/relationships/hyperlink" Target="https://forms.pfes.nt.gov.au/safent/static/PF095-CriminalHistoryCheck-Application.pdf" TargetMode="External"/><Relationship Id="rId18" Type="http://schemas.openxmlformats.org/officeDocument/2006/relationships/hyperlink" Target="https://education.nt.gov.au/education/policies/complaints" TargetMode="External"/><Relationship Id="rId26" Type="http://schemas.openxmlformats.org/officeDocument/2006/relationships/hyperlink" Target="http://www.pfes.nt.gov.au/Police/Community-safety/SAFE-NT.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ducation.nt.gov.au/education/policies/enrolment"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fes.nt.gov.au/Police/Community-safety/SAFE-NT.aspx" TargetMode="External"/><Relationship Id="rId17" Type="http://schemas.openxmlformats.org/officeDocument/2006/relationships/hyperlink" Target="mailto:schoolops.det@nt.gov.au" TargetMode="External"/><Relationship Id="rId25" Type="http://schemas.openxmlformats.org/officeDocument/2006/relationships/hyperlink" Target="https://education.nt.gov.au/education/policies/complaints" TargetMode="External"/><Relationship Id="rId33" Type="http://schemas.openxmlformats.org/officeDocument/2006/relationships/header" Target="header3.xm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education.nt.gov.au/education/policies/enrolment" TargetMode="External"/><Relationship Id="rId20" Type="http://schemas.openxmlformats.org/officeDocument/2006/relationships/hyperlink" Target="https://legislation.nt.gov.au/en/Legislation/CRIMINAL-RECORDS-SPENT-CONVICTIONS-AC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es.nt.gov.au/Police/Community-safety/SAFE-NT.aspx" TargetMode="External"/><Relationship Id="rId24" Type="http://schemas.openxmlformats.org/officeDocument/2006/relationships/hyperlink" Target="https://education.nt.gov.au/education/policies/data-access" TargetMode="External"/><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ducation.nt.gov.au/education/reviews-and-consultations/education-act" TargetMode="External"/><Relationship Id="rId23" Type="http://schemas.openxmlformats.org/officeDocument/2006/relationships/hyperlink" Target="https://education.nt.gov.au/education/policies/data-access" TargetMode="External"/><Relationship Id="rId28" Type="http://schemas.openxmlformats.org/officeDocument/2006/relationships/oleObject" Target="embeddings/oleObject1.bin"/><Relationship Id="rId36" Type="http://schemas.openxmlformats.org/officeDocument/2006/relationships/footer" Target="footer4.xml"/><Relationship Id="rId10" Type="http://schemas.openxmlformats.org/officeDocument/2006/relationships/hyperlink" Target="https://education.nt.gov.au/education/policies/criminal-history-checks-for-prospective-mature-age-students" TargetMode="External"/><Relationship Id="rId19" Type="http://schemas.openxmlformats.org/officeDocument/2006/relationships/hyperlink" Target="https://education.nt.gov.au/education/reviews-and-consultations/education-ac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ducation.nt.gov.au/education/policies/enrolment" TargetMode="External"/><Relationship Id="rId14" Type="http://schemas.openxmlformats.org/officeDocument/2006/relationships/hyperlink" Target="mailto:schoolops.det@nt.gov.au" TargetMode="External"/><Relationship Id="rId22" Type="http://schemas.openxmlformats.org/officeDocument/2006/relationships/hyperlink" Target="https://education.nt.gov.au/education/policies/enrolment" TargetMode="External"/><Relationship Id="rId27" Type="http://schemas.openxmlformats.org/officeDocument/2006/relationships/image" Target="media/image1.emf"/><Relationship Id="rId30" Type="http://schemas.openxmlformats.org/officeDocument/2006/relationships/header" Target="header2.xml"/><Relationship Id="rId35"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DECS%20General\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02A4D-E65D-4040-A8E0-894FE1B1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154</TotalTime>
  <Pages>7</Pages>
  <Words>2001</Words>
  <Characters>13238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15209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Employment, Education and Training</dc:title>
  <dc:subject>Information Sheet</dc:subject>
  <dc:creator>Michelle Wells1</dc:creator>
  <cp:keywords/>
  <cp:lastModifiedBy>Helen Mckeiver</cp:lastModifiedBy>
  <cp:revision>14</cp:revision>
  <cp:lastPrinted>2016-03-24T06:36:00Z</cp:lastPrinted>
  <dcterms:created xsi:type="dcterms:W3CDTF">2017-05-28T23:40:00Z</dcterms:created>
  <dcterms:modified xsi:type="dcterms:W3CDTF">2017-06-20T00:53:00Z</dcterms:modified>
</cp:coreProperties>
</file>