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bottomFromText="278" w:vertAnchor="page" w:tblpXSpec="center" w:tblpY="1702"/>
        <w:tblOverlap w:val="never"/>
        <w:tblW w:w="10206" w:type="dxa"/>
        <w:tblLayout w:type="fixed"/>
        <w:tblCellMar>
          <w:left w:w="0" w:type="dxa"/>
          <w:right w:w="0" w:type="dxa"/>
        </w:tblCellMar>
        <w:tblLook w:val="01E0" w:firstRow="1" w:lastRow="1" w:firstColumn="1" w:lastColumn="1" w:noHBand="0" w:noVBand="0"/>
      </w:tblPr>
      <w:tblGrid>
        <w:gridCol w:w="2127"/>
        <w:gridCol w:w="5078"/>
        <w:gridCol w:w="2009"/>
        <w:gridCol w:w="992"/>
      </w:tblGrid>
      <w:tr w:rsidR="00B22C7E" w:rsidRPr="00B22C7E" w14:paraId="028C751D" w14:textId="77777777" w:rsidTr="0091453A">
        <w:trPr>
          <w:cantSplit/>
          <w:trHeight w:hRule="exact" w:val="851"/>
        </w:trPr>
        <w:tc>
          <w:tcPr>
            <w:tcW w:w="10206" w:type="dxa"/>
            <w:gridSpan w:val="4"/>
            <w:vAlign w:val="center"/>
          </w:tcPr>
          <w:p w14:paraId="2E580A36" w14:textId="77777777" w:rsidR="00B22C7E" w:rsidRPr="00B22C7E" w:rsidRDefault="00B22C7E" w:rsidP="00B22C7E">
            <w:pPr>
              <w:keepNext/>
              <w:spacing w:before="240" w:after="120"/>
              <w:jc w:val="center"/>
              <w:outlineLvl w:val="0"/>
              <w:rPr>
                <w:rFonts w:ascii="Lato Black" w:hAnsi="Lato Black" w:cs="Arial"/>
                <w:b/>
                <w:bCs/>
                <w:caps/>
                <w:color w:val="002868"/>
                <w:sz w:val="46"/>
                <w:szCs w:val="46"/>
                <w:lang w:eastAsia="en-US"/>
              </w:rPr>
            </w:pPr>
            <w:r w:rsidRPr="00B22C7E">
              <w:rPr>
                <w:rFonts w:ascii="Lato Black" w:hAnsi="Lato Black" w:cs="Arial"/>
                <w:b/>
                <w:bCs/>
                <w:caps/>
                <w:color w:val="002868"/>
                <w:sz w:val="46"/>
                <w:szCs w:val="46"/>
                <w:lang w:eastAsia="en-US"/>
              </w:rPr>
              <w:t>PROCEDURES</w:t>
            </w:r>
          </w:p>
        </w:tc>
      </w:tr>
      <w:tr w:rsidR="00B22C7E" w:rsidRPr="00B22C7E" w14:paraId="76F72F05" w14:textId="77777777" w:rsidTr="0041572D">
        <w:trPr>
          <w:cantSplit/>
          <w:trHeight w:val="794"/>
        </w:trPr>
        <w:tc>
          <w:tcPr>
            <w:tcW w:w="10206" w:type="dxa"/>
            <w:gridSpan w:val="4"/>
            <w:vAlign w:val="center"/>
          </w:tcPr>
          <w:p w14:paraId="6175958D" w14:textId="77777777" w:rsidR="00B22C7E" w:rsidRPr="00B22C7E" w:rsidRDefault="00B22C7E" w:rsidP="00B22C7E">
            <w:pPr>
              <w:keepNext/>
              <w:spacing w:before="120"/>
              <w:jc w:val="center"/>
              <w:outlineLvl w:val="1"/>
              <w:rPr>
                <w:rFonts w:ascii="Lato" w:hAnsi="Lato" w:cs="Arial"/>
                <w:b/>
                <w:bCs/>
                <w:iCs/>
                <w:caps/>
                <w:sz w:val="32"/>
                <w:lang w:eastAsia="en-US"/>
              </w:rPr>
            </w:pPr>
            <w:r w:rsidRPr="00B22C7E">
              <w:rPr>
                <w:rFonts w:ascii="Lato" w:hAnsi="Lato" w:cs="Arial"/>
                <w:b/>
                <w:bCs/>
                <w:iCs/>
                <w:caps/>
                <w:sz w:val="32"/>
                <w:lang w:eastAsia="en-US"/>
              </w:rPr>
              <w:t>ntcet RESUL</w:t>
            </w:r>
            <w:bookmarkStart w:id="0" w:name="_GoBack"/>
            <w:bookmarkEnd w:id="0"/>
            <w:r w:rsidRPr="00B22C7E">
              <w:rPr>
                <w:rFonts w:ascii="Lato" w:hAnsi="Lato" w:cs="Arial"/>
                <w:b/>
                <w:bCs/>
                <w:iCs/>
                <w:caps/>
                <w:sz w:val="32"/>
                <w:lang w:eastAsia="en-US"/>
              </w:rPr>
              <w:t>TS RELEASE PROCEDURES</w:t>
            </w:r>
          </w:p>
        </w:tc>
      </w:tr>
      <w:tr w:rsidR="00D251D0" w:rsidRPr="00B22C7E" w14:paraId="1462824D" w14:textId="77777777" w:rsidTr="00AB712A">
        <w:trPr>
          <w:cantSplit/>
          <w:trHeight w:val="284"/>
        </w:trPr>
        <w:tc>
          <w:tcPr>
            <w:tcW w:w="2127" w:type="dxa"/>
          </w:tcPr>
          <w:p w14:paraId="03D3B9C6" w14:textId="77777777" w:rsidR="00D251D0" w:rsidRPr="00B22C7E" w:rsidRDefault="00D251D0" w:rsidP="00AB712A">
            <w:pPr>
              <w:rPr>
                <w:rFonts w:ascii="Lato" w:hAnsi="Lato"/>
                <w:b/>
                <w:color w:val="6699CC"/>
                <w:sz w:val="22"/>
                <w:lang w:eastAsia="en-US"/>
              </w:rPr>
            </w:pPr>
            <w:r w:rsidRPr="00B22C7E">
              <w:rPr>
                <w:rFonts w:ascii="Lato" w:hAnsi="Lato"/>
                <w:b/>
                <w:color w:val="6699CC"/>
                <w:sz w:val="22"/>
                <w:lang w:eastAsia="en-US"/>
              </w:rPr>
              <w:t>Responsibility of:</w:t>
            </w:r>
          </w:p>
        </w:tc>
        <w:tc>
          <w:tcPr>
            <w:tcW w:w="5078" w:type="dxa"/>
            <w:vAlign w:val="center"/>
          </w:tcPr>
          <w:p w14:paraId="0FE7737A" w14:textId="40B235D0" w:rsidR="00397FA3" w:rsidRDefault="00397FA3" w:rsidP="00397FA3">
            <w:pPr>
              <w:rPr>
                <w:rFonts w:ascii="Lato" w:hAnsi="Lato"/>
                <w:b/>
                <w:color w:val="6699CC"/>
                <w:sz w:val="22"/>
                <w:lang w:eastAsia="en-US"/>
              </w:rPr>
            </w:pPr>
            <w:r>
              <w:rPr>
                <w:rFonts w:ascii="Lato" w:hAnsi="Lato"/>
                <w:b/>
                <w:color w:val="6699CC"/>
                <w:sz w:val="22"/>
                <w:lang w:eastAsia="en-US"/>
              </w:rPr>
              <w:t>Teaching and Learning 10-12</w:t>
            </w:r>
            <w:r w:rsidR="00D251D0" w:rsidRPr="00B22C7E">
              <w:rPr>
                <w:rFonts w:ascii="Lato" w:hAnsi="Lato"/>
                <w:b/>
                <w:color w:val="6699CC"/>
                <w:sz w:val="22"/>
                <w:lang w:eastAsia="en-US"/>
              </w:rPr>
              <w:t xml:space="preserve"> </w:t>
            </w:r>
          </w:p>
          <w:p w14:paraId="6C8A8438" w14:textId="3D45C246" w:rsidR="00D251D0" w:rsidRPr="00B22C7E" w:rsidRDefault="00D251D0" w:rsidP="00397FA3">
            <w:pPr>
              <w:rPr>
                <w:rFonts w:ascii="Lato" w:hAnsi="Lato"/>
                <w:b/>
                <w:color w:val="6699CC"/>
                <w:sz w:val="22"/>
                <w:lang w:eastAsia="en-US"/>
              </w:rPr>
            </w:pPr>
            <w:r w:rsidRPr="00B22C7E">
              <w:rPr>
                <w:rFonts w:ascii="Lato" w:hAnsi="Lato"/>
                <w:b/>
                <w:color w:val="6699CC"/>
                <w:sz w:val="22"/>
                <w:lang w:eastAsia="en-US"/>
              </w:rPr>
              <w:t>Northern Territory Board of Studies</w:t>
            </w:r>
          </w:p>
        </w:tc>
        <w:tc>
          <w:tcPr>
            <w:tcW w:w="3001" w:type="dxa"/>
            <w:gridSpan w:val="2"/>
            <w:vAlign w:val="center"/>
          </w:tcPr>
          <w:p w14:paraId="18FF4764" w14:textId="77777777" w:rsidR="00D251D0" w:rsidRPr="00B22C7E" w:rsidRDefault="00D251D0" w:rsidP="00175CF7">
            <w:pPr>
              <w:rPr>
                <w:rFonts w:ascii="Lato" w:hAnsi="Lato"/>
                <w:b/>
                <w:color w:val="6699CC"/>
                <w:sz w:val="22"/>
                <w:lang w:val="en-US" w:eastAsia="en-US"/>
              </w:rPr>
            </w:pPr>
            <w:r w:rsidRPr="00B22C7E">
              <w:rPr>
                <w:rFonts w:ascii="Lato" w:hAnsi="Lato"/>
                <w:b/>
                <w:color w:val="6699CC"/>
                <w:sz w:val="22"/>
                <w:lang w:eastAsia="en-US"/>
              </w:rPr>
              <w:t>FILE2015/173</w:t>
            </w:r>
          </w:p>
        </w:tc>
      </w:tr>
      <w:tr w:rsidR="00B22C7E" w:rsidRPr="00B22C7E" w14:paraId="0BB793C8" w14:textId="77777777" w:rsidTr="0041572D">
        <w:trPr>
          <w:cantSplit/>
          <w:trHeight w:val="284"/>
        </w:trPr>
        <w:tc>
          <w:tcPr>
            <w:tcW w:w="2127" w:type="dxa"/>
            <w:vAlign w:val="center"/>
          </w:tcPr>
          <w:p w14:paraId="222D7594" w14:textId="77777777" w:rsidR="00B22C7E" w:rsidRPr="00B22C7E" w:rsidRDefault="00B22C7E" w:rsidP="00B22C7E">
            <w:pPr>
              <w:rPr>
                <w:rFonts w:ascii="Lato" w:hAnsi="Lato"/>
                <w:b/>
                <w:color w:val="6699CC"/>
                <w:sz w:val="22"/>
                <w:lang w:eastAsia="en-US"/>
              </w:rPr>
            </w:pPr>
            <w:r w:rsidRPr="00B22C7E">
              <w:rPr>
                <w:rFonts w:ascii="Lato" w:hAnsi="Lato"/>
                <w:b/>
                <w:color w:val="6699CC"/>
                <w:sz w:val="22"/>
                <w:lang w:eastAsia="en-US"/>
              </w:rPr>
              <w:t>Effective Date:</w:t>
            </w:r>
          </w:p>
        </w:tc>
        <w:tc>
          <w:tcPr>
            <w:tcW w:w="5078" w:type="dxa"/>
            <w:vAlign w:val="center"/>
          </w:tcPr>
          <w:p w14:paraId="45046BAF" w14:textId="78E5A81F" w:rsidR="00B22C7E" w:rsidRPr="00B22C7E" w:rsidRDefault="00B22C7E" w:rsidP="00B22C7E">
            <w:pPr>
              <w:rPr>
                <w:rFonts w:ascii="Lato" w:hAnsi="Lato"/>
                <w:b/>
                <w:color w:val="6699CC"/>
                <w:sz w:val="22"/>
                <w:lang w:eastAsia="en-US"/>
              </w:rPr>
            </w:pPr>
            <w:r w:rsidRPr="00B22C7E">
              <w:rPr>
                <w:rFonts w:ascii="Lato" w:hAnsi="Lato"/>
                <w:b/>
                <w:color w:val="6699CC"/>
                <w:sz w:val="22"/>
                <w:lang w:eastAsia="en-US"/>
              </w:rPr>
              <w:t>February 2015</w:t>
            </w:r>
          </w:p>
        </w:tc>
        <w:tc>
          <w:tcPr>
            <w:tcW w:w="3001" w:type="dxa"/>
            <w:gridSpan w:val="2"/>
            <w:vAlign w:val="center"/>
          </w:tcPr>
          <w:p w14:paraId="55A3E5E6" w14:textId="4E080D1A" w:rsidR="00B22C7E" w:rsidRPr="00B22C7E" w:rsidRDefault="00175CF7" w:rsidP="00B22C7E">
            <w:pPr>
              <w:rPr>
                <w:rFonts w:ascii="Lato" w:hAnsi="Lato"/>
                <w:b/>
                <w:color w:val="6699CC"/>
                <w:sz w:val="22"/>
                <w:lang w:eastAsia="en-US"/>
              </w:rPr>
            </w:pPr>
            <w:proofErr w:type="gramStart"/>
            <w:r>
              <w:rPr>
                <w:rFonts w:ascii="Lato" w:hAnsi="Lato"/>
                <w:b/>
                <w:color w:val="6699CC"/>
                <w:sz w:val="22"/>
                <w:lang w:eastAsia="en-US"/>
              </w:rPr>
              <w:t>50:D</w:t>
            </w:r>
            <w:proofErr w:type="gramEnd"/>
            <w:r>
              <w:rPr>
                <w:rFonts w:ascii="Lato" w:hAnsi="Lato"/>
                <w:b/>
                <w:color w:val="6699CC"/>
                <w:sz w:val="22"/>
                <w:lang w:eastAsia="en-US"/>
              </w:rPr>
              <w:t>19:17944</w:t>
            </w:r>
          </w:p>
        </w:tc>
      </w:tr>
      <w:tr w:rsidR="00B22C7E" w:rsidRPr="00B22C7E" w14:paraId="5C547ACD" w14:textId="77777777" w:rsidTr="0041572D">
        <w:trPr>
          <w:cantSplit/>
          <w:trHeight w:val="284"/>
        </w:trPr>
        <w:tc>
          <w:tcPr>
            <w:tcW w:w="2127" w:type="dxa"/>
            <w:vAlign w:val="center"/>
          </w:tcPr>
          <w:p w14:paraId="1CAD105D" w14:textId="77777777" w:rsidR="00B22C7E" w:rsidRPr="00B22C7E" w:rsidRDefault="00B22C7E" w:rsidP="00B22C7E">
            <w:pPr>
              <w:rPr>
                <w:rFonts w:ascii="Lato" w:hAnsi="Lato"/>
                <w:b/>
                <w:color w:val="6699CC"/>
                <w:sz w:val="22"/>
                <w:lang w:eastAsia="en-US"/>
              </w:rPr>
            </w:pPr>
            <w:r w:rsidRPr="00B22C7E">
              <w:rPr>
                <w:rFonts w:ascii="Lato" w:hAnsi="Lato"/>
                <w:b/>
                <w:color w:val="6699CC"/>
                <w:sz w:val="22"/>
                <w:lang w:eastAsia="en-US"/>
              </w:rPr>
              <w:t>Next Review Date:</w:t>
            </w:r>
          </w:p>
        </w:tc>
        <w:tc>
          <w:tcPr>
            <w:tcW w:w="5078" w:type="dxa"/>
            <w:vAlign w:val="center"/>
          </w:tcPr>
          <w:p w14:paraId="365975CF" w14:textId="067DD622" w:rsidR="00B22C7E" w:rsidRPr="00B22C7E" w:rsidRDefault="00B22C7E" w:rsidP="00AB712A">
            <w:pPr>
              <w:rPr>
                <w:rFonts w:ascii="Lato" w:hAnsi="Lato"/>
                <w:b/>
                <w:color w:val="6699CC"/>
                <w:sz w:val="22"/>
                <w:lang w:eastAsia="en-US"/>
              </w:rPr>
            </w:pPr>
            <w:r w:rsidRPr="00B22C7E">
              <w:rPr>
                <w:rFonts w:ascii="Lato" w:hAnsi="Lato"/>
                <w:b/>
                <w:color w:val="6699CC"/>
                <w:sz w:val="22"/>
                <w:lang w:eastAsia="en-US"/>
              </w:rPr>
              <w:t>January 20</w:t>
            </w:r>
            <w:r w:rsidR="00AB712A">
              <w:rPr>
                <w:rFonts w:ascii="Lato" w:hAnsi="Lato"/>
                <w:b/>
                <w:color w:val="6699CC"/>
                <w:sz w:val="22"/>
                <w:lang w:eastAsia="en-US"/>
              </w:rPr>
              <w:t>20</w:t>
            </w:r>
          </w:p>
        </w:tc>
        <w:tc>
          <w:tcPr>
            <w:tcW w:w="2009" w:type="dxa"/>
            <w:vAlign w:val="center"/>
          </w:tcPr>
          <w:p w14:paraId="21095E9E" w14:textId="77777777" w:rsidR="00B22C7E" w:rsidRPr="00B22C7E" w:rsidRDefault="00B22C7E" w:rsidP="00B22C7E">
            <w:pPr>
              <w:rPr>
                <w:rFonts w:ascii="Lato" w:hAnsi="Lato"/>
                <w:b/>
                <w:color w:val="6699CC"/>
                <w:sz w:val="22"/>
                <w:lang w:eastAsia="en-US"/>
              </w:rPr>
            </w:pPr>
            <w:r w:rsidRPr="00B22C7E">
              <w:rPr>
                <w:rFonts w:ascii="Lato" w:hAnsi="Lato"/>
                <w:b/>
                <w:color w:val="6699CC"/>
                <w:sz w:val="22"/>
                <w:lang w:eastAsia="en-US"/>
              </w:rPr>
              <w:t>Version Number:</w:t>
            </w:r>
          </w:p>
        </w:tc>
        <w:tc>
          <w:tcPr>
            <w:tcW w:w="992" w:type="dxa"/>
            <w:vAlign w:val="center"/>
          </w:tcPr>
          <w:p w14:paraId="7F7F93C2" w14:textId="77777777" w:rsidR="00B22C7E" w:rsidRPr="00B22C7E" w:rsidRDefault="00B22C7E" w:rsidP="00D251D0">
            <w:pPr>
              <w:rPr>
                <w:rFonts w:ascii="Lato" w:hAnsi="Lato"/>
                <w:b/>
                <w:color w:val="6699CC"/>
                <w:sz w:val="22"/>
                <w:lang w:eastAsia="en-US"/>
              </w:rPr>
            </w:pPr>
            <w:r w:rsidRPr="00B22C7E">
              <w:rPr>
                <w:rFonts w:ascii="Lato" w:hAnsi="Lato"/>
                <w:b/>
                <w:color w:val="6699CC"/>
                <w:sz w:val="22"/>
                <w:lang w:eastAsia="en-US"/>
              </w:rPr>
              <w:t>1</w:t>
            </w:r>
            <w:r w:rsidR="005307DA">
              <w:rPr>
                <w:rFonts w:ascii="Lato" w:hAnsi="Lato"/>
                <w:b/>
                <w:color w:val="6699CC"/>
                <w:sz w:val="22"/>
                <w:lang w:eastAsia="en-US"/>
              </w:rPr>
              <w:t>.0</w:t>
            </w:r>
          </w:p>
        </w:tc>
      </w:tr>
      <w:tr w:rsidR="00B22C7E" w:rsidRPr="00B22C7E" w14:paraId="4505E6B1" w14:textId="77777777" w:rsidTr="0041572D">
        <w:trPr>
          <w:cantSplit/>
          <w:trHeight w:val="284"/>
        </w:trPr>
        <w:tc>
          <w:tcPr>
            <w:tcW w:w="2127" w:type="dxa"/>
            <w:vAlign w:val="center"/>
          </w:tcPr>
          <w:p w14:paraId="2FF7F818" w14:textId="77777777" w:rsidR="00B22C7E" w:rsidRPr="00B22C7E" w:rsidRDefault="00B22C7E" w:rsidP="00B22C7E">
            <w:pPr>
              <w:rPr>
                <w:rFonts w:ascii="Lato" w:hAnsi="Lato"/>
                <w:b/>
                <w:color w:val="6699CC"/>
                <w:sz w:val="22"/>
                <w:lang w:eastAsia="en-US"/>
              </w:rPr>
            </w:pPr>
            <w:r w:rsidRPr="00B22C7E">
              <w:rPr>
                <w:rFonts w:ascii="Lato" w:hAnsi="Lato"/>
                <w:b/>
                <w:color w:val="6699CC"/>
                <w:sz w:val="22"/>
                <w:lang w:eastAsia="en-US"/>
              </w:rPr>
              <w:t>Target Audience:</w:t>
            </w:r>
          </w:p>
        </w:tc>
        <w:tc>
          <w:tcPr>
            <w:tcW w:w="5078" w:type="dxa"/>
            <w:vAlign w:val="center"/>
          </w:tcPr>
          <w:p w14:paraId="56F58097" w14:textId="2BA5BBD9" w:rsidR="00B22C7E" w:rsidRPr="00B22C7E" w:rsidRDefault="00AB712A" w:rsidP="002220CA">
            <w:pPr>
              <w:rPr>
                <w:rFonts w:ascii="Lato" w:hAnsi="Lato"/>
                <w:b/>
                <w:color w:val="6699CC"/>
                <w:sz w:val="22"/>
                <w:lang w:eastAsia="en-US"/>
              </w:rPr>
            </w:pPr>
            <w:r>
              <w:rPr>
                <w:rFonts w:ascii="Lato" w:hAnsi="Lato"/>
                <w:b/>
                <w:color w:val="6699CC"/>
                <w:sz w:val="22"/>
                <w:lang w:eastAsia="en-US"/>
              </w:rPr>
              <w:t xml:space="preserve">Staff, Parents and </w:t>
            </w:r>
            <w:r w:rsidR="00B22C7E" w:rsidRPr="00B22C7E">
              <w:rPr>
                <w:rFonts w:ascii="Lato" w:hAnsi="Lato"/>
                <w:b/>
                <w:color w:val="6699CC"/>
                <w:sz w:val="22"/>
                <w:lang w:eastAsia="en-US"/>
              </w:rPr>
              <w:t xml:space="preserve">Community </w:t>
            </w:r>
            <w:r>
              <w:rPr>
                <w:rFonts w:ascii="Lato" w:hAnsi="Lato"/>
                <w:b/>
                <w:color w:val="6699CC"/>
                <w:sz w:val="22"/>
                <w:lang w:eastAsia="en-US"/>
              </w:rPr>
              <w:t>members</w:t>
            </w:r>
          </w:p>
        </w:tc>
        <w:tc>
          <w:tcPr>
            <w:tcW w:w="3001" w:type="dxa"/>
            <w:gridSpan w:val="2"/>
            <w:vAlign w:val="center"/>
          </w:tcPr>
          <w:p w14:paraId="235312D3" w14:textId="77777777" w:rsidR="00B22C7E" w:rsidRPr="00B22C7E" w:rsidRDefault="00B22C7E" w:rsidP="00B22C7E">
            <w:pPr>
              <w:tabs>
                <w:tab w:val="left" w:pos="2160"/>
              </w:tabs>
              <w:rPr>
                <w:rFonts w:ascii="Lato" w:hAnsi="Lato"/>
                <w:b/>
                <w:color w:val="6699CC"/>
                <w:sz w:val="22"/>
                <w:lang w:eastAsia="en-US"/>
              </w:rPr>
            </w:pPr>
          </w:p>
        </w:tc>
      </w:tr>
    </w:tbl>
    <w:p w14:paraId="0E6FFD6E" w14:textId="77777777" w:rsidR="00B22C7E" w:rsidRPr="00390345" w:rsidRDefault="00B22C7E" w:rsidP="00B22C7E">
      <w:pPr>
        <w:ind w:left="-567"/>
        <w:rPr>
          <w:rFonts w:ascii="Lato" w:hAnsi="Lato"/>
          <w:lang w:val="en-US"/>
        </w:rPr>
      </w:pPr>
      <w:r w:rsidRPr="00390345">
        <w:rPr>
          <w:rFonts w:ascii="Lato" w:hAnsi="Lato"/>
          <w:lang w:val="en-US"/>
        </w:rPr>
        <w:t xml:space="preserve">This document should be read in conjunction with </w:t>
      </w:r>
      <w:hyperlink r:id="rId8" w:history="1">
        <w:r w:rsidRPr="005307DA">
          <w:rPr>
            <w:rStyle w:val="Hyperlink"/>
            <w:rFonts w:ascii="Lato" w:hAnsi="Lato"/>
            <w:b/>
            <w:lang w:val="en-US"/>
          </w:rPr>
          <w:t>NTCET Results Release policy</w:t>
        </w:r>
      </w:hyperlink>
      <w:r w:rsidRPr="00390345">
        <w:rPr>
          <w:rFonts w:ascii="Lato" w:hAnsi="Lato"/>
          <w:lang w:val="en-US"/>
        </w:rPr>
        <w:t>.</w:t>
      </w:r>
    </w:p>
    <w:p w14:paraId="795A125D" w14:textId="77777777" w:rsidR="00B22C7E" w:rsidRPr="00D251D0" w:rsidRDefault="00B22C7E" w:rsidP="00B22C7E">
      <w:pPr>
        <w:ind w:left="-284"/>
        <w:rPr>
          <w:rFonts w:ascii="Lato" w:hAnsi="Lato"/>
          <w:lang w:val="en-US"/>
        </w:rPr>
      </w:pPr>
    </w:p>
    <w:p w14:paraId="0F7F7CD7" w14:textId="77777777" w:rsidR="00B22C7E" w:rsidRPr="00D251D0" w:rsidRDefault="00B22C7E" w:rsidP="00B22C7E">
      <w:pPr>
        <w:ind w:left="-284"/>
        <w:rPr>
          <w:rFonts w:ascii="Lato" w:hAnsi="Lato"/>
          <w:lang w:val="en-US"/>
        </w:rPr>
      </w:pPr>
    </w:p>
    <w:p w14:paraId="28E4EBBF" w14:textId="77777777" w:rsidR="00B22C7E" w:rsidRPr="00D01F0E" w:rsidRDefault="00B22C7E" w:rsidP="00B22C7E">
      <w:pPr>
        <w:pStyle w:val="Heading3"/>
        <w:spacing w:before="0" w:after="0"/>
        <w:ind w:left="-284"/>
        <w:rPr>
          <w:rFonts w:ascii="Lato" w:hAnsi="Lato"/>
          <w:szCs w:val="28"/>
        </w:rPr>
      </w:pPr>
      <w:r w:rsidRPr="00D01F0E">
        <w:rPr>
          <w:rFonts w:ascii="Lato" w:hAnsi="Lato"/>
          <w:szCs w:val="28"/>
        </w:rPr>
        <w:t xml:space="preserve">INTRODUCTION </w:t>
      </w:r>
    </w:p>
    <w:p w14:paraId="7134B53B" w14:textId="77777777" w:rsidR="00B22C7E" w:rsidRPr="00D251D0" w:rsidRDefault="00B22C7E" w:rsidP="005307DA">
      <w:pPr>
        <w:ind w:left="-284"/>
        <w:rPr>
          <w:rFonts w:ascii="Lato" w:hAnsi="Lato" w:cs="Arial"/>
          <w:szCs w:val="22"/>
          <w:lang w:val="en-US"/>
        </w:rPr>
      </w:pPr>
      <w:r w:rsidRPr="00D251D0">
        <w:rPr>
          <w:rFonts w:ascii="Lato" w:hAnsi="Lato" w:cs="Arial"/>
          <w:szCs w:val="22"/>
          <w:lang w:val="en-US"/>
        </w:rPr>
        <w:t>In relation to the release of the Northern Territory Certificate of Education and Training (NTCET) results in the Northern Territory</w:t>
      </w:r>
      <w:r w:rsidR="005307DA">
        <w:rPr>
          <w:rFonts w:ascii="Lato" w:hAnsi="Lato" w:cs="Arial"/>
          <w:szCs w:val="22"/>
          <w:lang w:val="en-US"/>
        </w:rPr>
        <w:t xml:space="preserve"> (NT)</w:t>
      </w:r>
      <w:r w:rsidRPr="00D251D0">
        <w:rPr>
          <w:rFonts w:ascii="Lato" w:hAnsi="Lato" w:cs="Arial"/>
          <w:szCs w:val="22"/>
          <w:lang w:val="en-US"/>
        </w:rPr>
        <w:t>, this document identifies the processes and procedures related to the NTCET Results Release policy. These procedures refer to both government and non-government schools.</w:t>
      </w:r>
    </w:p>
    <w:p w14:paraId="0E199724" w14:textId="77777777" w:rsidR="00B22C7E" w:rsidRPr="00D251D0" w:rsidRDefault="00B22C7E" w:rsidP="00B22C7E">
      <w:pPr>
        <w:ind w:left="-284"/>
        <w:rPr>
          <w:rFonts w:ascii="Lato" w:hAnsi="Lato" w:cs="Arial"/>
          <w:szCs w:val="22"/>
          <w:lang w:val="en-US"/>
        </w:rPr>
      </w:pPr>
    </w:p>
    <w:p w14:paraId="06C7F98D" w14:textId="77777777" w:rsidR="00B22C7E" w:rsidRPr="00D251D0" w:rsidRDefault="00D251D0" w:rsidP="00D251D0">
      <w:pPr>
        <w:tabs>
          <w:tab w:val="left" w:pos="1635"/>
        </w:tabs>
        <w:ind w:left="-284"/>
        <w:rPr>
          <w:rFonts w:ascii="Lato" w:hAnsi="Lato" w:cs="Arial"/>
          <w:szCs w:val="22"/>
          <w:lang w:val="en-US"/>
        </w:rPr>
      </w:pPr>
      <w:r w:rsidRPr="00D251D0">
        <w:rPr>
          <w:rFonts w:ascii="Lato" w:hAnsi="Lato" w:cs="Arial"/>
          <w:szCs w:val="22"/>
          <w:lang w:val="en-US"/>
        </w:rPr>
        <w:tab/>
      </w:r>
    </w:p>
    <w:p w14:paraId="40BD55E9" w14:textId="77777777" w:rsidR="00B22C7E" w:rsidRPr="00D01F0E" w:rsidRDefault="00B22C7E" w:rsidP="00B22C7E">
      <w:pPr>
        <w:pStyle w:val="Heading3"/>
        <w:spacing w:before="0" w:after="0"/>
        <w:ind w:left="-284"/>
        <w:rPr>
          <w:rFonts w:ascii="Lato" w:hAnsi="Lato"/>
          <w:szCs w:val="28"/>
        </w:rPr>
      </w:pPr>
      <w:r w:rsidRPr="00D01F0E">
        <w:rPr>
          <w:rFonts w:ascii="Lato" w:hAnsi="Lato"/>
          <w:szCs w:val="28"/>
        </w:rPr>
        <w:t xml:space="preserve">DEFINITIONS </w:t>
      </w:r>
    </w:p>
    <w:p w14:paraId="3A95B49F" w14:textId="77777777" w:rsidR="00B22C7E" w:rsidRPr="00D251D0" w:rsidRDefault="00B22C7E" w:rsidP="005307DA">
      <w:pPr>
        <w:ind w:left="-284"/>
        <w:rPr>
          <w:rFonts w:ascii="Lato" w:hAnsi="Lato"/>
          <w:szCs w:val="22"/>
        </w:rPr>
      </w:pPr>
      <w:r w:rsidRPr="00D251D0">
        <w:rPr>
          <w:rFonts w:ascii="Lato" w:hAnsi="Lato" w:cs="Arial"/>
          <w:b/>
          <w:szCs w:val="22"/>
          <w:lang w:val="en-US"/>
        </w:rPr>
        <w:t>Consent form</w:t>
      </w:r>
      <w:r w:rsidRPr="00D251D0">
        <w:rPr>
          <w:rFonts w:ascii="Lato" w:hAnsi="Lato" w:cs="Arial"/>
          <w:szCs w:val="22"/>
          <w:lang w:val="en-US"/>
        </w:rPr>
        <w:t xml:space="preserve"> – ‘Consent to release NTCET information’ </w:t>
      </w:r>
    </w:p>
    <w:p w14:paraId="1C3EFD99" w14:textId="77777777" w:rsidR="00B22C7E" w:rsidRPr="00390345" w:rsidRDefault="00390345" w:rsidP="005307DA">
      <w:pPr>
        <w:ind w:left="-284"/>
        <w:rPr>
          <w:rStyle w:val="Hyperlink"/>
          <w:rFonts w:ascii="Lato" w:hAnsi="Lato" w:cs="Arial"/>
          <w:szCs w:val="22"/>
          <w:lang w:val="en-US"/>
        </w:rPr>
      </w:pPr>
      <w:r>
        <w:rPr>
          <w:rFonts w:ascii="Lato" w:hAnsi="Lato" w:cs="Arial"/>
          <w:szCs w:val="22"/>
          <w:lang w:val="en-US"/>
        </w:rPr>
        <w:fldChar w:fldCharType="begin"/>
      </w:r>
      <w:r>
        <w:rPr>
          <w:rFonts w:ascii="Lato" w:hAnsi="Lato" w:cs="Arial"/>
          <w:szCs w:val="22"/>
          <w:lang w:val="en-US"/>
        </w:rPr>
        <w:instrText xml:space="preserve"> HYPERLINK "https://nt.gov.au/learning/primary-and-secondary-students/about-nt-certificate-of-education-and-training" </w:instrText>
      </w:r>
      <w:r>
        <w:rPr>
          <w:rFonts w:ascii="Lato" w:hAnsi="Lato" w:cs="Arial"/>
          <w:szCs w:val="22"/>
          <w:lang w:val="en-US"/>
        </w:rPr>
        <w:fldChar w:fldCharType="separate"/>
      </w:r>
      <w:r w:rsidR="00B22C7E" w:rsidRPr="00390345">
        <w:rPr>
          <w:rStyle w:val="Hyperlink"/>
          <w:rFonts w:ascii="Lato" w:hAnsi="Lato" w:cs="Arial"/>
          <w:szCs w:val="22"/>
          <w:lang w:val="en-US"/>
        </w:rPr>
        <w:t>Department of Education - NT Certificate of Education and Training (NTCET)</w:t>
      </w:r>
    </w:p>
    <w:p w14:paraId="37939526" w14:textId="77777777" w:rsidR="00B22C7E" w:rsidRPr="00D251D0" w:rsidRDefault="00390345" w:rsidP="005307DA">
      <w:pPr>
        <w:tabs>
          <w:tab w:val="left" w:pos="3210"/>
        </w:tabs>
        <w:ind w:left="-284"/>
        <w:rPr>
          <w:rFonts w:ascii="Lato" w:hAnsi="Lato" w:cs="Arial"/>
          <w:b/>
          <w:szCs w:val="22"/>
          <w:lang w:val="en-US"/>
        </w:rPr>
      </w:pPr>
      <w:r>
        <w:rPr>
          <w:rFonts w:ascii="Lato" w:hAnsi="Lato" w:cs="Arial"/>
          <w:szCs w:val="22"/>
          <w:lang w:val="en-US"/>
        </w:rPr>
        <w:fldChar w:fldCharType="end"/>
      </w:r>
      <w:r>
        <w:rPr>
          <w:rFonts w:ascii="Lato" w:hAnsi="Lato" w:cs="Arial"/>
          <w:b/>
          <w:szCs w:val="22"/>
          <w:lang w:val="en-US"/>
        </w:rPr>
        <w:tab/>
      </w:r>
    </w:p>
    <w:p w14:paraId="33CD9FFB" w14:textId="77777777" w:rsidR="00B22C7E" w:rsidRPr="00D251D0" w:rsidRDefault="00B22C7E" w:rsidP="005307DA">
      <w:pPr>
        <w:ind w:left="-284"/>
        <w:rPr>
          <w:rFonts w:ascii="Lato" w:hAnsi="Lato" w:cs="Arial"/>
          <w:szCs w:val="22"/>
          <w:lang w:val="en-US"/>
        </w:rPr>
      </w:pPr>
      <w:r w:rsidRPr="00D251D0">
        <w:rPr>
          <w:rFonts w:ascii="Lato" w:hAnsi="Lato" w:cs="Arial"/>
          <w:b/>
          <w:szCs w:val="22"/>
          <w:lang w:val="en-US"/>
        </w:rPr>
        <w:t>NTCET Results Package</w:t>
      </w:r>
      <w:r w:rsidRPr="00D251D0">
        <w:rPr>
          <w:rFonts w:ascii="Lato" w:hAnsi="Lato" w:cs="Arial"/>
          <w:szCs w:val="22"/>
          <w:lang w:val="en-US"/>
        </w:rPr>
        <w:t xml:space="preserve"> contains Northern Territory Certificate of Education and Training Record of Achievement and information documents.</w:t>
      </w:r>
    </w:p>
    <w:p w14:paraId="727F3D77" w14:textId="77777777" w:rsidR="00B22C7E" w:rsidRDefault="00B22C7E" w:rsidP="005307DA">
      <w:pPr>
        <w:ind w:left="-284"/>
        <w:rPr>
          <w:rFonts w:ascii="Lato" w:hAnsi="Lato" w:cs="Arial"/>
          <w:szCs w:val="22"/>
          <w:lang w:val="en-US"/>
        </w:rPr>
      </w:pPr>
    </w:p>
    <w:p w14:paraId="166603E8" w14:textId="77777777" w:rsidR="005307DA" w:rsidRPr="00D251D0" w:rsidRDefault="005307DA" w:rsidP="005307DA">
      <w:pPr>
        <w:ind w:left="-284"/>
        <w:rPr>
          <w:rFonts w:ascii="Lato" w:hAnsi="Lato" w:cs="Arial"/>
          <w:szCs w:val="22"/>
          <w:lang w:val="en-US"/>
        </w:rPr>
      </w:pPr>
      <w:r w:rsidRPr="00D251D0">
        <w:rPr>
          <w:rFonts w:ascii="Lato" w:hAnsi="Lato" w:cs="Arial"/>
          <w:b/>
          <w:szCs w:val="22"/>
          <w:lang w:val="en-US"/>
        </w:rPr>
        <w:t>SATAC</w:t>
      </w:r>
      <w:r w:rsidRPr="00D251D0">
        <w:rPr>
          <w:rFonts w:ascii="Lato" w:hAnsi="Lato" w:cs="Arial"/>
          <w:szCs w:val="22"/>
          <w:lang w:val="en-US"/>
        </w:rPr>
        <w:t xml:space="preserve"> is the South Australian Tertiary Admissions Centre. It processes and assesses applications on behalf of South Australian and Northern Territory universities and </w:t>
      </w:r>
      <w:proofErr w:type="gramStart"/>
      <w:r w:rsidRPr="00D251D0">
        <w:rPr>
          <w:rFonts w:ascii="Lato" w:hAnsi="Lato" w:cs="Arial"/>
          <w:szCs w:val="22"/>
          <w:lang w:val="en-US"/>
        </w:rPr>
        <w:t>TAFEs, and</w:t>
      </w:r>
      <w:proofErr w:type="gramEnd"/>
      <w:r w:rsidRPr="00D251D0">
        <w:rPr>
          <w:rFonts w:ascii="Lato" w:hAnsi="Lato" w:cs="Arial"/>
          <w:szCs w:val="22"/>
          <w:lang w:val="en-US"/>
        </w:rPr>
        <w:t xml:space="preserve"> determines student Australian Tertiary Admissions Rank (ATAR).</w:t>
      </w:r>
    </w:p>
    <w:p w14:paraId="62B0908E" w14:textId="77777777" w:rsidR="005307DA" w:rsidRPr="00D251D0" w:rsidRDefault="005307DA" w:rsidP="005307DA">
      <w:pPr>
        <w:ind w:left="-284"/>
        <w:rPr>
          <w:rFonts w:ascii="Lato" w:hAnsi="Lato" w:cs="Arial"/>
          <w:szCs w:val="22"/>
          <w:lang w:val="en-US"/>
        </w:rPr>
      </w:pPr>
    </w:p>
    <w:p w14:paraId="2AA6770C" w14:textId="77777777" w:rsidR="00B22C7E" w:rsidRPr="00D251D0" w:rsidRDefault="00B22C7E" w:rsidP="005307DA">
      <w:pPr>
        <w:ind w:left="-284"/>
        <w:rPr>
          <w:rFonts w:ascii="Lato" w:hAnsi="Lato" w:cs="Arial"/>
          <w:szCs w:val="22"/>
        </w:rPr>
      </w:pPr>
      <w:r w:rsidRPr="00D251D0">
        <w:rPr>
          <w:rFonts w:ascii="Lato" w:hAnsi="Lato" w:cs="Arial"/>
          <w:b/>
          <w:szCs w:val="22"/>
          <w:lang w:val="en-US"/>
        </w:rPr>
        <w:t>University Aggregate</w:t>
      </w:r>
      <w:r w:rsidRPr="00D251D0">
        <w:rPr>
          <w:rFonts w:ascii="Lato" w:hAnsi="Lato" w:cs="Arial"/>
          <w:szCs w:val="22"/>
          <w:lang w:val="en-US"/>
        </w:rPr>
        <w:t xml:space="preserve"> is obtained by qualifying for an NTCET. </w:t>
      </w:r>
      <w:r w:rsidRPr="00D251D0">
        <w:rPr>
          <w:rFonts w:ascii="Lato" w:hAnsi="Lato" w:cs="Arial"/>
          <w:szCs w:val="22"/>
        </w:rPr>
        <w:t>The university aggregate is calculated from the best scaled scores from three 20 credit tertiary admission subjects (TAS) plus the best 30 credits of scaled scores or scaled score equivalents from:</w:t>
      </w:r>
    </w:p>
    <w:p w14:paraId="4F31CA92" w14:textId="77777777" w:rsidR="00B22C7E" w:rsidRPr="00D251D0" w:rsidRDefault="00B22C7E" w:rsidP="005307DA">
      <w:pPr>
        <w:ind w:left="-284"/>
        <w:rPr>
          <w:rFonts w:ascii="Lato" w:hAnsi="Lato" w:cs="Arial"/>
          <w:b/>
          <w:bCs/>
          <w:color w:val="FFFFFF"/>
          <w:szCs w:val="22"/>
        </w:rPr>
      </w:pPr>
    </w:p>
    <w:p w14:paraId="44351A41" w14:textId="77777777" w:rsidR="00B22C7E" w:rsidRPr="005307DA" w:rsidRDefault="00B22C7E" w:rsidP="005307DA">
      <w:pPr>
        <w:pStyle w:val="ListParagraph"/>
        <w:numPr>
          <w:ilvl w:val="0"/>
          <w:numId w:val="8"/>
        </w:numPr>
        <w:rPr>
          <w:rFonts w:ascii="Lato" w:hAnsi="Lato" w:cs="Arial"/>
          <w:b/>
          <w:bCs/>
          <w:color w:val="FFFFFF"/>
          <w:szCs w:val="22"/>
        </w:rPr>
      </w:pPr>
      <w:r w:rsidRPr="005307DA">
        <w:rPr>
          <w:rFonts w:ascii="Lato" w:hAnsi="Lato" w:cs="Arial"/>
          <w:szCs w:val="22"/>
        </w:rPr>
        <w:t xml:space="preserve">the scaled score of a 20 credit TAS </w:t>
      </w:r>
    </w:p>
    <w:p w14:paraId="443D19F0" w14:textId="77777777" w:rsidR="00B22C7E" w:rsidRPr="005307DA" w:rsidRDefault="00B22C7E" w:rsidP="005307DA">
      <w:pPr>
        <w:pStyle w:val="ListParagraph"/>
        <w:numPr>
          <w:ilvl w:val="0"/>
          <w:numId w:val="8"/>
        </w:numPr>
        <w:rPr>
          <w:rFonts w:ascii="Lato" w:hAnsi="Lato" w:cs="Arial"/>
          <w:b/>
          <w:bCs/>
          <w:color w:val="FFFFFF"/>
          <w:szCs w:val="22"/>
        </w:rPr>
      </w:pPr>
      <w:r w:rsidRPr="005307DA">
        <w:rPr>
          <w:rFonts w:ascii="Lato" w:hAnsi="Lato" w:cs="Arial"/>
          <w:szCs w:val="22"/>
        </w:rPr>
        <w:t xml:space="preserve">half the scaled score of one or more 20 credit TAS </w:t>
      </w:r>
    </w:p>
    <w:p w14:paraId="7718DC5C" w14:textId="77777777" w:rsidR="00B22C7E" w:rsidRPr="005307DA" w:rsidRDefault="00B22C7E" w:rsidP="005307DA">
      <w:pPr>
        <w:pStyle w:val="ListParagraph"/>
        <w:numPr>
          <w:ilvl w:val="0"/>
          <w:numId w:val="8"/>
        </w:numPr>
        <w:rPr>
          <w:rFonts w:ascii="Lato" w:hAnsi="Lato" w:cs="Arial"/>
          <w:b/>
          <w:bCs/>
          <w:color w:val="FFFFFF"/>
          <w:szCs w:val="22"/>
        </w:rPr>
      </w:pPr>
      <w:r w:rsidRPr="005307DA">
        <w:rPr>
          <w:rFonts w:ascii="Lato" w:hAnsi="Lato" w:cs="Arial"/>
          <w:szCs w:val="22"/>
        </w:rPr>
        <w:t xml:space="preserve">the scaled score of one or more 10 credit TAS </w:t>
      </w:r>
    </w:p>
    <w:p w14:paraId="0FCA9CE7" w14:textId="77777777" w:rsidR="00B22C7E" w:rsidRPr="005307DA" w:rsidRDefault="00B22C7E" w:rsidP="005307DA">
      <w:pPr>
        <w:pStyle w:val="ListParagraph"/>
        <w:numPr>
          <w:ilvl w:val="0"/>
          <w:numId w:val="8"/>
        </w:numPr>
        <w:rPr>
          <w:rFonts w:ascii="Lato" w:hAnsi="Lato" w:cs="Arial"/>
          <w:b/>
          <w:bCs/>
          <w:color w:val="FFFFFF"/>
          <w:szCs w:val="22"/>
        </w:rPr>
      </w:pPr>
      <w:r w:rsidRPr="005307DA">
        <w:rPr>
          <w:rFonts w:ascii="Lato" w:hAnsi="Lato" w:cs="Arial"/>
          <w:szCs w:val="22"/>
        </w:rPr>
        <w:t>scaled score equivalents for Recognised Studies to the value of 10 or the maximum of 20 credits.</w:t>
      </w:r>
    </w:p>
    <w:p w14:paraId="6AF1F78C" w14:textId="77777777" w:rsidR="00B22C7E" w:rsidRPr="00D251D0" w:rsidRDefault="00B22C7E" w:rsidP="00B22C7E">
      <w:pPr>
        <w:ind w:hanging="709"/>
        <w:rPr>
          <w:rFonts w:ascii="Lato" w:hAnsi="Lato" w:cs="Arial"/>
          <w:szCs w:val="22"/>
        </w:rPr>
      </w:pPr>
    </w:p>
    <w:p w14:paraId="5FB2A773" w14:textId="77777777" w:rsidR="00B22C7E" w:rsidRPr="00D251D0" w:rsidRDefault="00B22C7E" w:rsidP="005307DA">
      <w:pPr>
        <w:ind w:left="-284"/>
        <w:rPr>
          <w:rFonts w:ascii="Lato" w:hAnsi="Lato" w:cs="Arial"/>
          <w:szCs w:val="22"/>
        </w:rPr>
      </w:pPr>
      <w:r w:rsidRPr="00D251D0">
        <w:rPr>
          <w:rFonts w:ascii="Lato" w:hAnsi="Lato" w:cs="Arial"/>
          <w:szCs w:val="22"/>
        </w:rPr>
        <w:t>The university aggregate is the best possible score calculated from the above options, subject to counting restrictions and precluded combinations.</w:t>
      </w:r>
    </w:p>
    <w:p w14:paraId="63CECEB3" w14:textId="77777777" w:rsidR="00B22C7E" w:rsidRPr="00D251D0" w:rsidRDefault="00B22C7E" w:rsidP="005307DA">
      <w:pPr>
        <w:ind w:left="-284"/>
        <w:rPr>
          <w:rFonts w:ascii="Lato" w:hAnsi="Lato" w:cs="Arial"/>
          <w:szCs w:val="22"/>
        </w:rPr>
      </w:pPr>
    </w:p>
    <w:p w14:paraId="1EF63260" w14:textId="77777777" w:rsidR="00B22C7E" w:rsidRPr="00D01F0E" w:rsidRDefault="00B22C7E" w:rsidP="00B22C7E">
      <w:pPr>
        <w:pStyle w:val="Heading3"/>
        <w:spacing w:before="0" w:after="0"/>
        <w:ind w:left="-284"/>
        <w:rPr>
          <w:rFonts w:ascii="Lato" w:hAnsi="Lato"/>
          <w:szCs w:val="28"/>
        </w:rPr>
      </w:pPr>
      <w:r w:rsidRPr="00D01F0E">
        <w:rPr>
          <w:rFonts w:ascii="Lato" w:hAnsi="Lato"/>
          <w:szCs w:val="28"/>
        </w:rPr>
        <w:lastRenderedPageBreak/>
        <w:t xml:space="preserve">ROLES AND RESPONSIBILITIES </w:t>
      </w:r>
    </w:p>
    <w:p w14:paraId="65F754CE" w14:textId="77777777" w:rsidR="005307DA" w:rsidRDefault="005307DA" w:rsidP="00B22C7E">
      <w:pPr>
        <w:ind w:left="-284"/>
        <w:rPr>
          <w:rFonts w:ascii="Lato" w:hAnsi="Lato" w:cs="Arial"/>
          <w:b/>
          <w:szCs w:val="22"/>
          <w:lang w:val="en-US"/>
        </w:rPr>
      </w:pPr>
    </w:p>
    <w:p w14:paraId="5C7D4B0F" w14:textId="10E6FA90" w:rsidR="00B22C7E" w:rsidRPr="00D251D0" w:rsidRDefault="00397FA3" w:rsidP="00B22C7E">
      <w:pPr>
        <w:ind w:left="-284"/>
        <w:rPr>
          <w:rFonts w:ascii="Lato" w:hAnsi="Lato" w:cs="Arial"/>
          <w:szCs w:val="22"/>
          <w:lang w:val="en-US"/>
        </w:rPr>
      </w:pPr>
      <w:r>
        <w:rPr>
          <w:rFonts w:ascii="Lato" w:hAnsi="Lato" w:cs="Arial"/>
          <w:b/>
          <w:szCs w:val="22"/>
          <w:lang w:val="en-US"/>
        </w:rPr>
        <w:t>Quality Teaching and Learning</w:t>
      </w:r>
      <w:r w:rsidR="00B22C7E" w:rsidRPr="00D251D0">
        <w:rPr>
          <w:rFonts w:ascii="Lato" w:hAnsi="Lato" w:cs="Arial"/>
          <w:szCs w:val="22"/>
          <w:lang w:val="en-US"/>
        </w:rPr>
        <w:t xml:space="preserve"> will:</w:t>
      </w:r>
    </w:p>
    <w:p w14:paraId="4DB571B0" w14:textId="6FDBCD98" w:rsidR="00B22C7E" w:rsidRPr="00D251D0" w:rsidRDefault="00B22C7E" w:rsidP="005307DA">
      <w:pPr>
        <w:numPr>
          <w:ilvl w:val="0"/>
          <w:numId w:val="2"/>
        </w:numPr>
        <w:spacing w:before="60" w:after="60"/>
        <w:ind w:left="283" w:hanging="357"/>
        <w:rPr>
          <w:rFonts w:ascii="Lato" w:hAnsi="Lato" w:cs="Arial"/>
          <w:szCs w:val="22"/>
          <w:lang w:val="en-US"/>
        </w:rPr>
      </w:pPr>
      <w:r w:rsidRPr="00D251D0">
        <w:rPr>
          <w:rFonts w:ascii="Lato" w:hAnsi="Lato" w:cs="Arial"/>
          <w:szCs w:val="22"/>
          <w:lang w:val="en-US"/>
        </w:rPr>
        <w:t xml:space="preserve">provide the top NTCET student and top </w:t>
      </w:r>
      <w:r w:rsidR="00C95E20">
        <w:rPr>
          <w:rFonts w:ascii="Lato" w:hAnsi="Lato" w:cs="Arial"/>
          <w:szCs w:val="22"/>
          <w:lang w:val="en-US"/>
        </w:rPr>
        <w:t>Aboriginal</w:t>
      </w:r>
      <w:r w:rsidRPr="00D251D0">
        <w:rPr>
          <w:rFonts w:ascii="Lato" w:hAnsi="Lato" w:cs="Arial"/>
          <w:szCs w:val="22"/>
          <w:lang w:val="en-US"/>
        </w:rPr>
        <w:t xml:space="preserve"> NTCET student results packages to Communications</w:t>
      </w:r>
      <w:r w:rsidR="00175CF7">
        <w:rPr>
          <w:rFonts w:ascii="Lato" w:hAnsi="Lato" w:cs="Arial"/>
          <w:szCs w:val="22"/>
          <w:lang w:val="en-US"/>
        </w:rPr>
        <w:t xml:space="preserve"> and Media</w:t>
      </w:r>
      <w:r w:rsidRPr="00D251D0">
        <w:rPr>
          <w:rFonts w:ascii="Lato" w:hAnsi="Lato" w:cs="Arial"/>
          <w:szCs w:val="22"/>
          <w:lang w:val="en-US"/>
        </w:rPr>
        <w:t xml:space="preserve">, for provision </w:t>
      </w:r>
      <w:r w:rsidR="00175CF7" w:rsidRPr="00D251D0">
        <w:rPr>
          <w:rFonts w:ascii="Lato" w:hAnsi="Lato" w:cs="Arial"/>
          <w:szCs w:val="22"/>
          <w:lang w:val="en-US"/>
        </w:rPr>
        <w:t>to</w:t>
      </w:r>
      <w:r w:rsidR="00175CF7">
        <w:rPr>
          <w:rFonts w:ascii="Lato" w:hAnsi="Lato" w:cs="Arial"/>
          <w:szCs w:val="22"/>
          <w:lang w:val="en-US"/>
        </w:rPr>
        <w:t xml:space="preserve"> Secretariat </w:t>
      </w:r>
    </w:p>
    <w:p w14:paraId="44D754B7" w14:textId="77777777" w:rsidR="00B22C7E" w:rsidRPr="00D251D0" w:rsidRDefault="00B22C7E" w:rsidP="005307DA">
      <w:pPr>
        <w:numPr>
          <w:ilvl w:val="0"/>
          <w:numId w:val="2"/>
        </w:numPr>
        <w:spacing w:before="60" w:after="60"/>
        <w:ind w:left="283" w:hanging="357"/>
        <w:rPr>
          <w:rFonts w:ascii="Lato" w:hAnsi="Lato" w:cs="Arial"/>
          <w:szCs w:val="22"/>
          <w:lang w:val="en-US"/>
        </w:rPr>
      </w:pPr>
      <w:r w:rsidRPr="00D251D0">
        <w:rPr>
          <w:rFonts w:ascii="Lato" w:hAnsi="Lato" w:cs="Arial"/>
          <w:szCs w:val="22"/>
          <w:lang w:val="en-US"/>
        </w:rPr>
        <w:t>determine the top twenty NTCET students from their university aggregate and any additional students who have gained an ATAR above or equal to the 20</w:t>
      </w:r>
      <w:r w:rsidRPr="00D251D0">
        <w:rPr>
          <w:rFonts w:ascii="Lato" w:hAnsi="Lato" w:cs="Arial"/>
          <w:szCs w:val="22"/>
          <w:vertAlign w:val="superscript"/>
          <w:lang w:val="en-US"/>
        </w:rPr>
        <w:t>th</w:t>
      </w:r>
      <w:r w:rsidRPr="00D251D0">
        <w:rPr>
          <w:rFonts w:ascii="Lato" w:hAnsi="Lato" w:cs="Arial"/>
          <w:szCs w:val="22"/>
          <w:lang w:val="en-US"/>
        </w:rPr>
        <w:t xml:space="preserve"> students’ ATAR for the first time</w:t>
      </w:r>
    </w:p>
    <w:p w14:paraId="13D9B9EA" w14:textId="498C4C3F" w:rsidR="00B22C7E" w:rsidRPr="00D251D0" w:rsidRDefault="00B22C7E" w:rsidP="005307DA">
      <w:pPr>
        <w:numPr>
          <w:ilvl w:val="0"/>
          <w:numId w:val="2"/>
        </w:numPr>
        <w:spacing w:before="60" w:after="60"/>
        <w:ind w:left="283" w:hanging="357"/>
        <w:rPr>
          <w:rFonts w:ascii="Lato" w:hAnsi="Lato" w:cs="Arial"/>
          <w:szCs w:val="22"/>
          <w:lang w:val="en-US"/>
        </w:rPr>
      </w:pPr>
      <w:r w:rsidRPr="00D251D0">
        <w:rPr>
          <w:rFonts w:ascii="Lato" w:hAnsi="Lato" w:cs="Arial"/>
          <w:szCs w:val="22"/>
          <w:lang w:val="en-US"/>
        </w:rPr>
        <w:t>provide the list of the top twenty NTCET students and additional top ATAR students in order of attainment and the school that they attended to Communications</w:t>
      </w:r>
      <w:r w:rsidR="00175CF7">
        <w:rPr>
          <w:rFonts w:ascii="Lato" w:hAnsi="Lato" w:cs="Arial"/>
          <w:szCs w:val="22"/>
          <w:lang w:val="en-US"/>
        </w:rPr>
        <w:t xml:space="preserve"> and Media</w:t>
      </w:r>
      <w:r w:rsidRPr="00D251D0">
        <w:rPr>
          <w:rFonts w:ascii="Lato" w:hAnsi="Lato" w:cs="Arial"/>
          <w:szCs w:val="22"/>
          <w:lang w:val="en-US"/>
        </w:rPr>
        <w:t>, for media release</w:t>
      </w:r>
    </w:p>
    <w:p w14:paraId="22BDF9C9" w14:textId="2655D665" w:rsidR="00B22C7E" w:rsidRPr="00D251D0" w:rsidRDefault="00B22C7E" w:rsidP="005307DA">
      <w:pPr>
        <w:numPr>
          <w:ilvl w:val="0"/>
          <w:numId w:val="2"/>
        </w:numPr>
        <w:spacing w:before="60" w:after="60"/>
        <w:ind w:left="283" w:hanging="357"/>
        <w:rPr>
          <w:rFonts w:ascii="Lato" w:hAnsi="Lato" w:cs="Arial"/>
          <w:szCs w:val="22"/>
          <w:lang w:val="en-US"/>
        </w:rPr>
      </w:pPr>
      <w:r w:rsidRPr="00D251D0">
        <w:rPr>
          <w:rFonts w:ascii="Lato" w:hAnsi="Lato" w:cs="Arial"/>
          <w:szCs w:val="22"/>
          <w:lang w:val="en-US"/>
        </w:rPr>
        <w:t>provide story leads to Communications</w:t>
      </w:r>
      <w:r w:rsidR="00175CF7">
        <w:rPr>
          <w:rFonts w:ascii="Lato" w:hAnsi="Lato" w:cs="Arial"/>
          <w:szCs w:val="22"/>
          <w:lang w:val="en-US"/>
        </w:rPr>
        <w:t xml:space="preserve"> and Media</w:t>
      </w:r>
      <w:r w:rsidRPr="00D251D0">
        <w:rPr>
          <w:rFonts w:ascii="Lato" w:hAnsi="Lato" w:cs="Arial"/>
          <w:szCs w:val="22"/>
          <w:lang w:val="en-US"/>
        </w:rPr>
        <w:t>, Department of Education for NT News result day spread</w:t>
      </w:r>
    </w:p>
    <w:p w14:paraId="6D245B33" w14:textId="77777777" w:rsidR="00B22C7E" w:rsidRPr="00D251D0" w:rsidRDefault="00B22C7E" w:rsidP="005307DA">
      <w:pPr>
        <w:numPr>
          <w:ilvl w:val="0"/>
          <w:numId w:val="2"/>
        </w:numPr>
        <w:spacing w:before="60" w:after="60"/>
        <w:ind w:left="283" w:hanging="357"/>
        <w:rPr>
          <w:rFonts w:ascii="Lato" w:hAnsi="Lato" w:cs="Arial"/>
          <w:szCs w:val="22"/>
          <w:lang w:val="en-US"/>
        </w:rPr>
      </w:pPr>
      <w:r w:rsidRPr="00D251D0">
        <w:rPr>
          <w:rFonts w:ascii="Lato" w:hAnsi="Lato" w:cs="Arial"/>
          <w:szCs w:val="22"/>
          <w:lang w:val="en-US"/>
        </w:rPr>
        <w:t>manage all student and parent enquiries through the results enquiry service line 1800 009282</w:t>
      </w:r>
    </w:p>
    <w:p w14:paraId="26CBA2CC" w14:textId="77777777" w:rsidR="00B22C7E" w:rsidRPr="00D251D0" w:rsidRDefault="00B22C7E" w:rsidP="005307DA">
      <w:pPr>
        <w:numPr>
          <w:ilvl w:val="0"/>
          <w:numId w:val="2"/>
        </w:numPr>
        <w:spacing w:before="60" w:after="60"/>
        <w:ind w:left="283" w:hanging="357"/>
        <w:rPr>
          <w:rFonts w:ascii="Lato" w:hAnsi="Lato" w:cs="Arial"/>
          <w:szCs w:val="22"/>
          <w:lang w:val="en-US"/>
        </w:rPr>
      </w:pPr>
      <w:r w:rsidRPr="00D251D0">
        <w:rPr>
          <w:rFonts w:ascii="Lato" w:hAnsi="Lato" w:cs="Arial"/>
          <w:szCs w:val="22"/>
          <w:lang w:val="en-US"/>
        </w:rPr>
        <w:t>provide contact details of the top twenty students to the Executive Officer NT Board of Studies.</w:t>
      </w:r>
    </w:p>
    <w:p w14:paraId="6D313BE8" w14:textId="77777777" w:rsidR="00B22C7E" w:rsidRPr="00D251D0" w:rsidRDefault="00B22C7E" w:rsidP="00B22C7E">
      <w:pPr>
        <w:ind w:left="284"/>
        <w:rPr>
          <w:rFonts w:ascii="Lato" w:hAnsi="Lato" w:cs="Arial"/>
          <w:b/>
          <w:szCs w:val="22"/>
          <w:lang w:val="en-US"/>
        </w:rPr>
      </w:pPr>
    </w:p>
    <w:p w14:paraId="14D41E48" w14:textId="460E9B6F" w:rsidR="00B22C7E" w:rsidRPr="00D251D0" w:rsidRDefault="00B22C7E" w:rsidP="00C95E20">
      <w:pPr>
        <w:ind w:left="-284"/>
        <w:rPr>
          <w:rFonts w:ascii="Lato" w:hAnsi="Lato" w:cs="Arial"/>
          <w:szCs w:val="22"/>
          <w:lang w:val="en-US"/>
        </w:rPr>
      </w:pPr>
      <w:r w:rsidRPr="00D251D0">
        <w:rPr>
          <w:rFonts w:ascii="Lato" w:hAnsi="Lato" w:cs="Arial"/>
          <w:b/>
          <w:szCs w:val="22"/>
          <w:lang w:val="en-US"/>
        </w:rPr>
        <w:t>Communications</w:t>
      </w:r>
      <w:r w:rsidRPr="00D251D0">
        <w:rPr>
          <w:rFonts w:ascii="Lato" w:hAnsi="Lato" w:cs="Arial"/>
          <w:szCs w:val="22"/>
          <w:lang w:val="en-US"/>
        </w:rPr>
        <w:t xml:space="preserve"> </w:t>
      </w:r>
      <w:r w:rsidR="00175CF7" w:rsidRPr="002220CA">
        <w:rPr>
          <w:rFonts w:ascii="Lato" w:hAnsi="Lato" w:cs="Arial"/>
          <w:b/>
          <w:szCs w:val="22"/>
          <w:lang w:val="en-US"/>
        </w:rPr>
        <w:t>and Media</w:t>
      </w:r>
      <w:r w:rsidR="00175CF7">
        <w:rPr>
          <w:rFonts w:ascii="Lato" w:hAnsi="Lato" w:cs="Arial"/>
          <w:szCs w:val="22"/>
          <w:lang w:val="en-US"/>
        </w:rPr>
        <w:t xml:space="preserve"> </w:t>
      </w:r>
      <w:r w:rsidRPr="00D251D0">
        <w:rPr>
          <w:rFonts w:ascii="Lato" w:hAnsi="Lato" w:cs="Arial"/>
          <w:szCs w:val="22"/>
          <w:lang w:val="en-US"/>
        </w:rPr>
        <w:t>will:</w:t>
      </w:r>
    </w:p>
    <w:p w14:paraId="289A7252" w14:textId="77777777" w:rsidR="00B22C7E" w:rsidRPr="00D251D0" w:rsidRDefault="00B22C7E" w:rsidP="00C95E20">
      <w:pPr>
        <w:numPr>
          <w:ilvl w:val="0"/>
          <w:numId w:val="3"/>
        </w:numPr>
        <w:spacing w:before="60" w:after="60"/>
        <w:ind w:left="283" w:hanging="357"/>
        <w:rPr>
          <w:rFonts w:ascii="Lato" w:hAnsi="Lato" w:cs="Arial"/>
          <w:szCs w:val="22"/>
          <w:lang w:val="en-US"/>
        </w:rPr>
      </w:pPr>
      <w:r w:rsidRPr="00D251D0">
        <w:rPr>
          <w:rFonts w:ascii="Lato" w:hAnsi="Lato" w:cs="Arial"/>
          <w:szCs w:val="22"/>
          <w:lang w:val="en-US"/>
        </w:rPr>
        <w:t xml:space="preserve">produce a media release with the top NTCET and top </w:t>
      </w:r>
      <w:r w:rsidR="00C95E20">
        <w:rPr>
          <w:rFonts w:ascii="Lato" w:hAnsi="Lato" w:cs="Arial"/>
          <w:szCs w:val="22"/>
          <w:lang w:val="en-US"/>
        </w:rPr>
        <w:t>Aboriginal</w:t>
      </w:r>
      <w:r w:rsidRPr="00D251D0">
        <w:rPr>
          <w:rFonts w:ascii="Lato" w:hAnsi="Lato" w:cs="Arial"/>
          <w:szCs w:val="22"/>
          <w:lang w:val="en-US"/>
        </w:rPr>
        <w:t xml:space="preserve"> NTCET student presentation information</w:t>
      </w:r>
    </w:p>
    <w:p w14:paraId="4820762D" w14:textId="77777777" w:rsidR="00B22C7E" w:rsidRPr="00D251D0" w:rsidRDefault="00B22C7E" w:rsidP="00C95E20">
      <w:pPr>
        <w:numPr>
          <w:ilvl w:val="0"/>
          <w:numId w:val="3"/>
        </w:numPr>
        <w:spacing w:before="60" w:after="60"/>
        <w:ind w:left="283" w:hanging="357"/>
        <w:rPr>
          <w:rFonts w:ascii="Lato" w:hAnsi="Lato" w:cs="Arial"/>
          <w:szCs w:val="22"/>
          <w:lang w:val="en-US"/>
        </w:rPr>
      </w:pPr>
      <w:r w:rsidRPr="00D251D0">
        <w:rPr>
          <w:rFonts w:ascii="Lato" w:hAnsi="Lato" w:cs="Arial"/>
          <w:szCs w:val="22"/>
          <w:lang w:val="en-US"/>
        </w:rPr>
        <w:t>manage all media enquiries</w:t>
      </w:r>
    </w:p>
    <w:p w14:paraId="206273A4" w14:textId="396DDAC0" w:rsidR="00B22C7E" w:rsidRPr="00D251D0" w:rsidRDefault="00B22C7E" w:rsidP="00C95E20">
      <w:pPr>
        <w:numPr>
          <w:ilvl w:val="0"/>
          <w:numId w:val="3"/>
        </w:numPr>
        <w:spacing w:before="60" w:after="60"/>
        <w:ind w:left="283" w:hanging="357"/>
        <w:rPr>
          <w:rFonts w:ascii="Lato" w:hAnsi="Lato" w:cs="Arial"/>
          <w:szCs w:val="22"/>
          <w:lang w:val="en-US"/>
        </w:rPr>
      </w:pPr>
      <w:r w:rsidRPr="00D251D0">
        <w:rPr>
          <w:rFonts w:ascii="Lato" w:hAnsi="Lato" w:cs="Arial"/>
          <w:szCs w:val="22"/>
          <w:lang w:val="en-US"/>
        </w:rPr>
        <w:t xml:space="preserve">liaise with </w:t>
      </w:r>
      <w:r w:rsidR="00175CF7">
        <w:rPr>
          <w:rFonts w:ascii="Lato" w:hAnsi="Lato" w:cs="Arial"/>
          <w:szCs w:val="22"/>
          <w:lang w:val="en-US"/>
        </w:rPr>
        <w:t xml:space="preserve">Secretariat </w:t>
      </w:r>
      <w:r w:rsidRPr="00D251D0">
        <w:rPr>
          <w:rFonts w:ascii="Lato" w:hAnsi="Lato" w:cs="Arial"/>
          <w:szCs w:val="22"/>
          <w:lang w:val="en-US"/>
        </w:rPr>
        <w:t xml:space="preserve">to </w:t>
      </w:r>
      <w:proofErr w:type="spellStart"/>
      <w:r w:rsidRPr="00D251D0">
        <w:rPr>
          <w:rFonts w:ascii="Lato" w:hAnsi="Lato" w:cs="Arial"/>
          <w:szCs w:val="22"/>
          <w:lang w:val="en-US"/>
        </w:rPr>
        <w:t>organise</w:t>
      </w:r>
      <w:proofErr w:type="spellEnd"/>
      <w:r w:rsidRPr="00D251D0">
        <w:rPr>
          <w:rFonts w:ascii="Lato" w:hAnsi="Lato" w:cs="Arial"/>
          <w:szCs w:val="22"/>
          <w:lang w:val="en-US"/>
        </w:rPr>
        <w:t xml:space="preserve"> result presentations to top NTCET and top </w:t>
      </w:r>
      <w:r w:rsidR="00C95E20">
        <w:rPr>
          <w:rFonts w:ascii="Lato" w:hAnsi="Lato" w:cs="Arial"/>
          <w:szCs w:val="22"/>
          <w:lang w:val="en-US"/>
        </w:rPr>
        <w:t>Aboriginal</w:t>
      </w:r>
      <w:r w:rsidRPr="00D251D0">
        <w:rPr>
          <w:rFonts w:ascii="Lato" w:hAnsi="Lato" w:cs="Arial"/>
          <w:szCs w:val="22"/>
          <w:lang w:val="en-US"/>
        </w:rPr>
        <w:t xml:space="preserve"> NTCET students</w:t>
      </w:r>
    </w:p>
    <w:p w14:paraId="7BFB2581" w14:textId="77777777" w:rsidR="00B22C7E" w:rsidRPr="00D251D0" w:rsidRDefault="00B22C7E" w:rsidP="00C95E20">
      <w:pPr>
        <w:numPr>
          <w:ilvl w:val="0"/>
          <w:numId w:val="3"/>
        </w:numPr>
        <w:spacing w:before="60" w:after="60"/>
        <w:ind w:left="283" w:hanging="357"/>
        <w:rPr>
          <w:rFonts w:ascii="Lato" w:hAnsi="Lato" w:cs="Arial"/>
          <w:szCs w:val="22"/>
          <w:lang w:val="en-US"/>
        </w:rPr>
      </w:pPr>
      <w:r w:rsidRPr="00D251D0">
        <w:rPr>
          <w:rFonts w:ascii="Lato" w:hAnsi="Lato" w:cs="Arial"/>
          <w:szCs w:val="22"/>
          <w:lang w:val="en-US"/>
        </w:rPr>
        <w:t>develop all web content for the top twenty students and additional top ATAR students</w:t>
      </w:r>
    </w:p>
    <w:p w14:paraId="6CDAB847" w14:textId="77777777" w:rsidR="00B22C7E" w:rsidRPr="00D251D0" w:rsidRDefault="00B22C7E" w:rsidP="00C95E20">
      <w:pPr>
        <w:numPr>
          <w:ilvl w:val="0"/>
          <w:numId w:val="3"/>
        </w:numPr>
        <w:spacing w:before="60" w:after="60"/>
        <w:ind w:left="283" w:hanging="357"/>
        <w:rPr>
          <w:rFonts w:ascii="Lato" w:hAnsi="Lato" w:cs="Arial"/>
          <w:szCs w:val="22"/>
          <w:lang w:val="en-US"/>
        </w:rPr>
      </w:pPr>
      <w:r w:rsidRPr="00D251D0">
        <w:rPr>
          <w:rFonts w:ascii="Lato" w:hAnsi="Lato" w:cs="Arial"/>
          <w:szCs w:val="22"/>
          <w:lang w:val="en-US"/>
        </w:rPr>
        <w:t>communicate with NT News to develop story lines on top students.</w:t>
      </w:r>
    </w:p>
    <w:p w14:paraId="1DDC63B9" w14:textId="77777777" w:rsidR="00B22C7E" w:rsidRPr="00D251D0" w:rsidRDefault="00B22C7E" w:rsidP="00B22C7E">
      <w:pPr>
        <w:ind w:left="284"/>
        <w:rPr>
          <w:rFonts w:ascii="Lato" w:hAnsi="Lato" w:cs="Arial"/>
          <w:szCs w:val="22"/>
          <w:lang w:val="en-US"/>
        </w:rPr>
      </w:pPr>
    </w:p>
    <w:p w14:paraId="2AEA6149" w14:textId="77777777" w:rsidR="00B22C7E" w:rsidRPr="00D251D0" w:rsidRDefault="00B22C7E" w:rsidP="00C95E20">
      <w:pPr>
        <w:ind w:left="-284"/>
        <w:rPr>
          <w:rFonts w:ascii="Lato" w:hAnsi="Lato" w:cs="Arial"/>
          <w:szCs w:val="22"/>
          <w:lang w:val="en-US"/>
        </w:rPr>
      </w:pPr>
      <w:r w:rsidRPr="00D251D0">
        <w:rPr>
          <w:rFonts w:ascii="Lato" w:hAnsi="Lato" w:cs="Arial"/>
          <w:b/>
          <w:szCs w:val="22"/>
          <w:lang w:val="en-US"/>
        </w:rPr>
        <w:t>Northern Territory Board of Studies</w:t>
      </w:r>
      <w:r w:rsidRPr="00D251D0">
        <w:rPr>
          <w:rFonts w:ascii="Lato" w:hAnsi="Lato" w:cs="Arial"/>
          <w:szCs w:val="22"/>
          <w:lang w:val="en-US"/>
        </w:rPr>
        <w:t xml:space="preserve"> will:</w:t>
      </w:r>
    </w:p>
    <w:p w14:paraId="7CA30662" w14:textId="77777777" w:rsidR="00B22C7E" w:rsidRPr="00D251D0" w:rsidRDefault="00B22C7E" w:rsidP="00C95E20">
      <w:pPr>
        <w:numPr>
          <w:ilvl w:val="0"/>
          <w:numId w:val="4"/>
        </w:numPr>
        <w:spacing w:before="60" w:after="60"/>
        <w:ind w:left="283" w:hanging="357"/>
        <w:rPr>
          <w:rFonts w:ascii="Lato" w:hAnsi="Lato" w:cs="Arial"/>
          <w:szCs w:val="22"/>
          <w:lang w:val="en-US"/>
        </w:rPr>
      </w:pPr>
      <w:r w:rsidRPr="00D251D0">
        <w:rPr>
          <w:rFonts w:ascii="Lato" w:hAnsi="Lato" w:cs="Arial"/>
          <w:szCs w:val="22"/>
          <w:lang w:val="en-US"/>
        </w:rPr>
        <w:t xml:space="preserve">provide information to the Northern Territory Board of Studies Chair and school sector heads regarding the presentation by the Minister for Education to the top twenty, top NTCET student and the top </w:t>
      </w:r>
      <w:r w:rsidR="00C95E20">
        <w:rPr>
          <w:rFonts w:ascii="Lato" w:hAnsi="Lato" w:cs="Arial"/>
          <w:szCs w:val="22"/>
          <w:lang w:val="en-US"/>
        </w:rPr>
        <w:t>Aboriginal</w:t>
      </w:r>
      <w:r w:rsidRPr="00D251D0">
        <w:rPr>
          <w:rFonts w:ascii="Lato" w:hAnsi="Lato" w:cs="Arial"/>
          <w:szCs w:val="22"/>
          <w:lang w:val="en-US"/>
        </w:rPr>
        <w:t xml:space="preserve"> student </w:t>
      </w:r>
    </w:p>
    <w:p w14:paraId="1538C7C7" w14:textId="77777777" w:rsidR="00B22C7E" w:rsidRPr="00D251D0" w:rsidRDefault="00B22C7E" w:rsidP="00C95E20">
      <w:pPr>
        <w:numPr>
          <w:ilvl w:val="0"/>
          <w:numId w:val="4"/>
        </w:numPr>
        <w:spacing w:before="60" w:after="60"/>
        <w:ind w:left="283" w:hanging="357"/>
        <w:rPr>
          <w:rFonts w:ascii="Lato" w:hAnsi="Lato" w:cs="Arial"/>
          <w:szCs w:val="22"/>
          <w:lang w:val="en-US"/>
        </w:rPr>
      </w:pPr>
      <w:proofErr w:type="spellStart"/>
      <w:r w:rsidRPr="00D251D0">
        <w:rPr>
          <w:rFonts w:ascii="Lato" w:hAnsi="Lato" w:cs="Arial"/>
          <w:szCs w:val="22"/>
          <w:lang w:val="en-US"/>
        </w:rPr>
        <w:t>organise</w:t>
      </w:r>
      <w:proofErr w:type="spellEnd"/>
      <w:r w:rsidRPr="00D251D0">
        <w:rPr>
          <w:rFonts w:ascii="Lato" w:hAnsi="Lato" w:cs="Arial"/>
          <w:szCs w:val="22"/>
          <w:lang w:val="en-US"/>
        </w:rPr>
        <w:t xml:space="preserve"> award ceremonies in Alice Springs and Darwin.</w:t>
      </w:r>
    </w:p>
    <w:p w14:paraId="3E54DF9B" w14:textId="77777777" w:rsidR="00B22C7E" w:rsidRPr="00D251D0" w:rsidRDefault="00B22C7E" w:rsidP="00B22C7E">
      <w:pPr>
        <w:ind w:left="284"/>
        <w:rPr>
          <w:rFonts w:ascii="Lato" w:hAnsi="Lato" w:cs="Arial"/>
          <w:szCs w:val="22"/>
          <w:lang w:val="en-US"/>
        </w:rPr>
      </w:pPr>
    </w:p>
    <w:p w14:paraId="59130DA1" w14:textId="3D660D99" w:rsidR="00B22C7E" w:rsidRPr="00D251D0" w:rsidRDefault="00397FA3" w:rsidP="00C95E20">
      <w:pPr>
        <w:ind w:left="-284"/>
        <w:rPr>
          <w:rFonts w:ascii="Lato" w:hAnsi="Lato" w:cs="Arial"/>
          <w:szCs w:val="22"/>
          <w:lang w:val="en-US"/>
        </w:rPr>
      </w:pPr>
      <w:r>
        <w:rPr>
          <w:rFonts w:ascii="Lato" w:hAnsi="Lato" w:cs="Arial"/>
          <w:b/>
          <w:szCs w:val="22"/>
          <w:lang w:val="en-US"/>
        </w:rPr>
        <w:t xml:space="preserve">General Manager Quality Teaching and Learning </w:t>
      </w:r>
      <w:r w:rsidR="00B22C7E" w:rsidRPr="00D251D0">
        <w:rPr>
          <w:rFonts w:ascii="Lato" w:hAnsi="Lato" w:cs="Arial"/>
          <w:szCs w:val="22"/>
          <w:lang w:val="en-US"/>
        </w:rPr>
        <w:t>will:</w:t>
      </w:r>
    </w:p>
    <w:p w14:paraId="4AFECEE7" w14:textId="1B341E9F" w:rsidR="00B22C7E" w:rsidRPr="00D251D0" w:rsidRDefault="00B22C7E" w:rsidP="00C95E20">
      <w:pPr>
        <w:numPr>
          <w:ilvl w:val="0"/>
          <w:numId w:val="4"/>
        </w:numPr>
        <w:spacing w:before="60" w:after="60"/>
        <w:ind w:left="283" w:hanging="357"/>
        <w:rPr>
          <w:rFonts w:ascii="Lato" w:hAnsi="Lato" w:cs="Arial"/>
          <w:szCs w:val="22"/>
          <w:lang w:val="en-US"/>
        </w:rPr>
      </w:pPr>
      <w:r w:rsidRPr="00D251D0">
        <w:rPr>
          <w:rFonts w:ascii="Lato" w:hAnsi="Lato" w:cs="Arial"/>
          <w:szCs w:val="22"/>
          <w:lang w:val="en-US"/>
        </w:rPr>
        <w:t xml:space="preserve">confirm data with Director </w:t>
      </w:r>
      <w:r w:rsidR="00397FA3">
        <w:rPr>
          <w:rFonts w:ascii="Lato" w:hAnsi="Lato" w:cs="Arial"/>
          <w:szCs w:val="22"/>
          <w:lang w:val="en-US"/>
        </w:rPr>
        <w:t>Teaching and Learning 10-12</w:t>
      </w:r>
      <w:r w:rsidRPr="00D251D0">
        <w:rPr>
          <w:rFonts w:ascii="Lato" w:hAnsi="Lato" w:cs="Arial"/>
          <w:szCs w:val="22"/>
          <w:lang w:val="en-US"/>
        </w:rPr>
        <w:t xml:space="preserve"> prior to release to Communications</w:t>
      </w:r>
      <w:r w:rsidR="00F70145">
        <w:rPr>
          <w:rFonts w:ascii="Lato" w:hAnsi="Lato" w:cs="Arial"/>
          <w:szCs w:val="22"/>
          <w:lang w:val="en-US"/>
        </w:rPr>
        <w:t xml:space="preserve"> and Media </w:t>
      </w:r>
    </w:p>
    <w:p w14:paraId="2C543F99" w14:textId="39876958" w:rsidR="00B22C7E" w:rsidRPr="00D251D0" w:rsidRDefault="00B22C7E" w:rsidP="00C95E20">
      <w:pPr>
        <w:numPr>
          <w:ilvl w:val="0"/>
          <w:numId w:val="4"/>
        </w:numPr>
        <w:spacing w:before="60" w:after="60"/>
        <w:ind w:left="283" w:hanging="357"/>
        <w:rPr>
          <w:rFonts w:ascii="Lato" w:hAnsi="Lato" w:cs="Arial"/>
          <w:szCs w:val="22"/>
          <w:lang w:val="en-US"/>
        </w:rPr>
      </w:pPr>
      <w:r w:rsidRPr="00D251D0">
        <w:rPr>
          <w:rFonts w:ascii="Lato" w:hAnsi="Lato" w:cs="Arial"/>
          <w:szCs w:val="22"/>
          <w:lang w:val="en-US"/>
        </w:rPr>
        <w:t>brief Department of Education Executive</w:t>
      </w:r>
      <w:r w:rsidR="008A753C">
        <w:rPr>
          <w:rFonts w:ascii="Lato" w:hAnsi="Lato" w:cs="Arial"/>
          <w:szCs w:val="22"/>
          <w:lang w:val="en-US"/>
        </w:rPr>
        <w:t xml:space="preserve"> Services</w:t>
      </w:r>
      <w:r w:rsidRPr="00D251D0">
        <w:rPr>
          <w:rFonts w:ascii="Lato" w:hAnsi="Lato" w:cs="Arial"/>
          <w:szCs w:val="22"/>
          <w:lang w:val="en-US"/>
        </w:rPr>
        <w:t xml:space="preserve"> and </w:t>
      </w:r>
      <w:r w:rsidR="00F70145">
        <w:rPr>
          <w:rFonts w:ascii="Lato" w:hAnsi="Lato" w:cs="Arial"/>
          <w:szCs w:val="22"/>
          <w:lang w:val="en-US"/>
        </w:rPr>
        <w:t xml:space="preserve">Secretariat </w:t>
      </w:r>
      <w:r w:rsidRPr="00D251D0">
        <w:rPr>
          <w:rFonts w:ascii="Lato" w:hAnsi="Lato" w:cs="Arial"/>
          <w:szCs w:val="22"/>
          <w:lang w:val="en-US"/>
        </w:rPr>
        <w:t>on NTCET results release activities.</w:t>
      </w:r>
    </w:p>
    <w:p w14:paraId="37189598" w14:textId="77777777" w:rsidR="00B22C7E" w:rsidRPr="00D251D0" w:rsidRDefault="00B22C7E" w:rsidP="00B22C7E">
      <w:pPr>
        <w:ind w:left="-284"/>
        <w:rPr>
          <w:rFonts w:ascii="Lato" w:hAnsi="Lato" w:cs="Arial"/>
          <w:szCs w:val="22"/>
          <w:lang w:val="en-US"/>
        </w:rPr>
      </w:pPr>
    </w:p>
    <w:p w14:paraId="452FA6DC" w14:textId="77777777" w:rsidR="00B22C7E" w:rsidRPr="00D251D0" w:rsidRDefault="00B22C7E" w:rsidP="00B22C7E">
      <w:pPr>
        <w:ind w:left="-284"/>
        <w:rPr>
          <w:rFonts w:ascii="Lato" w:hAnsi="Lato" w:cs="Arial"/>
          <w:szCs w:val="22"/>
          <w:lang w:val="en-US"/>
        </w:rPr>
      </w:pPr>
    </w:p>
    <w:p w14:paraId="50211A11" w14:textId="77777777" w:rsidR="00B22C7E" w:rsidRPr="00D01F0E" w:rsidRDefault="00B22C7E" w:rsidP="00B22C7E">
      <w:pPr>
        <w:pStyle w:val="Heading3"/>
        <w:spacing w:before="0" w:after="0"/>
        <w:ind w:left="-284"/>
        <w:rPr>
          <w:rFonts w:ascii="Lato" w:hAnsi="Lato"/>
          <w:szCs w:val="28"/>
        </w:rPr>
      </w:pPr>
      <w:r w:rsidRPr="00D01F0E">
        <w:rPr>
          <w:rFonts w:ascii="Lato" w:hAnsi="Lato"/>
          <w:szCs w:val="28"/>
        </w:rPr>
        <w:lastRenderedPageBreak/>
        <w:t>GUIDELINES/PROCEDURES</w:t>
      </w:r>
    </w:p>
    <w:p w14:paraId="20F1D758" w14:textId="77777777" w:rsidR="00C95E20" w:rsidRDefault="00C95E20" w:rsidP="00B22C7E">
      <w:pPr>
        <w:pStyle w:val="Heading4"/>
        <w:ind w:left="284"/>
        <w:rPr>
          <w:rFonts w:ascii="Lato" w:hAnsi="Lato"/>
          <w:szCs w:val="22"/>
        </w:rPr>
      </w:pPr>
    </w:p>
    <w:p w14:paraId="78DF0449" w14:textId="77777777" w:rsidR="00B22C7E" w:rsidRPr="00C95E20" w:rsidRDefault="00B22C7E" w:rsidP="00C95E20">
      <w:pPr>
        <w:pStyle w:val="Heading4"/>
        <w:ind w:left="-142"/>
        <w:rPr>
          <w:rFonts w:ascii="Lato" w:hAnsi="Lato"/>
          <w:sz w:val="24"/>
        </w:rPr>
      </w:pPr>
      <w:r w:rsidRPr="00C95E20">
        <w:rPr>
          <w:rFonts w:ascii="Lato" w:hAnsi="Lato"/>
          <w:sz w:val="24"/>
        </w:rPr>
        <w:t>Procedures</w:t>
      </w:r>
    </w:p>
    <w:p w14:paraId="1EB46300" w14:textId="77777777" w:rsidR="00B22C7E" w:rsidRPr="00D251D0" w:rsidRDefault="00B22C7E" w:rsidP="00C95E20">
      <w:pPr>
        <w:ind w:left="-142"/>
        <w:rPr>
          <w:rFonts w:ascii="Lato" w:hAnsi="Lato" w:cs="Arial"/>
          <w:szCs w:val="22"/>
          <w:lang w:val="en-US"/>
        </w:rPr>
      </w:pPr>
      <w:r w:rsidRPr="00D251D0">
        <w:rPr>
          <w:rFonts w:ascii="Lato" w:hAnsi="Lato" w:cs="Arial"/>
          <w:szCs w:val="22"/>
          <w:lang w:val="en-US"/>
        </w:rPr>
        <w:t>The NTCET results are released via the South Australian Certificate of Education (SACE) Board of South Australia in December of each year. Stage 2 students sign consent forms as part of the enrolment process to release their personal information to the Northern Territory Board of Studies</w:t>
      </w:r>
      <w:r w:rsidR="00430489">
        <w:rPr>
          <w:rFonts w:ascii="Lato" w:hAnsi="Lato" w:cs="Arial"/>
          <w:szCs w:val="22"/>
          <w:lang w:val="en-US"/>
        </w:rPr>
        <w:t xml:space="preserve"> (NTBOS)</w:t>
      </w:r>
      <w:r w:rsidRPr="00D251D0">
        <w:rPr>
          <w:rFonts w:ascii="Lato" w:hAnsi="Lato" w:cs="Arial"/>
          <w:szCs w:val="22"/>
          <w:lang w:val="en-US"/>
        </w:rPr>
        <w:t>, to the SACE Board, to the South Australian Tertiary Admissions Centre (SATAC) and to the media.</w:t>
      </w:r>
    </w:p>
    <w:p w14:paraId="0946C1DB" w14:textId="77777777" w:rsidR="00B22C7E" w:rsidRPr="00D251D0" w:rsidRDefault="00B22C7E" w:rsidP="00C95E20">
      <w:pPr>
        <w:ind w:left="-142"/>
        <w:rPr>
          <w:rFonts w:ascii="Lato" w:hAnsi="Lato" w:cs="Arial"/>
          <w:szCs w:val="22"/>
          <w:lang w:val="en-US"/>
        </w:rPr>
      </w:pPr>
    </w:p>
    <w:p w14:paraId="7A87B3A4" w14:textId="1AE1158F" w:rsidR="00B22C7E" w:rsidRPr="00D251D0" w:rsidRDefault="00B22C7E" w:rsidP="00C95E20">
      <w:pPr>
        <w:ind w:left="-142"/>
        <w:rPr>
          <w:rFonts w:ascii="Lato" w:hAnsi="Lato" w:cs="Arial"/>
          <w:szCs w:val="22"/>
          <w:lang w:val="en-US"/>
        </w:rPr>
      </w:pPr>
      <w:r w:rsidRPr="00D251D0">
        <w:rPr>
          <w:rFonts w:ascii="Lato" w:hAnsi="Lato" w:cs="Arial"/>
          <w:szCs w:val="22"/>
          <w:lang w:val="en-US"/>
        </w:rPr>
        <w:t xml:space="preserve">A written brief of NTCET results is provided to the Chief Executive, Department of Education (DoE) and DoE </w:t>
      </w:r>
      <w:r w:rsidR="008A753C">
        <w:rPr>
          <w:rFonts w:ascii="Lato" w:hAnsi="Lato" w:cs="Arial"/>
          <w:szCs w:val="22"/>
          <w:lang w:val="en-US"/>
        </w:rPr>
        <w:t xml:space="preserve">Communications and Media </w:t>
      </w:r>
      <w:r w:rsidR="00B20919">
        <w:rPr>
          <w:rFonts w:ascii="Lato" w:hAnsi="Lato" w:cs="Arial"/>
          <w:szCs w:val="22"/>
          <w:lang w:val="en-US"/>
        </w:rPr>
        <w:t>that</w:t>
      </w:r>
      <w:r w:rsidRPr="00D251D0">
        <w:rPr>
          <w:rFonts w:ascii="Lato" w:hAnsi="Lato" w:cs="Arial"/>
          <w:szCs w:val="22"/>
          <w:lang w:val="en-US"/>
        </w:rPr>
        <w:t xml:space="preserve"> provides the basis for any </w:t>
      </w:r>
      <w:r w:rsidR="00430489">
        <w:rPr>
          <w:rFonts w:ascii="Lato" w:hAnsi="Lato" w:cs="Arial"/>
          <w:szCs w:val="22"/>
          <w:lang w:val="en-US"/>
        </w:rPr>
        <w:t>m</w:t>
      </w:r>
      <w:r w:rsidRPr="00D251D0">
        <w:rPr>
          <w:rFonts w:ascii="Lato" w:hAnsi="Lato" w:cs="Arial"/>
          <w:szCs w:val="22"/>
          <w:lang w:val="en-US"/>
        </w:rPr>
        <w:t>inisterial briefings.</w:t>
      </w:r>
    </w:p>
    <w:p w14:paraId="4303868D" w14:textId="77777777" w:rsidR="00B22C7E" w:rsidRPr="00D251D0" w:rsidRDefault="00B22C7E" w:rsidP="00C95E20">
      <w:pPr>
        <w:ind w:left="-142"/>
        <w:rPr>
          <w:rFonts w:ascii="Lato" w:hAnsi="Lato" w:cs="Arial"/>
          <w:szCs w:val="22"/>
          <w:lang w:val="en-US"/>
        </w:rPr>
      </w:pPr>
    </w:p>
    <w:p w14:paraId="794D9F51" w14:textId="4E8FE21F" w:rsidR="00B22C7E" w:rsidRPr="00D251D0" w:rsidRDefault="00B22C7E" w:rsidP="00C95E20">
      <w:pPr>
        <w:ind w:left="-142"/>
        <w:rPr>
          <w:rFonts w:ascii="Lato" w:hAnsi="Lato" w:cs="Arial"/>
          <w:szCs w:val="22"/>
          <w:lang w:val="en-US"/>
        </w:rPr>
      </w:pPr>
      <w:r w:rsidRPr="00D251D0">
        <w:rPr>
          <w:rFonts w:ascii="Lato" w:hAnsi="Lato" w:cs="Arial"/>
          <w:szCs w:val="22"/>
          <w:lang w:val="en-US"/>
        </w:rPr>
        <w:t xml:space="preserve">Communications </w:t>
      </w:r>
      <w:r w:rsidR="008A753C">
        <w:rPr>
          <w:rFonts w:ascii="Lato" w:hAnsi="Lato" w:cs="Arial"/>
          <w:szCs w:val="22"/>
          <w:lang w:val="en-US"/>
        </w:rPr>
        <w:t xml:space="preserve">and Media </w:t>
      </w:r>
      <w:r w:rsidRPr="00D251D0">
        <w:rPr>
          <w:rFonts w:ascii="Lato" w:hAnsi="Lato" w:cs="Arial"/>
          <w:szCs w:val="22"/>
          <w:lang w:val="en-US"/>
        </w:rPr>
        <w:t xml:space="preserve">develops all web content which is approved by the Director </w:t>
      </w:r>
      <w:r w:rsidR="00397FA3">
        <w:rPr>
          <w:rFonts w:ascii="Lato" w:hAnsi="Lato" w:cs="Arial"/>
          <w:szCs w:val="22"/>
          <w:lang w:val="en-US"/>
        </w:rPr>
        <w:t>Teaching and Learning 10-12</w:t>
      </w:r>
      <w:r w:rsidRPr="00D251D0">
        <w:rPr>
          <w:rFonts w:ascii="Lato" w:hAnsi="Lato" w:cs="Arial"/>
          <w:szCs w:val="22"/>
          <w:lang w:val="en-US"/>
        </w:rPr>
        <w:t xml:space="preserve"> prior to publication. Communications </w:t>
      </w:r>
      <w:r w:rsidR="008A753C">
        <w:rPr>
          <w:rFonts w:ascii="Lato" w:hAnsi="Lato" w:cs="Arial"/>
          <w:szCs w:val="22"/>
          <w:lang w:val="en-US"/>
        </w:rPr>
        <w:t xml:space="preserve">and Media </w:t>
      </w:r>
      <w:r w:rsidRPr="00D251D0">
        <w:rPr>
          <w:rFonts w:ascii="Lato" w:hAnsi="Lato" w:cs="Arial"/>
          <w:szCs w:val="22"/>
          <w:lang w:val="en-US"/>
        </w:rPr>
        <w:t xml:space="preserve">publishes the names of the top </w:t>
      </w:r>
      <w:r w:rsidR="00B20919">
        <w:rPr>
          <w:rFonts w:ascii="Lato" w:hAnsi="Lato" w:cs="Arial"/>
          <w:szCs w:val="22"/>
          <w:lang w:val="en-US"/>
        </w:rPr>
        <w:t>20</w:t>
      </w:r>
      <w:r w:rsidRPr="00D251D0">
        <w:rPr>
          <w:rFonts w:ascii="Lato" w:hAnsi="Lato" w:cs="Arial"/>
          <w:szCs w:val="22"/>
          <w:lang w:val="en-US"/>
        </w:rPr>
        <w:t xml:space="preserve"> NTCET completers of that school year and additional top ATAR students on the DoE website. Director </w:t>
      </w:r>
      <w:r w:rsidR="007C41C3">
        <w:rPr>
          <w:rFonts w:ascii="Lato" w:hAnsi="Lato" w:cs="Arial"/>
          <w:szCs w:val="22"/>
          <w:lang w:val="en-US"/>
        </w:rPr>
        <w:t>Teaching and Learning 10-12</w:t>
      </w:r>
      <w:r w:rsidRPr="00D251D0">
        <w:rPr>
          <w:rFonts w:ascii="Lato" w:hAnsi="Lato" w:cs="Arial"/>
          <w:szCs w:val="22"/>
          <w:lang w:val="en-US"/>
        </w:rPr>
        <w:t xml:space="preserve"> provides NTBOS Chair, sector executives and schools with an electronic link to the website.</w:t>
      </w:r>
    </w:p>
    <w:p w14:paraId="31E5ED4C" w14:textId="77777777" w:rsidR="00B22C7E" w:rsidRPr="00D251D0" w:rsidRDefault="00B22C7E" w:rsidP="00C95E20">
      <w:pPr>
        <w:ind w:left="-142"/>
        <w:rPr>
          <w:rFonts w:ascii="Lato" w:hAnsi="Lato" w:cs="Arial"/>
          <w:szCs w:val="22"/>
          <w:lang w:val="en-US"/>
        </w:rPr>
      </w:pPr>
    </w:p>
    <w:p w14:paraId="5CCD54A6" w14:textId="77777777" w:rsidR="00B22C7E" w:rsidRPr="00D251D0" w:rsidRDefault="00B22C7E" w:rsidP="00C95E20">
      <w:pPr>
        <w:ind w:left="-142"/>
        <w:rPr>
          <w:rFonts w:ascii="Lato" w:hAnsi="Lato" w:cs="Arial"/>
          <w:szCs w:val="22"/>
          <w:lang w:val="en-US"/>
        </w:rPr>
      </w:pPr>
      <w:r w:rsidRPr="00D251D0">
        <w:rPr>
          <w:rFonts w:ascii="Lato" w:hAnsi="Lato" w:cs="Arial"/>
          <w:szCs w:val="22"/>
          <w:lang w:val="en-US"/>
        </w:rPr>
        <w:t xml:space="preserve">The top </w:t>
      </w:r>
      <w:r w:rsidR="00B20919">
        <w:rPr>
          <w:rFonts w:ascii="Lato" w:hAnsi="Lato" w:cs="Arial"/>
          <w:szCs w:val="22"/>
          <w:lang w:val="en-US"/>
        </w:rPr>
        <w:t>20</w:t>
      </w:r>
      <w:r w:rsidRPr="00D251D0">
        <w:rPr>
          <w:rFonts w:ascii="Lato" w:hAnsi="Lato" w:cs="Arial"/>
          <w:szCs w:val="22"/>
          <w:lang w:val="en-US"/>
        </w:rPr>
        <w:t xml:space="preserve"> NTCET students are NTCET completers for the first time in that </w:t>
      </w:r>
      <w:proofErr w:type="gramStart"/>
      <w:r w:rsidRPr="00D251D0">
        <w:rPr>
          <w:rFonts w:ascii="Lato" w:hAnsi="Lato" w:cs="Arial"/>
          <w:szCs w:val="22"/>
          <w:lang w:val="en-US"/>
        </w:rPr>
        <w:t>particular school</w:t>
      </w:r>
      <w:proofErr w:type="gramEnd"/>
      <w:r w:rsidRPr="00D251D0">
        <w:rPr>
          <w:rFonts w:ascii="Lato" w:hAnsi="Lato" w:cs="Arial"/>
          <w:szCs w:val="22"/>
          <w:lang w:val="en-US"/>
        </w:rPr>
        <w:t xml:space="preserve"> year and are determined from their University Aggregate. The top </w:t>
      </w:r>
      <w:r w:rsidR="00B20919">
        <w:rPr>
          <w:rFonts w:ascii="Lato" w:hAnsi="Lato" w:cs="Arial"/>
          <w:szCs w:val="22"/>
          <w:lang w:val="en-US"/>
        </w:rPr>
        <w:t>20</w:t>
      </w:r>
      <w:r w:rsidRPr="00D251D0">
        <w:rPr>
          <w:rFonts w:ascii="Lato" w:hAnsi="Lato" w:cs="Arial"/>
          <w:szCs w:val="22"/>
          <w:lang w:val="en-US"/>
        </w:rPr>
        <w:t xml:space="preserve"> NTCET students are ranked by their University Aggregate. If the final rank contains more than one </w:t>
      </w:r>
      <w:proofErr w:type="gramStart"/>
      <w:r w:rsidRPr="00D251D0">
        <w:rPr>
          <w:rFonts w:ascii="Lato" w:hAnsi="Lato" w:cs="Arial"/>
          <w:szCs w:val="22"/>
          <w:lang w:val="en-US"/>
        </w:rPr>
        <w:t>student</w:t>
      </w:r>
      <w:proofErr w:type="gramEnd"/>
      <w:r w:rsidRPr="00D251D0">
        <w:rPr>
          <w:rFonts w:ascii="Lato" w:hAnsi="Lato" w:cs="Arial"/>
          <w:szCs w:val="22"/>
          <w:lang w:val="en-US"/>
        </w:rPr>
        <w:t xml:space="preserve"> then the top </w:t>
      </w:r>
      <w:r w:rsidR="00B20919">
        <w:rPr>
          <w:rFonts w:ascii="Lato" w:hAnsi="Lato" w:cs="Arial"/>
          <w:szCs w:val="22"/>
          <w:lang w:val="en-US"/>
        </w:rPr>
        <w:t>20</w:t>
      </w:r>
      <w:r w:rsidRPr="00D251D0">
        <w:rPr>
          <w:rFonts w:ascii="Lato" w:hAnsi="Lato" w:cs="Arial"/>
          <w:szCs w:val="22"/>
          <w:lang w:val="en-US"/>
        </w:rPr>
        <w:t xml:space="preserve"> may include additional students.</w:t>
      </w:r>
      <w:r w:rsidR="00B20919">
        <w:rPr>
          <w:rFonts w:ascii="Lato" w:hAnsi="Lato" w:cs="Arial"/>
          <w:szCs w:val="22"/>
          <w:lang w:val="en-US"/>
        </w:rPr>
        <w:t xml:space="preserve"> </w:t>
      </w:r>
      <w:r w:rsidRPr="00D251D0">
        <w:rPr>
          <w:rFonts w:ascii="Lato" w:hAnsi="Lato" w:cs="Arial"/>
          <w:szCs w:val="22"/>
          <w:lang w:val="en-US"/>
        </w:rPr>
        <w:t xml:space="preserve">Also </w:t>
      </w:r>
      <w:proofErr w:type="spellStart"/>
      <w:r w:rsidRPr="00D251D0">
        <w:rPr>
          <w:rFonts w:ascii="Lato" w:hAnsi="Lato" w:cs="Arial"/>
          <w:szCs w:val="22"/>
          <w:lang w:val="en-US"/>
        </w:rPr>
        <w:t>recognised</w:t>
      </w:r>
      <w:proofErr w:type="spellEnd"/>
      <w:r w:rsidRPr="00D251D0">
        <w:rPr>
          <w:rFonts w:ascii="Lato" w:hAnsi="Lato" w:cs="Arial"/>
          <w:szCs w:val="22"/>
          <w:lang w:val="en-US"/>
        </w:rPr>
        <w:t xml:space="preserve"> in the NT News and on the </w:t>
      </w:r>
      <w:proofErr w:type="gramStart"/>
      <w:r w:rsidRPr="00D251D0">
        <w:rPr>
          <w:rFonts w:ascii="Lato" w:hAnsi="Lato" w:cs="Arial"/>
          <w:szCs w:val="22"/>
          <w:lang w:val="en-US"/>
        </w:rPr>
        <w:t>DoE</w:t>
      </w:r>
      <w:proofErr w:type="gramEnd"/>
      <w:r w:rsidRPr="00D251D0">
        <w:rPr>
          <w:rFonts w:ascii="Lato" w:hAnsi="Lato" w:cs="Arial"/>
          <w:szCs w:val="22"/>
          <w:lang w:val="en-US"/>
        </w:rPr>
        <w:t xml:space="preserve"> website are students with equal or higher ATARs than the 20</w:t>
      </w:r>
      <w:r w:rsidRPr="00D251D0">
        <w:rPr>
          <w:rFonts w:ascii="Lato" w:hAnsi="Lato" w:cs="Arial"/>
          <w:szCs w:val="22"/>
          <w:vertAlign w:val="superscript"/>
          <w:lang w:val="en-US"/>
        </w:rPr>
        <w:t>th</w:t>
      </w:r>
      <w:r w:rsidRPr="00D251D0">
        <w:rPr>
          <w:rFonts w:ascii="Lato" w:hAnsi="Lato" w:cs="Arial"/>
          <w:szCs w:val="22"/>
          <w:lang w:val="en-US"/>
        </w:rPr>
        <w:t xml:space="preserve"> student and who have gained an ATAR for the first time.</w:t>
      </w:r>
    </w:p>
    <w:p w14:paraId="4C354E8D" w14:textId="77777777" w:rsidR="00B22C7E" w:rsidRPr="00D251D0" w:rsidRDefault="00B22C7E" w:rsidP="00C95E20">
      <w:pPr>
        <w:ind w:left="-142"/>
        <w:rPr>
          <w:rFonts w:ascii="Lato" w:hAnsi="Lato" w:cs="Arial"/>
          <w:szCs w:val="22"/>
          <w:lang w:val="en-US"/>
        </w:rPr>
      </w:pPr>
    </w:p>
    <w:p w14:paraId="341366CB" w14:textId="77777777" w:rsidR="00B22C7E" w:rsidRPr="00D251D0" w:rsidRDefault="00B22C7E" w:rsidP="00C95E20">
      <w:pPr>
        <w:ind w:left="-142"/>
        <w:rPr>
          <w:rFonts w:ascii="Lato" w:hAnsi="Lato" w:cs="Arial"/>
          <w:szCs w:val="22"/>
          <w:lang w:val="en-US"/>
        </w:rPr>
      </w:pPr>
      <w:r w:rsidRPr="00D251D0">
        <w:rPr>
          <w:rFonts w:ascii="Lato" w:hAnsi="Lato" w:cs="Arial"/>
          <w:szCs w:val="22"/>
          <w:lang w:val="en-US"/>
        </w:rPr>
        <w:t xml:space="preserve">The top NTCET student and the top </w:t>
      </w:r>
      <w:r w:rsidR="00430489">
        <w:rPr>
          <w:rFonts w:ascii="Lato" w:hAnsi="Lato" w:cs="Arial"/>
          <w:szCs w:val="22"/>
          <w:lang w:val="en-US"/>
        </w:rPr>
        <w:t>Aboriginal</w:t>
      </w:r>
      <w:r w:rsidRPr="00D251D0">
        <w:rPr>
          <w:rFonts w:ascii="Lato" w:hAnsi="Lato" w:cs="Arial"/>
          <w:szCs w:val="22"/>
          <w:lang w:val="en-US"/>
        </w:rPr>
        <w:t xml:space="preserve"> NTCET student result packages are returned from the SACE Board to be presented to the respective stu</w:t>
      </w:r>
      <w:r w:rsidR="00430489">
        <w:rPr>
          <w:rFonts w:ascii="Lato" w:hAnsi="Lato" w:cs="Arial"/>
          <w:szCs w:val="22"/>
          <w:lang w:val="en-US"/>
        </w:rPr>
        <w:t xml:space="preserve">dents by the </w:t>
      </w:r>
      <w:r w:rsidRPr="00D251D0">
        <w:rPr>
          <w:rFonts w:ascii="Lato" w:hAnsi="Lato" w:cs="Arial"/>
          <w:szCs w:val="22"/>
          <w:lang w:val="en-US"/>
        </w:rPr>
        <w:t xml:space="preserve">Minister for Education (or a delegate) on the morning of the results release day. </w:t>
      </w:r>
    </w:p>
    <w:p w14:paraId="675B3EFA" w14:textId="77777777" w:rsidR="00B22C7E" w:rsidRPr="00D251D0" w:rsidRDefault="00B22C7E" w:rsidP="00C95E20">
      <w:pPr>
        <w:ind w:left="-142"/>
        <w:rPr>
          <w:rFonts w:ascii="Lato" w:hAnsi="Lato" w:cs="Arial"/>
          <w:szCs w:val="22"/>
          <w:lang w:val="en-US"/>
        </w:rPr>
      </w:pPr>
    </w:p>
    <w:p w14:paraId="328BF6BB" w14:textId="00E29210" w:rsidR="00B22C7E" w:rsidRPr="00D251D0" w:rsidRDefault="00B22C7E" w:rsidP="00C95E20">
      <w:pPr>
        <w:ind w:left="-142"/>
        <w:rPr>
          <w:rFonts w:ascii="Lato" w:hAnsi="Lato" w:cs="Arial"/>
          <w:szCs w:val="22"/>
          <w:lang w:val="en-US"/>
        </w:rPr>
      </w:pPr>
      <w:r w:rsidRPr="00D251D0">
        <w:rPr>
          <w:rFonts w:ascii="Lato" w:hAnsi="Lato" w:cs="Arial"/>
          <w:szCs w:val="22"/>
          <w:lang w:val="en-US"/>
        </w:rPr>
        <w:t>The media are invited by Communications</w:t>
      </w:r>
      <w:r w:rsidR="00175CF7">
        <w:rPr>
          <w:rFonts w:ascii="Lato" w:hAnsi="Lato" w:cs="Arial"/>
          <w:szCs w:val="22"/>
          <w:lang w:val="en-US"/>
        </w:rPr>
        <w:t xml:space="preserve"> and Media</w:t>
      </w:r>
      <w:r w:rsidRPr="00D251D0">
        <w:rPr>
          <w:rFonts w:ascii="Lato" w:hAnsi="Lato" w:cs="Arial"/>
          <w:szCs w:val="22"/>
          <w:lang w:val="en-US"/>
        </w:rPr>
        <w:t xml:space="preserve"> to attend the official presentation of results to the top NTCET and top </w:t>
      </w:r>
      <w:r w:rsidR="00430489">
        <w:rPr>
          <w:rFonts w:ascii="Lato" w:hAnsi="Lato" w:cs="Arial"/>
          <w:szCs w:val="22"/>
          <w:lang w:val="en-US"/>
        </w:rPr>
        <w:t>Aboriginal</w:t>
      </w:r>
      <w:r w:rsidR="00C86BA1">
        <w:rPr>
          <w:rFonts w:ascii="Lato" w:hAnsi="Lato" w:cs="Arial"/>
          <w:szCs w:val="22"/>
          <w:lang w:val="en-US"/>
        </w:rPr>
        <w:t xml:space="preserve"> </w:t>
      </w:r>
      <w:r w:rsidRPr="00D251D0">
        <w:rPr>
          <w:rFonts w:ascii="Lato" w:hAnsi="Lato" w:cs="Arial"/>
          <w:szCs w:val="22"/>
          <w:lang w:val="en-US"/>
        </w:rPr>
        <w:t>NTCET students.</w:t>
      </w:r>
    </w:p>
    <w:p w14:paraId="3E852BB7" w14:textId="77777777" w:rsidR="00B22C7E" w:rsidRPr="00D251D0" w:rsidRDefault="00B22C7E" w:rsidP="00C95E20">
      <w:pPr>
        <w:ind w:left="-142"/>
        <w:rPr>
          <w:rFonts w:ascii="Lato" w:hAnsi="Lato" w:cs="Arial"/>
          <w:szCs w:val="22"/>
          <w:lang w:val="en-US"/>
        </w:rPr>
      </w:pPr>
    </w:p>
    <w:p w14:paraId="15EAE5C6" w14:textId="77777777" w:rsidR="00B22C7E" w:rsidRPr="00D251D0" w:rsidRDefault="00B22C7E" w:rsidP="00C95E20">
      <w:pPr>
        <w:ind w:left="-142"/>
        <w:rPr>
          <w:rFonts w:ascii="Lato" w:hAnsi="Lato" w:cs="Arial"/>
          <w:szCs w:val="22"/>
          <w:lang w:val="en-US"/>
        </w:rPr>
      </w:pPr>
      <w:r w:rsidRPr="00D251D0">
        <w:rPr>
          <w:rFonts w:ascii="Lato" w:hAnsi="Lato" w:cs="Arial"/>
          <w:szCs w:val="22"/>
          <w:lang w:val="en-US"/>
        </w:rPr>
        <w:t xml:space="preserve">An NTCET results package is posted to the remainder of the NTCET completers at their provided address. </w:t>
      </w:r>
    </w:p>
    <w:p w14:paraId="6F7D8BAF" w14:textId="77777777" w:rsidR="00B22C7E" w:rsidRPr="00D251D0" w:rsidRDefault="00B22C7E" w:rsidP="00C95E20">
      <w:pPr>
        <w:ind w:left="-142"/>
        <w:rPr>
          <w:rFonts w:ascii="Lato" w:hAnsi="Lato" w:cs="Arial"/>
          <w:szCs w:val="22"/>
          <w:lang w:val="en-US"/>
        </w:rPr>
      </w:pPr>
    </w:p>
    <w:p w14:paraId="3E649F9A" w14:textId="77777777" w:rsidR="00B22C7E" w:rsidRPr="00D251D0" w:rsidRDefault="00B22C7E" w:rsidP="00C95E20">
      <w:pPr>
        <w:ind w:left="-142"/>
        <w:rPr>
          <w:rFonts w:ascii="Lato" w:hAnsi="Lato" w:cs="Arial"/>
          <w:szCs w:val="22"/>
          <w:lang w:val="en-US"/>
        </w:rPr>
      </w:pPr>
      <w:r w:rsidRPr="00D251D0">
        <w:rPr>
          <w:rFonts w:ascii="Lato" w:hAnsi="Lato" w:cs="Arial"/>
          <w:szCs w:val="22"/>
          <w:lang w:val="en-US"/>
        </w:rPr>
        <w:t xml:space="preserve">On the day of results release the names of the top twenty NTCET students, in order of attainment and the school that they attended is released to the media. As is the </w:t>
      </w:r>
      <w:proofErr w:type="gramStart"/>
      <w:r w:rsidRPr="00D251D0">
        <w:rPr>
          <w:rFonts w:ascii="Lato" w:hAnsi="Lato" w:cs="Arial"/>
          <w:szCs w:val="22"/>
          <w:lang w:val="en-US"/>
        </w:rPr>
        <w:t>students</w:t>
      </w:r>
      <w:proofErr w:type="gramEnd"/>
      <w:r w:rsidRPr="00D251D0">
        <w:rPr>
          <w:rFonts w:ascii="Lato" w:hAnsi="Lato" w:cs="Arial"/>
          <w:szCs w:val="22"/>
          <w:lang w:val="en-US"/>
        </w:rPr>
        <w:t xml:space="preserve"> university aggregate and Australian Tertiary Admission Rank (ATAR).</w:t>
      </w:r>
      <w:r w:rsidR="00B20919">
        <w:rPr>
          <w:rFonts w:ascii="Lato" w:hAnsi="Lato" w:cs="Arial"/>
          <w:szCs w:val="22"/>
          <w:lang w:val="en-US"/>
        </w:rPr>
        <w:t xml:space="preserve"> </w:t>
      </w:r>
      <w:r w:rsidRPr="00D251D0">
        <w:rPr>
          <w:rFonts w:ascii="Lato" w:hAnsi="Lato" w:cs="Arial"/>
          <w:szCs w:val="22"/>
          <w:lang w:val="en-US"/>
        </w:rPr>
        <w:t xml:space="preserve">Also </w:t>
      </w:r>
      <w:proofErr w:type="spellStart"/>
      <w:r w:rsidRPr="00D251D0">
        <w:rPr>
          <w:rFonts w:ascii="Lato" w:hAnsi="Lato" w:cs="Arial"/>
          <w:szCs w:val="22"/>
          <w:lang w:val="en-US"/>
        </w:rPr>
        <w:t>recognised</w:t>
      </w:r>
      <w:proofErr w:type="spellEnd"/>
      <w:r w:rsidRPr="00D251D0">
        <w:rPr>
          <w:rFonts w:ascii="Lato" w:hAnsi="Lato" w:cs="Arial"/>
          <w:szCs w:val="22"/>
          <w:lang w:val="en-US"/>
        </w:rPr>
        <w:t xml:space="preserve"> are students with equal or higher ATARs than the 20</w:t>
      </w:r>
      <w:r w:rsidRPr="00D251D0">
        <w:rPr>
          <w:rFonts w:ascii="Lato" w:hAnsi="Lato" w:cs="Arial"/>
          <w:szCs w:val="22"/>
          <w:vertAlign w:val="superscript"/>
          <w:lang w:val="en-US"/>
        </w:rPr>
        <w:t>th</w:t>
      </w:r>
      <w:r w:rsidRPr="00D251D0">
        <w:rPr>
          <w:rFonts w:ascii="Lato" w:hAnsi="Lato" w:cs="Arial"/>
          <w:szCs w:val="22"/>
          <w:lang w:val="en-US"/>
        </w:rPr>
        <w:t xml:space="preserve"> student who have gained an ATAR for the first time.</w:t>
      </w:r>
    </w:p>
    <w:p w14:paraId="354BA77F" w14:textId="77777777" w:rsidR="00B22C7E" w:rsidRPr="00D251D0" w:rsidRDefault="00B22C7E" w:rsidP="00C95E20">
      <w:pPr>
        <w:ind w:left="-142"/>
        <w:rPr>
          <w:rFonts w:ascii="Lato" w:hAnsi="Lato" w:cs="Arial"/>
          <w:szCs w:val="22"/>
          <w:lang w:val="en-US"/>
        </w:rPr>
      </w:pPr>
    </w:p>
    <w:p w14:paraId="326570BB" w14:textId="11521292" w:rsidR="00FB1648" w:rsidRPr="00D251D0" w:rsidRDefault="00B22C7E" w:rsidP="00B20919">
      <w:pPr>
        <w:ind w:left="-142"/>
        <w:rPr>
          <w:rFonts w:ascii="Lato" w:hAnsi="Lato"/>
        </w:rPr>
      </w:pPr>
      <w:r w:rsidRPr="00D251D0">
        <w:rPr>
          <w:rFonts w:ascii="Lato" w:hAnsi="Lato" w:cs="Arial"/>
          <w:szCs w:val="22"/>
          <w:lang w:val="en-US"/>
        </w:rPr>
        <w:t xml:space="preserve">A full list of NTCET completers (from that school year) who have provided consent to publish their surname, initials and school they attended, will be published following results release. If the students attended a community school and were enrolled through the </w:t>
      </w:r>
      <w:r w:rsidR="00E27BEB">
        <w:rPr>
          <w:rFonts w:ascii="Lato" w:hAnsi="Lato" w:cs="Arial"/>
          <w:szCs w:val="22"/>
          <w:lang w:val="en-US"/>
        </w:rPr>
        <w:t>NT School of Distance Education</w:t>
      </w:r>
      <w:r w:rsidRPr="00D251D0">
        <w:rPr>
          <w:rFonts w:ascii="Lato" w:hAnsi="Lato" w:cs="Arial"/>
          <w:szCs w:val="22"/>
          <w:lang w:val="en-US"/>
        </w:rPr>
        <w:t>, both school names will be published.</w:t>
      </w:r>
    </w:p>
    <w:sectPr w:rsidR="00FB1648" w:rsidRPr="00D251D0" w:rsidSect="00390345">
      <w:headerReference w:type="default" r:id="rId9"/>
      <w:footerReference w:type="default" r:id="rId10"/>
      <w:headerReference w:type="first" r:id="rId11"/>
      <w:footerReference w:type="first" r:id="rId12"/>
      <w:pgSz w:w="11900" w:h="16840"/>
      <w:pgMar w:top="1843" w:right="1134" w:bottom="1134" w:left="1701" w:header="284" w:footer="39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9ACACB" w14:textId="77777777" w:rsidR="00BC63D6" w:rsidRDefault="00BC63D6" w:rsidP="00BE3387">
      <w:r>
        <w:separator/>
      </w:r>
    </w:p>
  </w:endnote>
  <w:endnote w:type="continuationSeparator" w:id="0">
    <w:p w14:paraId="4296A746" w14:textId="77777777" w:rsidR="00BC63D6" w:rsidRDefault="00BC63D6" w:rsidP="00BE3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1)">
    <w:altName w:val="Arial"/>
    <w:panose1 w:val="00000000000000000000"/>
    <w:charset w:val="00"/>
    <w:family w:val="swiss"/>
    <w:notTrueType/>
    <w:pitch w:val="variable"/>
    <w:sig w:usb0="00000003" w:usb1="00000000" w:usb2="00000000" w:usb3="00000000" w:csb0="00000001" w:csb1="00000000"/>
  </w:font>
  <w:font w:name="Lato">
    <w:panose1 w:val="020F0502020204030203"/>
    <w:charset w:val="00"/>
    <w:family w:val="swiss"/>
    <w:pitch w:val="variable"/>
    <w:sig w:usb0="E10002FF" w:usb1="5000ECFF" w:usb2="00000021" w:usb3="00000000" w:csb0="0000019F" w:csb1="00000000"/>
  </w:font>
  <w:font w:name="Lato Black">
    <w:altName w:val="Segoe UI"/>
    <w:charset w:val="00"/>
    <w:family w:val="swiss"/>
    <w:pitch w:val="variable"/>
    <w:sig w:usb0="E10002FF" w:usb1="5000ECFF" w:usb2="00000021" w:usb3="00000000" w:csb0="0000019F" w:csb1="00000000"/>
  </w:font>
  <w:font w:name="Lato Regular">
    <w:altName w:val="Calibri"/>
    <w:panose1 w:val="020F0502020204030203"/>
    <w:charset w:val="00"/>
    <w:family w:val="auto"/>
    <w:pitch w:val="variable"/>
    <w:sig w:usb0="00000003" w:usb1="00000000" w:usb2="00000000" w:usb3="00000000" w:csb0="00000001" w:csb1="00000000"/>
  </w:font>
  <w:font w:name="Lato Light">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F8AB0E" w14:textId="77777777" w:rsidR="00EC0314" w:rsidRDefault="00EC0314" w:rsidP="00EC0314">
    <w:pPr>
      <w:pStyle w:val="web"/>
      <w:tabs>
        <w:tab w:val="left" w:pos="7371"/>
      </w:tabs>
    </w:pPr>
    <w:r>
      <w:tab/>
      <w:t>www.nt.gov.au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66EB03" w14:textId="77777777" w:rsidR="00492965" w:rsidRDefault="00492965" w:rsidP="00492965">
    <w:pPr>
      <w:pStyle w:val="web"/>
      <w:tabs>
        <w:tab w:val="left" w:pos="7371"/>
      </w:tabs>
    </w:pPr>
    <w:r>
      <w:tab/>
      <w:t>www.nt.gov.au</w:t>
    </w:r>
  </w:p>
  <w:p w14:paraId="0252AC3C" w14:textId="77777777" w:rsidR="00492965" w:rsidRDefault="004929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C714FA" w14:textId="77777777" w:rsidR="00BC63D6" w:rsidRDefault="00BC63D6" w:rsidP="00BE3387">
      <w:r>
        <w:separator/>
      </w:r>
    </w:p>
  </w:footnote>
  <w:footnote w:type="continuationSeparator" w:id="0">
    <w:p w14:paraId="0D42FEDA" w14:textId="77777777" w:rsidR="00BC63D6" w:rsidRDefault="00BC63D6" w:rsidP="00BE33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68C39" w14:textId="77777777" w:rsidR="00F10717" w:rsidRPr="00D01F0E" w:rsidRDefault="00D01F0E">
    <w:pPr>
      <w:pStyle w:val="Header"/>
      <w:rPr>
        <w:b/>
      </w:rPr>
    </w:pPr>
    <w:r w:rsidRPr="00D01F0E">
      <w:rPr>
        <w:b/>
      </w:rPr>
      <w:t xml:space="preserve">Procedures: NTCET Results Release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92840E" w14:textId="0B660B45" w:rsidR="00492965" w:rsidRDefault="007C41C3">
    <w:pPr>
      <w:pStyle w:val="Header"/>
    </w:pPr>
    <w:r>
      <w:rPr>
        <w:noProof/>
        <w:lang w:eastAsia="en-AU"/>
      </w:rPr>
      <w:drawing>
        <wp:anchor distT="0" distB="0" distL="114300" distR="114300" simplePos="0" relativeHeight="251658240" behindDoc="1" locked="0" layoutInCell="1" allowOverlap="1" wp14:anchorId="36274FA5" wp14:editId="4BB186DC">
          <wp:simplePos x="0" y="0"/>
          <wp:positionH relativeFrom="page">
            <wp:align>center</wp:align>
          </wp:positionH>
          <wp:positionV relativeFrom="paragraph">
            <wp:posOffset>635</wp:posOffset>
          </wp:positionV>
          <wp:extent cx="7193915" cy="1365885"/>
          <wp:effectExtent l="0" t="0" r="6985" b="5715"/>
          <wp:wrapTight wrapText="bothSides">
            <wp:wrapPolygon edited="0">
              <wp:start x="0" y="0"/>
              <wp:lineTo x="0" y="21389"/>
              <wp:lineTo x="21564" y="21389"/>
              <wp:lineTo x="21564"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3915" cy="136588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5D4096"/>
    <w:multiLevelType w:val="hybridMultilevel"/>
    <w:tmpl w:val="B884582E"/>
    <w:lvl w:ilvl="0" w:tplc="55AAD340">
      <w:numFmt w:val="bullet"/>
      <w:lvlText w:val=""/>
      <w:lvlJc w:val="left"/>
      <w:pPr>
        <w:ind w:left="-1" w:hanging="708"/>
      </w:pPr>
      <w:rPr>
        <w:rFonts w:ascii="Wingdings" w:eastAsia="Times New Roman" w:hAnsi="Wingdings" w:cs="Arial" w:hint="default"/>
        <w:color w:val="auto"/>
      </w:rPr>
    </w:lvl>
    <w:lvl w:ilvl="1" w:tplc="0C090003" w:tentative="1">
      <w:start w:val="1"/>
      <w:numFmt w:val="bullet"/>
      <w:lvlText w:val="o"/>
      <w:lvlJc w:val="left"/>
      <w:pPr>
        <w:ind w:left="371" w:hanging="360"/>
      </w:pPr>
      <w:rPr>
        <w:rFonts w:ascii="Courier New" w:hAnsi="Courier New" w:cs="Courier New" w:hint="default"/>
      </w:rPr>
    </w:lvl>
    <w:lvl w:ilvl="2" w:tplc="0C090005" w:tentative="1">
      <w:start w:val="1"/>
      <w:numFmt w:val="bullet"/>
      <w:lvlText w:val=""/>
      <w:lvlJc w:val="left"/>
      <w:pPr>
        <w:ind w:left="1091" w:hanging="360"/>
      </w:pPr>
      <w:rPr>
        <w:rFonts w:ascii="Wingdings" w:hAnsi="Wingdings" w:hint="default"/>
      </w:rPr>
    </w:lvl>
    <w:lvl w:ilvl="3" w:tplc="0C090001" w:tentative="1">
      <w:start w:val="1"/>
      <w:numFmt w:val="bullet"/>
      <w:lvlText w:val=""/>
      <w:lvlJc w:val="left"/>
      <w:pPr>
        <w:ind w:left="1811" w:hanging="360"/>
      </w:pPr>
      <w:rPr>
        <w:rFonts w:ascii="Symbol" w:hAnsi="Symbol" w:hint="default"/>
      </w:rPr>
    </w:lvl>
    <w:lvl w:ilvl="4" w:tplc="0C090003" w:tentative="1">
      <w:start w:val="1"/>
      <w:numFmt w:val="bullet"/>
      <w:lvlText w:val="o"/>
      <w:lvlJc w:val="left"/>
      <w:pPr>
        <w:ind w:left="2531" w:hanging="360"/>
      </w:pPr>
      <w:rPr>
        <w:rFonts w:ascii="Courier New" w:hAnsi="Courier New" w:cs="Courier New" w:hint="default"/>
      </w:rPr>
    </w:lvl>
    <w:lvl w:ilvl="5" w:tplc="0C090005" w:tentative="1">
      <w:start w:val="1"/>
      <w:numFmt w:val="bullet"/>
      <w:lvlText w:val=""/>
      <w:lvlJc w:val="left"/>
      <w:pPr>
        <w:ind w:left="3251" w:hanging="360"/>
      </w:pPr>
      <w:rPr>
        <w:rFonts w:ascii="Wingdings" w:hAnsi="Wingdings" w:hint="default"/>
      </w:rPr>
    </w:lvl>
    <w:lvl w:ilvl="6" w:tplc="0C090001" w:tentative="1">
      <w:start w:val="1"/>
      <w:numFmt w:val="bullet"/>
      <w:lvlText w:val=""/>
      <w:lvlJc w:val="left"/>
      <w:pPr>
        <w:ind w:left="3971" w:hanging="360"/>
      </w:pPr>
      <w:rPr>
        <w:rFonts w:ascii="Symbol" w:hAnsi="Symbol" w:hint="default"/>
      </w:rPr>
    </w:lvl>
    <w:lvl w:ilvl="7" w:tplc="0C090003" w:tentative="1">
      <w:start w:val="1"/>
      <w:numFmt w:val="bullet"/>
      <w:lvlText w:val="o"/>
      <w:lvlJc w:val="left"/>
      <w:pPr>
        <w:ind w:left="4691" w:hanging="360"/>
      </w:pPr>
      <w:rPr>
        <w:rFonts w:ascii="Courier New" w:hAnsi="Courier New" w:cs="Courier New" w:hint="default"/>
      </w:rPr>
    </w:lvl>
    <w:lvl w:ilvl="8" w:tplc="0C090005" w:tentative="1">
      <w:start w:val="1"/>
      <w:numFmt w:val="bullet"/>
      <w:lvlText w:val=""/>
      <w:lvlJc w:val="left"/>
      <w:pPr>
        <w:ind w:left="5411" w:hanging="360"/>
      </w:pPr>
      <w:rPr>
        <w:rFonts w:ascii="Wingdings" w:hAnsi="Wingdings" w:hint="default"/>
      </w:rPr>
    </w:lvl>
  </w:abstractNum>
  <w:abstractNum w:abstractNumId="1" w15:restartNumberingAfterBreak="0">
    <w:nsid w:val="24BC0B6D"/>
    <w:multiLevelType w:val="hybridMultilevel"/>
    <w:tmpl w:val="101A358C"/>
    <w:lvl w:ilvl="0" w:tplc="0C090001">
      <w:start w:val="1"/>
      <w:numFmt w:val="bullet"/>
      <w:lvlText w:val=""/>
      <w:lvlJc w:val="left"/>
      <w:pPr>
        <w:ind w:left="1485" w:hanging="360"/>
      </w:pPr>
      <w:rPr>
        <w:rFonts w:ascii="Symbol" w:hAnsi="Symbol" w:hint="default"/>
      </w:rPr>
    </w:lvl>
    <w:lvl w:ilvl="1" w:tplc="0C090003" w:tentative="1">
      <w:start w:val="1"/>
      <w:numFmt w:val="bullet"/>
      <w:lvlText w:val="o"/>
      <w:lvlJc w:val="left"/>
      <w:pPr>
        <w:ind w:left="2205" w:hanging="360"/>
      </w:pPr>
      <w:rPr>
        <w:rFonts w:ascii="Courier New" w:hAnsi="Courier New" w:cs="Courier New" w:hint="default"/>
      </w:rPr>
    </w:lvl>
    <w:lvl w:ilvl="2" w:tplc="0C090005" w:tentative="1">
      <w:start w:val="1"/>
      <w:numFmt w:val="bullet"/>
      <w:lvlText w:val=""/>
      <w:lvlJc w:val="left"/>
      <w:pPr>
        <w:ind w:left="2925" w:hanging="360"/>
      </w:pPr>
      <w:rPr>
        <w:rFonts w:ascii="Wingdings" w:hAnsi="Wingdings" w:hint="default"/>
      </w:rPr>
    </w:lvl>
    <w:lvl w:ilvl="3" w:tplc="0C090001" w:tentative="1">
      <w:start w:val="1"/>
      <w:numFmt w:val="bullet"/>
      <w:lvlText w:val=""/>
      <w:lvlJc w:val="left"/>
      <w:pPr>
        <w:ind w:left="3645" w:hanging="360"/>
      </w:pPr>
      <w:rPr>
        <w:rFonts w:ascii="Symbol" w:hAnsi="Symbol" w:hint="default"/>
      </w:rPr>
    </w:lvl>
    <w:lvl w:ilvl="4" w:tplc="0C090003" w:tentative="1">
      <w:start w:val="1"/>
      <w:numFmt w:val="bullet"/>
      <w:lvlText w:val="o"/>
      <w:lvlJc w:val="left"/>
      <w:pPr>
        <w:ind w:left="4365" w:hanging="360"/>
      </w:pPr>
      <w:rPr>
        <w:rFonts w:ascii="Courier New" w:hAnsi="Courier New" w:cs="Courier New" w:hint="default"/>
      </w:rPr>
    </w:lvl>
    <w:lvl w:ilvl="5" w:tplc="0C090005" w:tentative="1">
      <w:start w:val="1"/>
      <w:numFmt w:val="bullet"/>
      <w:lvlText w:val=""/>
      <w:lvlJc w:val="left"/>
      <w:pPr>
        <w:ind w:left="5085" w:hanging="360"/>
      </w:pPr>
      <w:rPr>
        <w:rFonts w:ascii="Wingdings" w:hAnsi="Wingdings" w:hint="default"/>
      </w:rPr>
    </w:lvl>
    <w:lvl w:ilvl="6" w:tplc="0C090001" w:tentative="1">
      <w:start w:val="1"/>
      <w:numFmt w:val="bullet"/>
      <w:lvlText w:val=""/>
      <w:lvlJc w:val="left"/>
      <w:pPr>
        <w:ind w:left="5805" w:hanging="360"/>
      </w:pPr>
      <w:rPr>
        <w:rFonts w:ascii="Symbol" w:hAnsi="Symbol" w:hint="default"/>
      </w:rPr>
    </w:lvl>
    <w:lvl w:ilvl="7" w:tplc="0C090003" w:tentative="1">
      <w:start w:val="1"/>
      <w:numFmt w:val="bullet"/>
      <w:lvlText w:val="o"/>
      <w:lvlJc w:val="left"/>
      <w:pPr>
        <w:ind w:left="6525" w:hanging="360"/>
      </w:pPr>
      <w:rPr>
        <w:rFonts w:ascii="Courier New" w:hAnsi="Courier New" w:cs="Courier New" w:hint="default"/>
      </w:rPr>
    </w:lvl>
    <w:lvl w:ilvl="8" w:tplc="0C090005" w:tentative="1">
      <w:start w:val="1"/>
      <w:numFmt w:val="bullet"/>
      <w:lvlText w:val=""/>
      <w:lvlJc w:val="left"/>
      <w:pPr>
        <w:ind w:left="7245" w:hanging="360"/>
      </w:pPr>
      <w:rPr>
        <w:rFonts w:ascii="Wingdings" w:hAnsi="Wingdings" w:hint="default"/>
      </w:rPr>
    </w:lvl>
  </w:abstractNum>
  <w:abstractNum w:abstractNumId="2" w15:restartNumberingAfterBreak="0">
    <w:nsid w:val="3D22092F"/>
    <w:multiLevelType w:val="hybridMultilevel"/>
    <w:tmpl w:val="7F321E14"/>
    <w:lvl w:ilvl="0" w:tplc="3FA86C7C">
      <w:start w:val="1"/>
      <w:numFmt w:val="decimal"/>
      <w:pStyle w:val="Heading3"/>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4DA44658"/>
    <w:multiLevelType w:val="hybridMultilevel"/>
    <w:tmpl w:val="41D8822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54DA0231"/>
    <w:multiLevelType w:val="hybridMultilevel"/>
    <w:tmpl w:val="9EEA27EC"/>
    <w:lvl w:ilvl="0" w:tplc="0C090001">
      <w:start w:val="1"/>
      <w:numFmt w:val="bullet"/>
      <w:lvlText w:val=""/>
      <w:lvlJc w:val="left"/>
      <w:pPr>
        <w:ind w:left="424" w:hanging="708"/>
      </w:pPr>
      <w:rPr>
        <w:rFonts w:ascii="Symbol" w:hAnsi="Symbol" w:hint="default"/>
        <w:color w:val="auto"/>
      </w:rPr>
    </w:lvl>
    <w:lvl w:ilvl="1" w:tplc="0C090003" w:tentative="1">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5" w15:restartNumberingAfterBreak="0">
    <w:nsid w:val="58516E97"/>
    <w:multiLevelType w:val="hybridMultilevel"/>
    <w:tmpl w:val="E7BA84D2"/>
    <w:lvl w:ilvl="0" w:tplc="55AAD340">
      <w:numFmt w:val="bullet"/>
      <w:lvlText w:val=""/>
      <w:lvlJc w:val="left"/>
      <w:pPr>
        <w:ind w:left="-710" w:hanging="708"/>
      </w:pPr>
      <w:rPr>
        <w:rFonts w:ascii="Wingdings" w:eastAsia="Times New Roman" w:hAnsi="Wingdings" w:cs="Arial" w:hint="default"/>
        <w:color w:val="auto"/>
      </w:rPr>
    </w:lvl>
    <w:lvl w:ilvl="1" w:tplc="0C090003" w:tentative="1">
      <w:start w:val="1"/>
      <w:numFmt w:val="bullet"/>
      <w:lvlText w:val="o"/>
      <w:lvlJc w:val="left"/>
      <w:pPr>
        <w:ind w:left="731" w:hanging="360"/>
      </w:pPr>
      <w:rPr>
        <w:rFonts w:ascii="Courier New" w:hAnsi="Courier New" w:cs="Courier New" w:hint="default"/>
      </w:rPr>
    </w:lvl>
    <w:lvl w:ilvl="2" w:tplc="0C090005" w:tentative="1">
      <w:start w:val="1"/>
      <w:numFmt w:val="bullet"/>
      <w:lvlText w:val=""/>
      <w:lvlJc w:val="left"/>
      <w:pPr>
        <w:ind w:left="1451" w:hanging="360"/>
      </w:pPr>
      <w:rPr>
        <w:rFonts w:ascii="Wingdings" w:hAnsi="Wingdings" w:hint="default"/>
      </w:rPr>
    </w:lvl>
    <w:lvl w:ilvl="3" w:tplc="0C090001" w:tentative="1">
      <w:start w:val="1"/>
      <w:numFmt w:val="bullet"/>
      <w:lvlText w:val=""/>
      <w:lvlJc w:val="left"/>
      <w:pPr>
        <w:ind w:left="2171" w:hanging="360"/>
      </w:pPr>
      <w:rPr>
        <w:rFonts w:ascii="Symbol" w:hAnsi="Symbol" w:hint="default"/>
      </w:rPr>
    </w:lvl>
    <w:lvl w:ilvl="4" w:tplc="0C090003" w:tentative="1">
      <w:start w:val="1"/>
      <w:numFmt w:val="bullet"/>
      <w:lvlText w:val="o"/>
      <w:lvlJc w:val="left"/>
      <w:pPr>
        <w:ind w:left="2891" w:hanging="360"/>
      </w:pPr>
      <w:rPr>
        <w:rFonts w:ascii="Courier New" w:hAnsi="Courier New" w:cs="Courier New" w:hint="default"/>
      </w:rPr>
    </w:lvl>
    <w:lvl w:ilvl="5" w:tplc="0C090005" w:tentative="1">
      <w:start w:val="1"/>
      <w:numFmt w:val="bullet"/>
      <w:lvlText w:val=""/>
      <w:lvlJc w:val="left"/>
      <w:pPr>
        <w:ind w:left="3611" w:hanging="360"/>
      </w:pPr>
      <w:rPr>
        <w:rFonts w:ascii="Wingdings" w:hAnsi="Wingdings" w:hint="default"/>
      </w:rPr>
    </w:lvl>
    <w:lvl w:ilvl="6" w:tplc="0C090001" w:tentative="1">
      <w:start w:val="1"/>
      <w:numFmt w:val="bullet"/>
      <w:lvlText w:val=""/>
      <w:lvlJc w:val="left"/>
      <w:pPr>
        <w:ind w:left="4331" w:hanging="360"/>
      </w:pPr>
      <w:rPr>
        <w:rFonts w:ascii="Symbol" w:hAnsi="Symbol" w:hint="default"/>
      </w:rPr>
    </w:lvl>
    <w:lvl w:ilvl="7" w:tplc="0C090003" w:tentative="1">
      <w:start w:val="1"/>
      <w:numFmt w:val="bullet"/>
      <w:lvlText w:val="o"/>
      <w:lvlJc w:val="left"/>
      <w:pPr>
        <w:ind w:left="5051" w:hanging="360"/>
      </w:pPr>
      <w:rPr>
        <w:rFonts w:ascii="Courier New" w:hAnsi="Courier New" w:cs="Courier New" w:hint="default"/>
      </w:rPr>
    </w:lvl>
    <w:lvl w:ilvl="8" w:tplc="0C090005" w:tentative="1">
      <w:start w:val="1"/>
      <w:numFmt w:val="bullet"/>
      <w:lvlText w:val=""/>
      <w:lvlJc w:val="left"/>
      <w:pPr>
        <w:ind w:left="5771" w:hanging="360"/>
      </w:pPr>
      <w:rPr>
        <w:rFonts w:ascii="Wingdings" w:hAnsi="Wingdings" w:hint="default"/>
      </w:rPr>
    </w:lvl>
  </w:abstractNum>
  <w:abstractNum w:abstractNumId="6" w15:restartNumberingAfterBreak="0">
    <w:nsid w:val="64D923F6"/>
    <w:multiLevelType w:val="hybridMultilevel"/>
    <w:tmpl w:val="A446C438"/>
    <w:lvl w:ilvl="0" w:tplc="0C090001">
      <w:start w:val="1"/>
      <w:numFmt w:val="bullet"/>
      <w:lvlText w:val=""/>
      <w:lvlJc w:val="left"/>
      <w:pPr>
        <w:ind w:left="11" w:hanging="360"/>
      </w:pPr>
      <w:rPr>
        <w:rFonts w:ascii="Symbol" w:hAnsi="Symbol" w:hint="default"/>
      </w:rPr>
    </w:lvl>
    <w:lvl w:ilvl="1" w:tplc="0C090003" w:tentative="1">
      <w:start w:val="1"/>
      <w:numFmt w:val="bullet"/>
      <w:lvlText w:val="o"/>
      <w:lvlJc w:val="left"/>
      <w:pPr>
        <w:ind w:left="731" w:hanging="360"/>
      </w:pPr>
      <w:rPr>
        <w:rFonts w:ascii="Courier New" w:hAnsi="Courier New" w:cs="Courier New" w:hint="default"/>
      </w:rPr>
    </w:lvl>
    <w:lvl w:ilvl="2" w:tplc="0C090005" w:tentative="1">
      <w:start w:val="1"/>
      <w:numFmt w:val="bullet"/>
      <w:lvlText w:val=""/>
      <w:lvlJc w:val="left"/>
      <w:pPr>
        <w:ind w:left="1451" w:hanging="360"/>
      </w:pPr>
      <w:rPr>
        <w:rFonts w:ascii="Wingdings" w:hAnsi="Wingdings" w:hint="default"/>
      </w:rPr>
    </w:lvl>
    <w:lvl w:ilvl="3" w:tplc="0C090001" w:tentative="1">
      <w:start w:val="1"/>
      <w:numFmt w:val="bullet"/>
      <w:lvlText w:val=""/>
      <w:lvlJc w:val="left"/>
      <w:pPr>
        <w:ind w:left="2171" w:hanging="360"/>
      </w:pPr>
      <w:rPr>
        <w:rFonts w:ascii="Symbol" w:hAnsi="Symbol" w:hint="default"/>
      </w:rPr>
    </w:lvl>
    <w:lvl w:ilvl="4" w:tplc="0C090003" w:tentative="1">
      <w:start w:val="1"/>
      <w:numFmt w:val="bullet"/>
      <w:lvlText w:val="o"/>
      <w:lvlJc w:val="left"/>
      <w:pPr>
        <w:ind w:left="2891" w:hanging="360"/>
      </w:pPr>
      <w:rPr>
        <w:rFonts w:ascii="Courier New" w:hAnsi="Courier New" w:cs="Courier New" w:hint="default"/>
      </w:rPr>
    </w:lvl>
    <w:lvl w:ilvl="5" w:tplc="0C090005" w:tentative="1">
      <w:start w:val="1"/>
      <w:numFmt w:val="bullet"/>
      <w:lvlText w:val=""/>
      <w:lvlJc w:val="left"/>
      <w:pPr>
        <w:ind w:left="3611" w:hanging="360"/>
      </w:pPr>
      <w:rPr>
        <w:rFonts w:ascii="Wingdings" w:hAnsi="Wingdings" w:hint="default"/>
      </w:rPr>
    </w:lvl>
    <w:lvl w:ilvl="6" w:tplc="0C090001" w:tentative="1">
      <w:start w:val="1"/>
      <w:numFmt w:val="bullet"/>
      <w:lvlText w:val=""/>
      <w:lvlJc w:val="left"/>
      <w:pPr>
        <w:ind w:left="4331" w:hanging="360"/>
      </w:pPr>
      <w:rPr>
        <w:rFonts w:ascii="Symbol" w:hAnsi="Symbol" w:hint="default"/>
      </w:rPr>
    </w:lvl>
    <w:lvl w:ilvl="7" w:tplc="0C090003" w:tentative="1">
      <w:start w:val="1"/>
      <w:numFmt w:val="bullet"/>
      <w:lvlText w:val="o"/>
      <w:lvlJc w:val="left"/>
      <w:pPr>
        <w:ind w:left="5051" w:hanging="360"/>
      </w:pPr>
      <w:rPr>
        <w:rFonts w:ascii="Courier New" w:hAnsi="Courier New" w:cs="Courier New" w:hint="default"/>
      </w:rPr>
    </w:lvl>
    <w:lvl w:ilvl="8" w:tplc="0C090005" w:tentative="1">
      <w:start w:val="1"/>
      <w:numFmt w:val="bullet"/>
      <w:lvlText w:val=""/>
      <w:lvlJc w:val="left"/>
      <w:pPr>
        <w:ind w:left="5771" w:hanging="360"/>
      </w:pPr>
      <w:rPr>
        <w:rFonts w:ascii="Wingdings" w:hAnsi="Wingdings" w:hint="default"/>
      </w:rPr>
    </w:lvl>
  </w:abstractNum>
  <w:abstractNum w:abstractNumId="7" w15:restartNumberingAfterBreak="0">
    <w:nsid w:val="77886FB2"/>
    <w:multiLevelType w:val="hybridMultilevel"/>
    <w:tmpl w:val="904A131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2"/>
  </w:num>
  <w:num w:numId="2">
    <w:abstractNumId w:val="7"/>
  </w:num>
  <w:num w:numId="3">
    <w:abstractNumId w:val="1"/>
  </w:num>
  <w:num w:numId="4">
    <w:abstractNumId w:val="3"/>
  </w:num>
  <w:num w:numId="5">
    <w:abstractNumId w:val="6"/>
  </w:num>
  <w:num w:numId="6">
    <w:abstractNumId w:val="0"/>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57"/>
  <w:drawingGridVerticalSpacing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2C7E"/>
    <w:rsid w:val="000306D5"/>
    <w:rsid w:val="000349CF"/>
    <w:rsid w:val="000D1972"/>
    <w:rsid w:val="000E390A"/>
    <w:rsid w:val="00102470"/>
    <w:rsid w:val="00115B27"/>
    <w:rsid w:val="001659A8"/>
    <w:rsid w:val="00175CF7"/>
    <w:rsid w:val="00176AF2"/>
    <w:rsid w:val="00187408"/>
    <w:rsid w:val="001E4573"/>
    <w:rsid w:val="001E7DFE"/>
    <w:rsid w:val="001F09D7"/>
    <w:rsid w:val="00201F06"/>
    <w:rsid w:val="002220CA"/>
    <w:rsid w:val="002940AB"/>
    <w:rsid w:val="002A5BBD"/>
    <w:rsid w:val="002F7A9F"/>
    <w:rsid w:val="00307DB8"/>
    <w:rsid w:val="00321E86"/>
    <w:rsid w:val="003252E2"/>
    <w:rsid w:val="003507D9"/>
    <w:rsid w:val="00385134"/>
    <w:rsid w:val="00390345"/>
    <w:rsid w:val="00397FA3"/>
    <w:rsid w:val="00421A85"/>
    <w:rsid w:val="00422FEF"/>
    <w:rsid w:val="00430489"/>
    <w:rsid w:val="00476B0B"/>
    <w:rsid w:val="00492965"/>
    <w:rsid w:val="004B2629"/>
    <w:rsid w:val="004D31E5"/>
    <w:rsid w:val="00501FE3"/>
    <w:rsid w:val="00520ED8"/>
    <w:rsid w:val="005307DA"/>
    <w:rsid w:val="00531BBC"/>
    <w:rsid w:val="00555965"/>
    <w:rsid w:val="00625C51"/>
    <w:rsid w:val="00656BDB"/>
    <w:rsid w:val="006923DE"/>
    <w:rsid w:val="006A6BDC"/>
    <w:rsid w:val="006C0BAF"/>
    <w:rsid w:val="006D5F76"/>
    <w:rsid w:val="00732D3D"/>
    <w:rsid w:val="007766E2"/>
    <w:rsid w:val="00785579"/>
    <w:rsid w:val="007C41C3"/>
    <w:rsid w:val="007E1407"/>
    <w:rsid w:val="007F4F3F"/>
    <w:rsid w:val="00836CA3"/>
    <w:rsid w:val="008741B1"/>
    <w:rsid w:val="008A753C"/>
    <w:rsid w:val="008C1F3D"/>
    <w:rsid w:val="008C2F51"/>
    <w:rsid w:val="00910B3C"/>
    <w:rsid w:val="0091453A"/>
    <w:rsid w:val="00964734"/>
    <w:rsid w:val="009A6082"/>
    <w:rsid w:val="009E5913"/>
    <w:rsid w:val="00A33A98"/>
    <w:rsid w:val="00A653CD"/>
    <w:rsid w:val="00A70DE8"/>
    <w:rsid w:val="00A92BC3"/>
    <w:rsid w:val="00AB712A"/>
    <w:rsid w:val="00B20919"/>
    <w:rsid w:val="00B22C7E"/>
    <w:rsid w:val="00B75F17"/>
    <w:rsid w:val="00BC63D6"/>
    <w:rsid w:val="00BD7C6A"/>
    <w:rsid w:val="00BE3387"/>
    <w:rsid w:val="00C21D69"/>
    <w:rsid w:val="00C22565"/>
    <w:rsid w:val="00C61A69"/>
    <w:rsid w:val="00C86BA1"/>
    <w:rsid w:val="00C95E20"/>
    <w:rsid w:val="00CC7EAD"/>
    <w:rsid w:val="00CD414A"/>
    <w:rsid w:val="00CE2D72"/>
    <w:rsid w:val="00CF19AD"/>
    <w:rsid w:val="00CF2B99"/>
    <w:rsid w:val="00D01F0E"/>
    <w:rsid w:val="00D251D0"/>
    <w:rsid w:val="00DD46BB"/>
    <w:rsid w:val="00E03B6D"/>
    <w:rsid w:val="00E27BEB"/>
    <w:rsid w:val="00E76700"/>
    <w:rsid w:val="00E82324"/>
    <w:rsid w:val="00EA5666"/>
    <w:rsid w:val="00EC0314"/>
    <w:rsid w:val="00F053D9"/>
    <w:rsid w:val="00F10717"/>
    <w:rsid w:val="00F45FB1"/>
    <w:rsid w:val="00F70145"/>
    <w:rsid w:val="00F97FBB"/>
    <w:rsid w:val="00FB1648"/>
  </w:rsids>
  <m:mathPr>
    <m:mathFont m:val="Cambria Math"/>
    <m:brkBin m:val="before"/>
    <m:brkBinSub m:val="--"/>
    <m:smallFrac/>
    <m:dispDe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EEE6EA"/>
  <w15:docId w15:val="{24780B00-386B-4B97-9247-77FAD8750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1648"/>
    <w:rPr>
      <w:rFonts w:ascii="Arial" w:eastAsia="Times New Roman" w:hAnsi="Arial" w:cs="Times New Roman"/>
      <w:lang w:eastAsia="en-AU"/>
    </w:rPr>
  </w:style>
  <w:style w:type="paragraph" w:styleId="Heading3">
    <w:name w:val="heading 3"/>
    <w:basedOn w:val="Normal"/>
    <w:next w:val="Normal"/>
    <w:link w:val="Heading3Char"/>
    <w:qFormat/>
    <w:rsid w:val="00B22C7E"/>
    <w:pPr>
      <w:keepNext/>
      <w:numPr>
        <w:numId w:val="1"/>
      </w:numPr>
      <w:spacing w:before="240" w:after="240"/>
      <w:ind w:left="357" w:hanging="357"/>
      <w:outlineLvl w:val="2"/>
    </w:pPr>
    <w:rPr>
      <w:rFonts w:cs="Arial"/>
      <w:b/>
      <w:bCs/>
      <w:caps/>
      <w:sz w:val="28"/>
      <w:szCs w:val="26"/>
      <w:lang w:val="en-US" w:eastAsia="en-US"/>
    </w:rPr>
  </w:style>
  <w:style w:type="paragraph" w:styleId="Heading4">
    <w:name w:val="heading 4"/>
    <w:basedOn w:val="Normal"/>
    <w:next w:val="Normal"/>
    <w:link w:val="Heading4Char"/>
    <w:qFormat/>
    <w:rsid w:val="00B22C7E"/>
    <w:pPr>
      <w:keepNext/>
      <w:ind w:left="426"/>
      <w:jc w:val="both"/>
      <w:outlineLvl w:val="3"/>
    </w:pPr>
    <w:rPr>
      <w:rFonts w:ascii="Arial (W1)" w:hAnsi="Arial (W1)" w:cs="Arial"/>
      <w:b/>
      <w:bCs/>
      <w:i/>
      <w:sz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1BBC"/>
    <w:pPr>
      <w:tabs>
        <w:tab w:val="center" w:pos="4320"/>
        <w:tab w:val="right" w:pos="8640"/>
      </w:tabs>
      <w:spacing w:line="260" w:lineRule="exact"/>
    </w:pPr>
    <w:rPr>
      <w:rFonts w:ascii="Lato" w:eastAsiaTheme="minorHAnsi" w:hAnsi="Lato" w:cstheme="minorBidi"/>
      <w:sz w:val="20"/>
      <w:lang w:eastAsia="en-US"/>
    </w:rPr>
  </w:style>
  <w:style w:type="character" w:customStyle="1" w:styleId="HeaderChar">
    <w:name w:val="Header Char"/>
    <w:basedOn w:val="DefaultParagraphFont"/>
    <w:link w:val="Header"/>
    <w:uiPriority w:val="99"/>
    <w:rsid w:val="00531BBC"/>
  </w:style>
  <w:style w:type="paragraph" w:styleId="Footer">
    <w:name w:val="footer"/>
    <w:basedOn w:val="Normal"/>
    <w:link w:val="FooterChar"/>
    <w:unhideWhenUsed/>
    <w:rsid w:val="00531BBC"/>
    <w:pPr>
      <w:tabs>
        <w:tab w:val="center" w:pos="4320"/>
        <w:tab w:val="right" w:pos="8640"/>
      </w:tabs>
      <w:spacing w:line="260" w:lineRule="exact"/>
    </w:pPr>
    <w:rPr>
      <w:rFonts w:ascii="Lato" w:eastAsiaTheme="minorHAnsi" w:hAnsi="Lato" w:cstheme="minorBidi"/>
      <w:sz w:val="20"/>
      <w:lang w:eastAsia="en-US"/>
    </w:rPr>
  </w:style>
  <w:style w:type="character" w:customStyle="1" w:styleId="FooterChar">
    <w:name w:val="Footer Char"/>
    <w:basedOn w:val="DefaultParagraphFont"/>
    <w:link w:val="Footer"/>
    <w:rsid w:val="00531BBC"/>
  </w:style>
  <w:style w:type="paragraph" w:customStyle="1" w:styleId="web">
    <w:name w:val="web"/>
    <w:rsid w:val="00EC0314"/>
    <w:pPr>
      <w:spacing w:line="240" w:lineRule="exact"/>
    </w:pPr>
    <w:rPr>
      <w:rFonts w:ascii="Lato Black" w:hAnsi="Lato Black" w:cs="Lato Black"/>
      <w:color w:val="231F20"/>
      <w:sz w:val="18"/>
      <w:szCs w:val="18"/>
      <w:u w:color="000000"/>
      <w:lang w:val="en-US" w:eastAsia="ja-JP"/>
    </w:rPr>
  </w:style>
  <w:style w:type="paragraph" w:customStyle="1" w:styleId="Departmentof">
    <w:name w:val="Department of"/>
    <w:basedOn w:val="Normal"/>
    <w:rsid w:val="00531BBC"/>
    <w:pPr>
      <w:spacing w:line="200" w:lineRule="exact"/>
    </w:pPr>
    <w:rPr>
      <w:rFonts w:ascii="Lato Regular" w:eastAsiaTheme="minorHAnsi" w:hAnsi="Lato Regular" w:cs="Lato Regular"/>
      <w:caps/>
      <w:color w:val="231F20"/>
      <w:sz w:val="17"/>
      <w:szCs w:val="17"/>
      <w:u w:color="000000"/>
      <w:lang w:val="en-US" w:eastAsia="ja-JP"/>
    </w:rPr>
  </w:style>
  <w:style w:type="paragraph" w:customStyle="1" w:styleId="Departmentname">
    <w:name w:val="Department name"/>
    <w:basedOn w:val="Departmentof"/>
    <w:rsid w:val="00531BBC"/>
    <w:rPr>
      <w:rFonts w:ascii="Lato Black" w:hAnsi="Lato Black" w:cs="Lato Black"/>
    </w:rPr>
  </w:style>
  <w:style w:type="paragraph" w:customStyle="1" w:styleId="BodyText1">
    <w:name w:val="Body Text1"/>
    <w:basedOn w:val="Normal"/>
    <w:rsid w:val="00531BBC"/>
    <w:pPr>
      <w:spacing w:line="180" w:lineRule="exact"/>
    </w:pPr>
    <w:rPr>
      <w:rFonts w:ascii="Lato Light" w:eastAsiaTheme="minorHAnsi" w:hAnsi="Lato Light" w:cs="Lato Light"/>
      <w:color w:val="231F20"/>
      <w:sz w:val="15"/>
      <w:szCs w:val="15"/>
      <w:u w:color="000000"/>
      <w:lang w:val="en-US" w:eastAsia="ja-JP"/>
    </w:rPr>
  </w:style>
  <w:style w:type="character" w:styleId="Strong">
    <w:name w:val="Strong"/>
    <w:basedOn w:val="DefaultParagraphFont"/>
    <w:uiPriority w:val="22"/>
    <w:rsid w:val="00531BBC"/>
    <w:rPr>
      <w:b/>
    </w:rPr>
  </w:style>
  <w:style w:type="character" w:customStyle="1" w:styleId="apple-converted-space">
    <w:name w:val="apple-converted-space"/>
    <w:basedOn w:val="DefaultParagraphFont"/>
    <w:rsid w:val="00531BBC"/>
  </w:style>
  <w:style w:type="table" w:styleId="TableGrid">
    <w:name w:val="Table Grid"/>
    <w:basedOn w:val="TableNormal"/>
    <w:uiPriority w:val="59"/>
    <w:rsid w:val="004B26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2629"/>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4B2629"/>
    <w:rPr>
      <w:rFonts w:ascii="Tahoma" w:hAnsi="Tahoma" w:cs="Tahoma"/>
      <w:sz w:val="16"/>
      <w:szCs w:val="16"/>
    </w:rPr>
  </w:style>
  <w:style w:type="paragraph" w:styleId="Subtitle">
    <w:name w:val="Subtitle"/>
    <w:basedOn w:val="Normal"/>
    <w:link w:val="SubtitleChar"/>
    <w:qFormat/>
    <w:rsid w:val="00FB1648"/>
    <w:pPr>
      <w:spacing w:before="240"/>
      <w:jc w:val="center"/>
    </w:pPr>
    <w:rPr>
      <w:rFonts w:ascii="Bookman" w:hAnsi="Bookman"/>
      <w:b/>
      <w:sz w:val="28"/>
      <w:szCs w:val="20"/>
      <w:lang w:eastAsia="en-US"/>
    </w:rPr>
  </w:style>
  <w:style w:type="character" w:customStyle="1" w:styleId="SubtitleChar">
    <w:name w:val="Subtitle Char"/>
    <w:basedOn w:val="DefaultParagraphFont"/>
    <w:link w:val="Subtitle"/>
    <w:rsid w:val="00FB1648"/>
    <w:rPr>
      <w:rFonts w:ascii="Bookman" w:eastAsia="Times New Roman" w:hAnsi="Bookman" w:cs="Times New Roman"/>
      <w:b/>
      <w:sz w:val="28"/>
      <w:szCs w:val="20"/>
    </w:rPr>
  </w:style>
  <w:style w:type="character" w:customStyle="1" w:styleId="Heading3Char">
    <w:name w:val="Heading 3 Char"/>
    <w:basedOn w:val="DefaultParagraphFont"/>
    <w:link w:val="Heading3"/>
    <w:rsid w:val="00B22C7E"/>
    <w:rPr>
      <w:rFonts w:ascii="Arial" w:eastAsia="Times New Roman" w:hAnsi="Arial" w:cs="Arial"/>
      <w:b/>
      <w:bCs/>
      <w:caps/>
      <w:sz w:val="28"/>
      <w:szCs w:val="26"/>
      <w:lang w:val="en-US"/>
    </w:rPr>
  </w:style>
  <w:style w:type="character" w:customStyle="1" w:styleId="Heading4Char">
    <w:name w:val="Heading 4 Char"/>
    <w:basedOn w:val="DefaultParagraphFont"/>
    <w:link w:val="Heading4"/>
    <w:rsid w:val="00B22C7E"/>
    <w:rPr>
      <w:rFonts w:ascii="Arial (W1)" w:eastAsia="Times New Roman" w:hAnsi="Arial (W1)" w:cs="Arial"/>
      <w:b/>
      <w:bCs/>
      <w:i/>
      <w:sz w:val="22"/>
      <w:lang w:val="en-US"/>
    </w:rPr>
  </w:style>
  <w:style w:type="character" w:styleId="Hyperlink">
    <w:name w:val="Hyperlink"/>
    <w:basedOn w:val="DefaultParagraphFont"/>
    <w:uiPriority w:val="99"/>
    <w:rsid w:val="00B22C7E"/>
    <w:rPr>
      <w:color w:val="0000FF"/>
      <w:u w:val="single"/>
    </w:rPr>
  </w:style>
  <w:style w:type="character" w:styleId="FollowedHyperlink">
    <w:name w:val="FollowedHyperlink"/>
    <w:basedOn w:val="DefaultParagraphFont"/>
    <w:uiPriority w:val="99"/>
    <w:semiHidden/>
    <w:unhideWhenUsed/>
    <w:rsid w:val="00390345"/>
    <w:rPr>
      <w:color w:val="800080" w:themeColor="followedHyperlink"/>
      <w:u w:val="single"/>
    </w:rPr>
  </w:style>
  <w:style w:type="paragraph" w:styleId="ListParagraph">
    <w:name w:val="List Paragraph"/>
    <w:basedOn w:val="Normal"/>
    <w:uiPriority w:val="34"/>
    <w:qFormat/>
    <w:rsid w:val="005307DA"/>
    <w:pPr>
      <w:ind w:left="720"/>
      <w:contextualSpacing/>
    </w:pPr>
  </w:style>
  <w:style w:type="character" w:styleId="CommentReference">
    <w:name w:val="annotation reference"/>
    <w:basedOn w:val="DefaultParagraphFont"/>
    <w:uiPriority w:val="99"/>
    <w:semiHidden/>
    <w:unhideWhenUsed/>
    <w:rsid w:val="00385134"/>
    <w:rPr>
      <w:sz w:val="16"/>
      <w:szCs w:val="16"/>
    </w:rPr>
  </w:style>
  <w:style w:type="paragraph" w:styleId="CommentText">
    <w:name w:val="annotation text"/>
    <w:basedOn w:val="Normal"/>
    <w:link w:val="CommentTextChar"/>
    <w:uiPriority w:val="99"/>
    <w:semiHidden/>
    <w:unhideWhenUsed/>
    <w:rsid w:val="00385134"/>
    <w:rPr>
      <w:sz w:val="20"/>
      <w:szCs w:val="20"/>
    </w:rPr>
  </w:style>
  <w:style w:type="character" w:customStyle="1" w:styleId="CommentTextChar">
    <w:name w:val="Comment Text Char"/>
    <w:basedOn w:val="DefaultParagraphFont"/>
    <w:link w:val="CommentText"/>
    <w:uiPriority w:val="99"/>
    <w:semiHidden/>
    <w:rsid w:val="00385134"/>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385134"/>
    <w:rPr>
      <w:b/>
      <w:bCs/>
    </w:rPr>
  </w:style>
  <w:style w:type="character" w:customStyle="1" w:styleId="CommentSubjectChar">
    <w:name w:val="Comment Subject Char"/>
    <w:basedOn w:val="CommentTextChar"/>
    <w:link w:val="CommentSubject"/>
    <w:uiPriority w:val="99"/>
    <w:semiHidden/>
    <w:rsid w:val="00385134"/>
    <w:rPr>
      <w:rFonts w:ascii="Arial" w:eastAsia="Times New Roman" w:hAnsi="Arial" w:cs="Times New Roman"/>
      <w:b/>
      <w:bCs/>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94660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ation.nt.gov.au/education/committees,-regulators-and-advisory-groups/northern-territory-board-of-studies/ntbos-policies-and-guidelin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5C2D8E-28A8-4E1C-841D-B47B83F3A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1002</Words>
  <Characters>5716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First Class in Graphic Design</Company>
  <LinksUpToDate>false</LinksUpToDate>
  <CharactersWithSpaces>6705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Helen Mckeiver</dc:creator>
  <cp:lastModifiedBy>Riley Pearce</cp:lastModifiedBy>
  <cp:revision>3</cp:revision>
  <cp:lastPrinted>2019-05-23T10:27:00Z</cp:lastPrinted>
  <dcterms:created xsi:type="dcterms:W3CDTF">2019-05-21T05:55:00Z</dcterms:created>
  <dcterms:modified xsi:type="dcterms:W3CDTF">2019-05-23T10:28:00Z</dcterms:modified>
</cp:coreProperties>
</file>