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27616ED5" w:rsidR="00886C9D" w:rsidRPr="00886C9D" w:rsidRDefault="002D18D1" w:rsidP="00886C9D">
          <w:pPr>
            <w:pStyle w:val="Title"/>
          </w:pPr>
          <w:r>
            <w:rPr>
              <w:rStyle w:val="TitleChar"/>
            </w:rPr>
            <w:t>School swimming, water safety programs and aquatic activities – policy</w:t>
          </w:r>
        </w:p>
      </w:sdtContent>
    </w:sdt>
    <w:p w14:paraId="77C6865F" w14:textId="1A777478" w:rsidR="00964B22" w:rsidRDefault="00001667" w:rsidP="00DD64C2">
      <w:pPr>
        <w:tabs>
          <w:tab w:val="center" w:pos="4819"/>
        </w:tabs>
      </w:pPr>
      <w:r>
        <w:rPr>
          <w:noProof/>
        </w:rPr>
        <mc:AlternateContent>
          <mc:Choice Requires="wps">
            <w:drawing>
              <wp:anchor distT="0" distB="0" distL="114300" distR="114300" simplePos="0" relativeHeight="251659264" behindDoc="0" locked="0" layoutInCell="1" allowOverlap="1" wp14:anchorId="73BBD278" wp14:editId="0D5FB993">
                <wp:simplePos x="0" y="0"/>
                <wp:positionH relativeFrom="margin">
                  <wp:posOffset>4782186</wp:posOffset>
                </wp:positionH>
                <wp:positionV relativeFrom="paragraph">
                  <wp:posOffset>-2002155</wp:posOffset>
                </wp:positionV>
                <wp:extent cx="1390650" cy="314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90650" cy="314325"/>
                        </a:xfrm>
                        <a:prstGeom prst="rect">
                          <a:avLst/>
                        </a:prstGeom>
                        <a:solidFill>
                          <a:schemeClr val="lt1"/>
                        </a:solidFill>
                        <a:ln w="6350">
                          <a:noFill/>
                        </a:ln>
                      </wps:spPr>
                      <wps:txbx>
                        <w:txbxContent>
                          <w:p w14:paraId="715DF738" w14:textId="6BF22766" w:rsidR="00001667" w:rsidRPr="00001667" w:rsidRDefault="0000166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BD278" id="_x0000_t202" coordsize="21600,21600" o:spt="202" path="m,l,21600r21600,l21600,xe">
                <v:stroke joinstyle="miter"/>
                <v:path gradientshapeok="t" o:connecttype="rect"/>
              </v:shapetype>
              <v:shape id="Text Box 1" o:spid="_x0000_s1026" type="#_x0000_t202" style="position:absolute;margin-left:376.55pt;margin-top:-157.65pt;width:109.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" fillcolor="white [3201]" stroked="f" strokeweight=".5pt">
                <v:textbox>
                  <w:txbxContent>
                    <w:p w14:paraId="715DF738" w14:textId="6BF22766" w:rsidR="00001667" w:rsidRPr="00001667" w:rsidRDefault="00001667">
                      <w:pPr>
                        <w:rPr>
                          <w:lang w:val="en-US"/>
                        </w:rPr>
                      </w:pPr>
                    </w:p>
                  </w:txbxContent>
                </v:textbox>
                <w10:wrap anchorx="margin"/>
              </v:shape>
            </w:pict>
          </mc:Fallback>
        </mc:AlternateContent>
      </w: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5FE35BC4" w14:textId="1E0A614C" w:rsidR="002D747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5379756" w:history="1">
            <w:r w:rsidR="002D7472" w:rsidRPr="009D0F99">
              <w:rPr>
                <w:rStyle w:val="Hyperlink"/>
                <w:noProof/>
                <w:lang w:eastAsia="en-AU"/>
              </w:rPr>
              <w:t>1. Policy</w:t>
            </w:r>
            <w:r w:rsidR="002D7472">
              <w:rPr>
                <w:noProof/>
                <w:webHidden/>
              </w:rPr>
              <w:tab/>
            </w:r>
            <w:r w:rsidR="002D7472">
              <w:rPr>
                <w:noProof/>
                <w:webHidden/>
              </w:rPr>
              <w:fldChar w:fldCharType="begin"/>
            </w:r>
            <w:r w:rsidR="002D7472">
              <w:rPr>
                <w:noProof/>
                <w:webHidden/>
              </w:rPr>
              <w:instrText xml:space="preserve"> PAGEREF _Toc135379756 \h </w:instrText>
            </w:r>
            <w:r w:rsidR="002D7472">
              <w:rPr>
                <w:noProof/>
                <w:webHidden/>
              </w:rPr>
            </w:r>
            <w:r w:rsidR="002D7472">
              <w:rPr>
                <w:noProof/>
                <w:webHidden/>
              </w:rPr>
              <w:fldChar w:fldCharType="separate"/>
            </w:r>
            <w:r w:rsidR="002D7472">
              <w:rPr>
                <w:noProof/>
                <w:webHidden/>
              </w:rPr>
              <w:t>3</w:t>
            </w:r>
            <w:r w:rsidR="002D7472">
              <w:rPr>
                <w:noProof/>
                <w:webHidden/>
              </w:rPr>
              <w:fldChar w:fldCharType="end"/>
            </w:r>
          </w:hyperlink>
        </w:p>
        <w:p w14:paraId="30446963" w14:textId="7BEB76A6" w:rsidR="002D7472" w:rsidRDefault="003F6468">
          <w:pPr>
            <w:pStyle w:val="TOC1"/>
            <w:rPr>
              <w:rFonts w:asciiTheme="minorHAnsi" w:eastAsiaTheme="minorEastAsia" w:hAnsiTheme="minorHAnsi" w:cstheme="minorBidi"/>
              <w:b w:val="0"/>
              <w:noProof/>
              <w:lang w:eastAsia="en-AU"/>
            </w:rPr>
          </w:pPr>
          <w:hyperlink w:anchor="_Toc135379757" w:history="1">
            <w:r w:rsidR="002D7472" w:rsidRPr="009D0F99">
              <w:rPr>
                <w:rStyle w:val="Hyperlink"/>
                <w:noProof/>
                <w:lang w:eastAsia="en-AU"/>
              </w:rPr>
              <w:t>2. Business need</w:t>
            </w:r>
            <w:r w:rsidR="002D7472">
              <w:rPr>
                <w:noProof/>
                <w:webHidden/>
              </w:rPr>
              <w:tab/>
            </w:r>
            <w:r w:rsidR="002D7472">
              <w:rPr>
                <w:noProof/>
                <w:webHidden/>
              </w:rPr>
              <w:fldChar w:fldCharType="begin"/>
            </w:r>
            <w:r w:rsidR="002D7472">
              <w:rPr>
                <w:noProof/>
                <w:webHidden/>
              </w:rPr>
              <w:instrText xml:space="preserve"> PAGEREF _Toc135379757 \h </w:instrText>
            </w:r>
            <w:r w:rsidR="002D7472">
              <w:rPr>
                <w:noProof/>
                <w:webHidden/>
              </w:rPr>
            </w:r>
            <w:r w:rsidR="002D7472">
              <w:rPr>
                <w:noProof/>
                <w:webHidden/>
              </w:rPr>
              <w:fldChar w:fldCharType="separate"/>
            </w:r>
            <w:r w:rsidR="002D7472">
              <w:rPr>
                <w:noProof/>
                <w:webHidden/>
              </w:rPr>
              <w:t>3</w:t>
            </w:r>
            <w:r w:rsidR="002D7472">
              <w:rPr>
                <w:noProof/>
                <w:webHidden/>
              </w:rPr>
              <w:fldChar w:fldCharType="end"/>
            </w:r>
          </w:hyperlink>
        </w:p>
        <w:p w14:paraId="4B8BC61E" w14:textId="6C765064" w:rsidR="002D7472" w:rsidRDefault="003F6468">
          <w:pPr>
            <w:pStyle w:val="TOC1"/>
            <w:rPr>
              <w:rFonts w:asciiTheme="minorHAnsi" w:eastAsiaTheme="minorEastAsia" w:hAnsiTheme="minorHAnsi" w:cstheme="minorBidi"/>
              <w:b w:val="0"/>
              <w:noProof/>
              <w:lang w:eastAsia="en-AU"/>
            </w:rPr>
          </w:pPr>
          <w:hyperlink w:anchor="_Toc135379758" w:history="1">
            <w:r w:rsidR="002D7472" w:rsidRPr="009D0F99">
              <w:rPr>
                <w:rStyle w:val="Hyperlink"/>
                <w:noProof/>
                <w:lang w:eastAsia="en-AU"/>
              </w:rPr>
              <w:t>3. Scope</w:t>
            </w:r>
            <w:r w:rsidR="002D7472">
              <w:rPr>
                <w:noProof/>
                <w:webHidden/>
              </w:rPr>
              <w:tab/>
            </w:r>
            <w:r w:rsidR="002D7472">
              <w:rPr>
                <w:noProof/>
                <w:webHidden/>
              </w:rPr>
              <w:fldChar w:fldCharType="begin"/>
            </w:r>
            <w:r w:rsidR="002D7472">
              <w:rPr>
                <w:noProof/>
                <w:webHidden/>
              </w:rPr>
              <w:instrText xml:space="preserve"> PAGEREF _Toc135379758 \h </w:instrText>
            </w:r>
            <w:r w:rsidR="002D7472">
              <w:rPr>
                <w:noProof/>
                <w:webHidden/>
              </w:rPr>
            </w:r>
            <w:r w:rsidR="002D7472">
              <w:rPr>
                <w:noProof/>
                <w:webHidden/>
              </w:rPr>
              <w:fldChar w:fldCharType="separate"/>
            </w:r>
            <w:r w:rsidR="002D7472">
              <w:rPr>
                <w:noProof/>
                <w:webHidden/>
              </w:rPr>
              <w:t>3</w:t>
            </w:r>
            <w:r w:rsidR="002D7472">
              <w:rPr>
                <w:noProof/>
                <w:webHidden/>
              </w:rPr>
              <w:fldChar w:fldCharType="end"/>
            </w:r>
          </w:hyperlink>
        </w:p>
        <w:p w14:paraId="4C3C4DDB" w14:textId="6E0C0E55" w:rsidR="002D7472" w:rsidRDefault="003F6468">
          <w:pPr>
            <w:pStyle w:val="TOC1"/>
            <w:rPr>
              <w:rFonts w:asciiTheme="minorHAnsi" w:eastAsiaTheme="minorEastAsia" w:hAnsiTheme="minorHAnsi" w:cstheme="minorBidi"/>
              <w:b w:val="0"/>
              <w:noProof/>
              <w:lang w:eastAsia="en-AU"/>
            </w:rPr>
          </w:pPr>
          <w:hyperlink w:anchor="_Toc135379759" w:history="1">
            <w:r w:rsidR="002D7472" w:rsidRPr="009D0F99">
              <w:rPr>
                <w:rStyle w:val="Hyperlink"/>
                <w:noProof/>
                <w:lang w:eastAsia="en-AU"/>
              </w:rPr>
              <w:t>4. Reporting requirements</w:t>
            </w:r>
            <w:r w:rsidR="002D7472">
              <w:rPr>
                <w:noProof/>
                <w:webHidden/>
              </w:rPr>
              <w:tab/>
            </w:r>
            <w:r w:rsidR="002D7472">
              <w:rPr>
                <w:noProof/>
                <w:webHidden/>
              </w:rPr>
              <w:fldChar w:fldCharType="begin"/>
            </w:r>
            <w:r w:rsidR="002D7472">
              <w:rPr>
                <w:noProof/>
                <w:webHidden/>
              </w:rPr>
              <w:instrText xml:space="preserve"> PAGEREF _Toc135379759 \h </w:instrText>
            </w:r>
            <w:r w:rsidR="002D7472">
              <w:rPr>
                <w:noProof/>
                <w:webHidden/>
              </w:rPr>
            </w:r>
            <w:r w:rsidR="002D7472">
              <w:rPr>
                <w:noProof/>
                <w:webHidden/>
              </w:rPr>
              <w:fldChar w:fldCharType="separate"/>
            </w:r>
            <w:r w:rsidR="002D7472">
              <w:rPr>
                <w:noProof/>
                <w:webHidden/>
              </w:rPr>
              <w:t>3</w:t>
            </w:r>
            <w:r w:rsidR="002D7472">
              <w:rPr>
                <w:noProof/>
                <w:webHidden/>
              </w:rPr>
              <w:fldChar w:fldCharType="end"/>
            </w:r>
          </w:hyperlink>
        </w:p>
        <w:p w14:paraId="4083A60C" w14:textId="6F4201EB" w:rsidR="002D7472" w:rsidRDefault="003F6468">
          <w:pPr>
            <w:pStyle w:val="TOC1"/>
            <w:rPr>
              <w:rFonts w:asciiTheme="minorHAnsi" w:eastAsiaTheme="minorEastAsia" w:hAnsiTheme="minorHAnsi" w:cstheme="minorBidi"/>
              <w:b w:val="0"/>
              <w:noProof/>
              <w:lang w:eastAsia="en-AU"/>
            </w:rPr>
          </w:pPr>
          <w:hyperlink w:anchor="_Toc135379760" w:history="1">
            <w:r w:rsidR="002D7472" w:rsidRPr="009D0F99">
              <w:rPr>
                <w:rStyle w:val="Hyperlink"/>
                <w:noProof/>
                <w:lang w:eastAsia="en-AU"/>
              </w:rPr>
              <w:t>5. Roles and responsibilities</w:t>
            </w:r>
            <w:r w:rsidR="002D7472">
              <w:rPr>
                <w:noProof/>
                <w:webHidden/>
              </w:rPr>
              <w:tab/>
            </w:r>
            <w:r w:rsidR="002D7472">
              <w:rPr>
                <w:noProof/>
                <w:webHidden/>
              </w:rPr>
              <w:fldChar w:fldCharType="begin"/>
            </w:r>
            <w:r w:rsidR="002D7472">
              <w:rPr>
                <w:noProof/>
                <w:webHidden/>
              </w:rPr>
              <w:instrText xml:space="preserve"> PAGEREF _Toc135379760 \h </w:instrText>
            </w:r>
            <w:r w:rsidR="002D7472">
              <w:rPr>
                <w:noProof/>
                <w:webHidden/>
              </w:rPr>
            </w:r>
            <w:r w:rsidR="002D7472">
              <w:rPr>
                <w:noProof/>
                <w:webHidden/>
              </w:rPr>
              <w:fldChar w:fldCharType="separate"/>
            </w:r>
            <w:r w:rsidR="002D7472">
              <w:rPr>
                <w:noProof/>
                <w:webHidden/>
              </w:rPr>
              <w:t>3</w:t>
            </w:r>
            <w:r w:rsidR="002D7472">
              <w:rPr>
                <w:noProof/>
                <w:webHidden/>
              </w:rPr>
              <w:fldChar w:fldCharType="end"/>
            </w:r>
          </w:hyperlink>
        </w:p>
        <w:p w14:paraId="1585EBE2" w14:textId="70932BD2" w:rsidR="002D7472" w:rsidRDefault="003F6468">
          <w:pPr>
            <w:pStyle w:val="TOC1"/>
            <w:rPr>
              <w:rFonts w:asciiTheme="minorHAnsi" w:eastAsiaTheme="minorEastAsia" w:hAnsiTheme="minorHAnsi" w:cstheme="minorBidi"/>
              <w:b w:val="0"/>
              <w:noProof/>
              <w:lang w:eastAsia="en-AU"/>
            </w:rPr>
          </w:pPr>
          <w:hyperlink w:anchor="_Toc135379761" w:history="1">
            <w:r w:rsidR="002D7472" w:rsidRPr="009D0F99">
              <w:rPr>
                <w:rStyle w:val="Hyperlink"/>
                <w:noProof/>
              </w:rPr>
              <w:t>6. Definitions</w:t>
            </w:r>
            <w:r w:rsidR="002D7472">
              <w:rPr>
                <w:noProof/>
                <w:webHidden/>
              </w:rPr>
              <w:tab/>
            </w:r>
            <w:r w:rsidR="002D7472">
              <w:rPr>
                <w:noProof/>
                <w:webHidden/>
              </w:rPr>
              <w:fldChar w:fldCharType="begin"/>
            </w:r>
            <w:r w:rsidR="002D7472">
              <w:rPr>
                <w:noProof/>
                <w:webHidden/>
              </w:rPr>
              <w:instrText xml:space="preserve"> PAGEREF _Toc135379761 \h </w:instrText>
            </w:r>
            <w:r w:rsidR="002D7472">
              <w:rPr>
                <w:noProof/>
                <w:webHidden/>
              </w:rPr>
            </w:r>
            <w:r w:rsidR="002D7472">
              <w:rPr>
                <w:noProof/>
                <w:webHidden/>
              </w:rPr>
              <w:fldChar w:fldCharType="separate"/>
            </w:r>
            <w:r w:rsidR="002D7472">
              <w:rPr>
                <w:noProof/>
                <w:webHidden/>
              </w:rPr>
              <w:t>4</w:t>
            </w:r>
            <w:r w:rsidR="002D7472">
              <w:rPr>
                <w:noProof/>
                <w:webHidden/>
              </w:rPr>
              <w:fldChar w:fldCharType="end"/>
            </w:r>
          </w:hyperlink>
        </w:p>
        <w:p w14:paraId="4DB7088E" w14:textId="717E3D76" w:rsidR="002D7472" w:rsidRDefault="003F6468">
          <w:pPr>
            <w:pStyle w:val="TOC1"/>
            <w:rPr>
              <w:rFonts w:asciiTheme="minorHAnsi" w:eastAsiaTheme="minorEastAsia" w:hAnsiTheme="minorHAnsi" w:cstheme="minorBidi"/>
              <w:b w:val="0"/>
              <w:noProof/>
              <w:lang w:eastAsia="en-AU"/>
            </w:rPr>
          </w:pPr>
          <w:hyperlink w:anchor="_Toc135379762" w:history="1">
            <w:r w:rsidR="002D7472" w:rsidRPr="009D0F99">
              <w:rPr>
                <w:rStyle w:val="Hyperlink"/>
                <w:noProof/>
                <w:lang w:eastAsia="en-AU"/>
              </w:rPr>
              <w:t>7. Related legislation, policy and procedures, resources and documents</w:t>
            </w:r>
            <w:r w:rsidR="002D7472">
              <w:rPr>
                <w:noProof/>
                <w:webHidden/>
              </w:rPr>
              <w:tab/>
            </w:r>
            <w:r w:rsidR="002D7472">
              <w:rPr>
                <w:noProof/>
                <w:webHidden/>
              </w:rPr>
              <w:fldChar w:fldCharType="begin"/>
            </w:r>
            <w:r w:rsidR="002D7472">
              <w:rPr>
                <w:noProof/>
                <w:webHidden/>
              </w:rPr>
              <w:instrText xml:space="preserve"> PAGEREF _Toc135379762 \h </w:instrText>
            </w:r>
            <w:r w:rsidR="002D7472">
              <w:rPr>
                <w:noProof/>
                <w:webHidden/>
              </w:rPr>
            </w:r>
            <w:r w:rsidR="002D7472">
              <w:rPr>
                <w:noProof/>
                <w:webHidden/>
              </w:rPr>
              <w:fldChar w:fldCharType="separate"/>
            </w:r>
            <w:r w:rsidR="002D7472">
              <w:rPr>
                <w:noProof/>
                <w:webHidden/>
              </w:rPr>
              <w:t>4</w:t>
            </w:r>
            <w:r w:rsidR="002D7472">
              <w:rPr>
                <w:noProof/>
                <w:webHidden/>
              </w:rPr>
              <w:fldChar w:fldCharType="end"/>
            </w:r>
          </w:hyperlink>
        </w:p>
        <w:p w14:paraId="01D0060F" w14:textId="1897B819" w:rsidR="002D7472" w:rsidRDefault="003F6468">
          <w:pPr>
            <w:pStyle w:val="TOC2"/>
            <w:rPr>
              <w:rFonts w:asciiTheme="minorHAnsi" w:eastAsiaTheme="minorEastAsia" w:hAnsiTheme="minorHAnsi" w:cstheme="minorBidi"/>
              <w:noProof/>
              <w:lang w:eastAsia="en-AU"/>
            </w:rPr>
          </w:pPr>
          <w:hyperlink w:anchor="_Toc135379763" w:history="1">
            <w:r w:rsidR="002D7472" w:rsidRPr="009D0F99">
              <w:rPr>
                <w:rStyle w:val="Hyperlink"/>
                <w:noProof/>
              </w:rPr>
              <w:t>7.1. Legislation</w:t>
            </w:r>
            <w:r w:rsidR="002D7472">
              <w:rPr>
                <w:noProof/>
                <w:webHidden/>
              </w:rPr>
              <w:tab/>
            </w:r>
            <w:r w:rsidR="002D7472">
              <w:rPr>
                <w:noProof/>
                <w:webHidden/>
              </w:rPr>
              <w:fldChar w:fldCharType="begin"/>
            </w:r>
            <w:r w:rsidR="002D7472">
              <w:rPr>
                <w:noProof/>
                <w:webHidden/>
              </w:rPr>
              <w:instrText xml:space="preserve"> PAGEREF _Toc135379763 \h </w:instrText>
            </w:r>
            <w:r w:rsidR="002D7472">
              <w:rPr>
                <w:noProof/>
                <w:webHidden/>
              </w:rPr>
            </w:r>
            <w:r w:rsidR="002D7472">
              <w:rPr>
                <w:noProof/>
                <w:webHidden/>
              </w:rPr>
              <w:fldChar w:fldCharType="separate"/>
            </w:r>
            <w:r w:rsidR="002D7472">
              <w:rPr>
                <w:noProof/>
                <w:webHidden/>
              </w:rPr>
              <w:t>4</w:t>
            </w:r>
            <w:r w:rsidR="002D7472">
              <w:rPr>
                <w:noProof/>
                <w:webHidden/>
              </w:rPr>
              <w:fldChar w:fldCharType="end"/>
            </w:r>
          </w:hyperlink>
        </w:p>
        <w:p w14:paraId="24851217" w14:textId="3DF48A12" w:rsidR="002D7472" w:rsidRDefault="003F6468">
          <w:pPr>
            <w:pStyle w:val="TOC2"/>
            <w:rPr>
              <w:rFonts w:asciiTheme="minorHAnsi" w:eastAsiaTheme="minorEastAsia" w:hAnsiTheme="minorHAnsi" w:cstheme="minorBidi"/>
              <w:noProof/>
              <w:lang w:eastAsia="en-AU"/>
            </w:rPr>
          </w:pPr>
          <w:hyperlink w:anchor="_Toc135379764" w:history="1">
            <w:r w:rsidR="002D7472" w:rsidRPr="009D0F99">
              <w:rPr>
                <w:rStyle w:val="Hyperlink"/>
                <w:noProof/>
              </w:rPr>
              <w:t>7.2. Policies and procedures</w:t>
            </w:r>
            <w:r w:rsidR="002D7472">
              <w:rPr>
                <w:noProof/>
                <w:webHidden/>
              </w:rPr>
              <w:tab/>
            </w:r>
            <w:r w:rsidR="002D7472">
              <w:rPr>
                <w:noProof/>
                <w:webHidden/>
              </w:rPr>
              <w:fldChar w:fldCharType="begin"/>
            </w:r>
            <w:r w:rsidR="002D7472">
              <w:rPr>
                <w:noProof/>
                <w:webHidden/>
              </w:rPr>
              <w:instrText xml:space="preserve"> PAGEREF _Toc135379764 \h </w:instrText>
            </w:r>
            <w:r w:rsidR="002D7472">
              <w:rPr>
                <w:noProof/>
                <w:webHidden/>
              </w:rPr>
            </w:r>
            <w:r w:rsidR="002D7472">
              <w:rPr>
                <w:noProof/>
                <w:webHidden/>
              </w:rPr>
              <w:fldChar w:fldCharType="separate"/>
            </w:r>
            <w:r w:rsidR="002D7472">
              <w:rPr>
                <w:noProof/>
                <w:webHidden/>
              </w:rPr>
              <w:t>4</w:t>
            </w:r>
            <w:r w:rsidR="002D7472">
              <w:rPr>
                <w:noProof/>
                <w:webHidden/>
              </w:rPr>
              <w:fldChar w:fldCharType="end"/>
            </w:r>
          </w:hyperlink>
        </w:p>
        <w:p w14:paraId="2013CF61" w14:textId="51B5EFF5" w:rsidR="002D7472" w:rsidRDefault="003F6468">
          <w:pPr>
            <w:pStyle w:val="TOC2"/>
            <w:rPr>
              <w:rFonts w:asciiTheme="minorHAnsi" w:eastAsiaTheme="minorEastAsia" w:hAnsiTheme="minorHAnsi" w:cstheme="minorBidi"/>
              <w:noProof/>
              <w:lang w:eastAsia="en-AU"/>
            </w:rPr>
          </w:pPr>
          <w:hyperlink w:anchor="_Toc135379765" w:history="1">
            <w:r w:rsidR="002D7472" w:rsidRPr="009D0F99">
              <w:rPr>
                <w:rStyle w:val="Hyperlink"/>
                <w:noProof/>
              </w:rPr>
              <w:t>7.3. Resources</w:t>
            </w:r>
            <w:r w:rsidR="002D7472">
              <w:rPr>
                <w:noProof/>
                <w:webHidden/>
              </w:rPr>
              <w:tab/>
            </w:r>
            <w:r w:rsidR="002D7472">
              <w:rPr>
                <w:noProof/>
                <w:webHidden/>
              </w:rPr>
              <w:fldChar w:fldCharType="begin"/>
            </w:r>
            <w:r w:rsidR="002D7472">
              <w:rPr>
                <w:noProof/>
                <w:webHidden/>
              </w:rPr>
              <w:instrText xml:space="preserve"> PAGEREF _Toc135379765 \h </w:instrText>
            </w:r>
            <w:r w:rsidR="002D7472">
              <w:rPr>
                <w:noProof/>
                <w:webHidden/>
              </w:rPr>
            </w:r>
            <w:r w:rsidR="002D7472">
              <w:rPr>
                <w:noProof/>
                <w:webHidden/>
              </w:rPr>
              <w:fldChar w:fldCharType="separate"/>
            </w:r>
            <w:r w:rsidR="002D7472">
              <w:rPr>
                <w:noProof/>
                <w:webHidden/>
              </w:rPr>
              <w:t>5</w:t>
            </w:r>
            <w:r w:rsidR="002D7472">
              <w:rPr>
                <w:noProof/>
                <w:webHidden/>
              </w:rPr>
              <w:fldChar w:fldCharType="end"/>
            </w:r>
          </w:hyperlink>
        </w:p>
        <w:p w14:paraId="3307909C" w14:textId="3607084D" w:rsidR="002D7472" w:rsidRDefault="003F6468">
          <w:pPr>
            <w:pStyle w:val="TOC2"/>
            <w:rPr>
              <w:rFonts w:asciiTheme="minorHAnsi" w:eastAsiaTheme="minorEastAsia" w:hAnsiTheme="minorHAnsi" w:cstheme="minorBidi"/>
              <w:noProof/>
              <w:lang w:eastAsia="en-AU"/>
            </w:rPr>
          </w:pPr>
          <w:hyperlink w:anchor="_Toc135379766" w:history="1">
            <w:r w:rsidR="002D7472" w:rsidRPr="009D0F99">
              <w:rPr>
                <w:rStyle w:val="Hyperlink"/>
                <w:noProof/>
              </w:rPr>
              <w:t>7.4. Documents</w:t>
            </w:r>
            <w:r w:rsidR="002D7472">
              <w:rPr>
                <w:noProof/>
                <w:webHidden/>
              </w:rPr>
              <w:tab/>
            </w:r>
            <w:r w:rsidR="002D7472">
              <w:rPr>
                <w:noProof/>
                <w:webHidden/>
              </w:rPr>
              <w:fldChar w:fldCharType="begin"/>
            </w:r>
            <w:r w:rsidR="002D7472">
              <w:rPr>
                <w:noProof/>
                <w:webHidden/>
              </w:rPr>
              <w:instrText xml:space="preserve"> PAGEREF _Toc135379766 \h </w:instrText>
            </w:r>
            <w:r w:rsidR="002D7472">
              <w:rPr>
                <w:noProof/>
                <w:webHidden/>
              </w:rPr>
            </w:r>
            <w:r w:rsidR="002D7472">
              <w:rPr>
                <w:noProof/>
                <w:webHidden/>
              </w:rPr>
              <w:fldChar w:fldCharType="separate"/>
            </w:r>
            <w:r w:rsidR="002D7472">
              <w:rPr>
                <w:noProof/>
                <w:webHidden/>
              </w:rPr>
              <w:t>5</w:t>
            </w:r>
            <w:r w:rsidR="002D7472">
              <w:rPr>
                <w:noProof/>
                <w:webHidden/>
              </w:rPr>
              <w:fldChar w:fldCharType="end"/>
            </w:r>
          </w:hyperlink>
        </w:p>
        <w:p w14:paraId="71AF4E6D" w14:textId="308455FB"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7710B5">
          <w:headerReference w:type="first" r:id="rId12"/>
          <w:footerReference w:type="first" r:id="rId13"/>
          <w:pgSz w:w="11906" w:h="16838" w:code="9"/>
          <w:pgMar w:top="794" w:right="794" w:bottom="794" w:left="794" w:header="567" w:footer="567" w:gutter="0"/>
          <w:cols w:space="708"/>
          <w:titlePg/>
          <w:docGrid w:linePitch="360"/>
        </w:sectPr>
      </w:pPr>
    </w:p>
    <w:p w14:paraId="41411615" w14:textId="05C1CDC4" w:rsidR="002E0B57" w:rsidRDefault="002E0B57" w:rsidP="002E0B57">
      <w:pPr>
        <w:rPr>
          <w:noProof/>
          <w:lang w:eastAsia="en-AU"/>
        </w:rPr>
      </w:pPr>
      <w:r w:rsidRPr="00CF3FC2">
        <w:rPr>
          <w:noProof/>
          <w:lang w:eastAsia="en-AU"/>
        </w:rPr>
        <w:lastRenderedPageBreak/>
        <w:t>This document should be read with</w:t>
      </w:r>
      <w:r>
        <w:rPr>
          <w:noProof/>
          <w:lang w:eastAsia="en-AU"/>
        </w:rPr>
        <w:t xml:space="preserve"> the</w:t>
      </w:r>
      <w:r w:rsidRPr="00CF3FC2">
        <w:rPr>
          <w:noProof/>
          <w:lang w:eastAsia="en-AU"/>
        </w:rPr>
        <w:t xml:space="preserve"> </w:t>
      </w:r>
      <w:bookmarkStart w:id="0" w:name="_Hlk106963305"/>
      <w:bookmarkStart w:id="1" w:name="_Hlk106964249"/>
      <w:r w:rsidRPr="003562E3">
        <w:rPr>
          <w:noProof/>
          <w:lang w:eastAsia="en-AU"/>
        </w:rPr>
        <w:t xml:space="preserve">School swimming, water safety programs and aquatic activities </w:t>
      </w:r>
      <w:r w:rsidR="00A6181C" w:rsidRPr="003562E3">
        <w:rPr>
          <w:noProof/>
          <w:lang w:eastAsia="en-AU"/>
        </w:rPr>
        <w:t>procedures</w:t>
      </w:r>
      <w:bookmarkEnd w:id="0"/>
      <w:r w:rsidRPr="003562E3">
        <w:rPr>
          <w:noProof/>
          <w:lang w:eastAsia="en-AU"/>
        </w:rPr>
        <w:t>.</w:t>
      </w:r>
    </w:p>
    <w:p w14:paraId="308C0A91" w14:textId="29AC88EC" w:rsidR="00C800F1" w:rsidRDefault="00437291" w:rsidP="003477B6">
      <w:pPr>
        <w:pStyle w:val="Heading1"/>
        <w:rPr>
          <w:noProof/>
          <w:lang w:eastAsia="en-AU"/>
        </w:rPr>
      </w:pPr>
      <w:bookmarkStart w:id="2" w:name="_Toc135379756"/>
      <w:bookmarkEnd w:id="1"/>
      <w:r>
        <w:rPr>
          <w:noProof/>
          <w:lang w:eastAsia="en-AU"/>
        </w:rPr>
        <w:t>Policy</w:t>
      </w:r>
      <w:bookmarkEnd w:id="2"/>
    </w:p>
    <w:p w14:paraId="0F6D4395" w14:textId="77777777" w:rsidR="00437291" w:rsidRDefault="00437291" w:rsidP="00437291">
      <w:r>
        <w:t>The aim of this policy is to promote safe aquatic participation and minimise the risks associated with school swimming and water safety programs. Schools must follow teacher qualifications, student ratios, and duty of care requirements for school swimming programs including swimming carnivals, diving, recreational aquatic activities and student resuscitation education, outlined in the School swimming, water safety programs and aquatic activities procedures.</w:t>
      </w:r>
    </w:p>
    <w:p w14:paraId="721C5CF9" w14:textId="465ECFB5" w:rsidR="00C800F1" w:rsidRDefault="00437291" w:rsidP="00437291">
      <w:pPr>
        <w:rPr>
          <w:lang w:eastAsia="en-AU"/>
        </w:rPr>
      </w:pPr>
      <w:r>
        <w:t>Schools with swimming pools and purpose</w:t>
      </w:r>
      <w:r w:rsidR="00A6181C">
        <w:t xml:space="preserve"> </w:t>
      </w:r>
      <w:r>
        <w:t>built pools on their premises must ensure they comply with the Royal Life Saving Australia (RLSA)</w:t>
      </w:r>
      <w:r>
        <w:rPr>
          <w:lang w:eastAsia="en-AU"/>
        </w:rPr>
        <w:t xml:space="preserve"> </w:t>
      </w:r>
      <w:r w:rsidRPr="003562E3">
        <w:t xml:space="preserve">Guidelines for </w:t>
      </w:r>
      <w:r w:rsidR="00A6181C" w:rsidRPr="003562E3">
        <w:t>safe pool operations</w:t>
      </w:r>
      <w:r w:rsidR="003562E3">
        <w:t>.</w:t>
      </w:r>
    </w:p>
    <w:p w14:paraId="4527A8BA" w14:textId="0C7224C8" w:rsidR="00C800F1" w:rsidRDefault="00437291" w:rsidP="00C800F1">
      <w:pPr>
        <w:pStyle w:val="Heading1"/>
        <w:rPr>
          <w:lang w:eastAsia="en-AU"/>
        </w:rPr>
      </w:pPr>
      <w:bookmarkStart w:id="3" w:name="_Toc135379757"/>
      <w:r>
        <w:rPr>
          <w:lang w:eastAsia="en-AU"/>
        </w:rPr>
        <w:t>Business need</w:t>
      </w:r>
      <w:bookmarkEnd w:id="3"/>
    </w:p>
    <w:p w14:paraId="617C0DBF" w14:textId="2C42058E" w:rsidR="00437291" w:rsidRDefault="00437291" w:rsidP="00437291">
      <w:pPr>
        <w:rPr>
          <w:lang w:eastAsia="en-AU"/>
        </w:rPr>
      </w:pPr>
      <w:r>
        <w:rPr>
          <w:lang w:eastAsia="en-AU"/>
        </w:rPr>
        <w:t xml:space="preserve">This policy </w:t>
      </w:r>
      <w:r w:rsidR="0091048B">
        <w:rPr>
          <w:lang w:eastAsia="en-AU"/>
        </w:rPr>
        <w:t xml:space="preserve">aims to ensure schools </w:t>
      </w:r>
      <w:r w:rsidR="00BE606C">
        <w:rPr>
          <w:lang w:eastAsia="en-AU"/>
        </w:rPr>
        <w:t>carry out</w:t>
      </w:r>
      <w:r w:rsidR="0091048B">
        <w:rPr>
          <w:lang w:eastAsia="en-AU"/>
        </w:rPr>
        <w:t xml:space="preserve"> </w:t>
      </w:r>
      <w:r>
        <w:rPr>
          <w:lang w:eastAsia="en-AU"/>
        </w:rPr>
        <w:t xml:space="preserve">appropriate planning, implementation and supervision of school swimming programs including swimming carnivals and recreational aquatic activities. The policy is based on the RLSA </w:t>
      </w:r>
      <w:r w:rsidRPr="00041AFB">
        <w:t xml:space="preserve">Guidelines for </w:t>
      </w:r>
      <w:r w:rsidR="00A6181C" w:rsidRPr="00041AFB">
        <w:t>safe pool operations</w:t>
      </w:r>
      <w:r>
        <w:rPr>
          <w:lang w:eastAsia="en-AU"/>
        </w:rPr>
        <w:t xml:space="preserve"> and </w:t>
      </w:r>
      <w:r w:rsidRPr="003562E3">
        <w:rPr>
          <w:lang w:eastAsia="en-AU"/>
        </w:rPr>
        <w:t xml:space="preserve">AUSTSWIM Swimming </w:t>
      </w:r>
      <w:r w:rsidR="00A6181C">
        <w:rPr>
          <w:lang w:eastAsia="en-AU"/>
        </w:rPr>
        <w:t>and</w:t>
      </w:r>
      <w:r w:rsidR="00A6181C" w:rsidRPr="003562E3">
        <w:rPr>
          <w:lang w:eastAsia="en-AU"/>
        </w:rPr>
        <w:t xml:space="preserve"> water safety program guidelines</w:t>
      </w:r>
      <w:r w:rsidR="003562E3">
        <w:rPr>
          <w:lang w:eastAsia="en-AU"/>
        </w:rPr>
        <w:t>.</w:t>
      </w:r>
    </w:p>
    <w:p w14:paraId="6F283FEF" w14:textId="1B786B1A" w:rsidR="00437291" w:rsidRDefault="00437291" w:rsidP="00437291">
      <w:pPr>
        <w:rPr>
          <w:lang w:eastAsia="en-AU"/>
        </w:rPr>
      </w:pPr>
      <w:r>
        <w:rPr>
          <w:lang w:eastAsia="en-AU"/>
        </w:rPr>
        <w:t xml:space="preserve">The </w:t>
      </w:r>
      <w:r w:rsidRPr="003562E3">
        <w:rPr>
          <w:lang w:eastAsia="en-AU"/>
        </w:rPr>
        <w:t>Australian Water Safety Council</w:t>
      </w:r>
      <w:r>
        <w:rPr>
          <w:lang w:eastAsia="en-AU"/>
        </w:rPr>
        <w:t xml:space="preserve"> recommends that by the completion of primary school education, each student should be able to satisfactorily perform all </w:t>
      </w:r>
      <w:bookmarkStart w:id="4" w:name="_Hlk106962425"/>
      <w:r>
        <w:rPr>
          <w:lang w:eastAsia="en-AU"/>
        </w:rPr>
        <w:t xml:space="preserve">competencies equivalent to </w:t>
      </w:r>
      <w:r w:rsidR="00A6181C">
        <w:rPr>
          <w:lang w:eastAsia="en-AU"/>
        </w:rPr>
        <w:t xml:space="preserve">level </w:t>
      </w:r>
      <w:r>
        <w:rPr>
          <w:lang w:eastAsia="en-AU"/>
        </w:rPr>
        <w:t xml:space="preserve">7 of the RLSA </w:t>
      </w:r>
      <w:r w:rsidR="00A6181C">
        <w:rPr>
          <w:lang w:eastAsia="en-AU"/>
        </w:rPr>
        <w:t>swim and survive program</w:t>
      </w:r>
      <w:bookmarkEnd w:id="4"/>
      <w:r>
        <w:rPr>
          <w:lang w:eastAsia="en-AU"/>
        </w:rPr>
        <w:t xml:space="preserve">. By year 10, each student should be able to satisfactorily perform all competencies equivalent to RLSA </w:t>
      </w:r>
      <w:r w:rsidR="00A6181C">
        <w:rPr>
          <w:lang w:eastAsia="en-AU"/>
        </w:rPr>
        <w:t xml:space="preserve">bronze star </w:t>
      </w:r>
      <w:r>
        <w:rPr>
          <w:lang w:eastAsia="en-AU"/>
        </w:rPr>
        <w:t xml:space="preserve">including resuscitation, or Surf Life Saving Australia </w:t>
      </w:r>
      <w:r w:rsidR="00A6181C">
        <w:rPr>
          <w:lang w:eastAsia="en-AU"/>
        </w:rPr>
        <w:t>surf survival including resus</w:t>
      </w:r>
      <w:r>
        <w:rPr>
          <w:lang w:eastAsia="en-AU"/>
        </w:rPr>
        <w:t>citation.</w:t>
      </w:r>
    </w:p>
    <w:p w14:paraId="3B3A092D" w14:textId="632536B0" w:rsidR="00F24CB0" w:rsidRDefault="00437291">
      <w:r>
        <w:t xml:space="preserve">If preschool children are participating in a swimming program or aquatic activities, the </w:t>
      </w:r>
      <w:r w:rsidRPr="003562E3">
        <w:rPr>
          <w:lang w:eastAsia="en-AU"/>
        </w:rPr>
        <w:t>Managing water hazards in preschool policy and procedures</w:t>
      </w:r>
      <w:r w:rsidRPr="002D18D1">
        <w:rPr>
          <w:rStyle w:val="Hyperlink"/>
          <w:color w:val="auto"/>
          <w:u w:val="none"/>
          <w:lang w:eastAsia="en-AU"/>
        </w:rPr>
        <w:t xml:space="preserve"> </w:t>
      </w:r>
      <w:r w:rsidRPr="003562E3">
        <w:t>m</w:t>
      </w:r>
      <w:r w:rsidRPr="00437291">
        <w:t xml:space="preserve">ust be followed to ensure the requirements under the </w:t>
      </w:r>
      <w:r w:rsidRPr="002D7472">
        <w:rPr>
          <w:i/>
          <w:iCs/>
        </w:rPr>
        <w:t xml:space="preserve">Education and Care Services </w:t>
      </w:r>
      <w:r w:rsidR="000E39EA" w:rsidRPr="002D7472">
        <w:rPr>
          <w:i/>
          <w:iCs/>
        </w:rPr>
        <w:t>(</w:t>
      </w:r>
      <w:r w:rsidRPr="002D7472">
        <w:rPr>
          <w:i/>
          <w:iCs/>
        </w:rPr>
        <w:t xml:space="preserve">National </w:t>
      </w:r>
      <w:r w:rsidR="000E39EA" w:rsidRPr="002D7472">
        <w:rPr>
          <w:i/>
          <w:iCs/>
        </w:rPr>
        <w:t>Uniform Legislation) Act 2011</w:t>
      </w:r>
      <w:r w:rsidR="000E39EA">
        <w:rPr>
          <w:rFonts w:cs="Arial"/>
          <w:bCs/>
          <w:kern w:val="36"/>
          <w:lang w:eastAsia="en-AU"/>
        </w:rPr>
        <w:t xml:space="preserve"> </w:t>
      </w:r>
      <w:r w:rsidRPr="00D31458">
        <w:t>and</w:t>
      </w:r>
      <w:r>
        <w:t xml:space="preserve"> </w:t>
      </w:r>
      <w:r w:rsidRPr="003562E3">
        <w:rPr>
          <w:rFonts w:cs="Arial"/>
          <w:bCs/>
          <w:kern w:val="36"/>
          <w:lang w:eastAsia="en-AU"/>
        </w:rPr>
        <w:t>Education and Care Services National Regulations</w:t>
      </w:r>
      <w:r w:rsidR="000E39EA">
        <w:rPr>
          <w:rFonts w:cs="Arial"/>
          <w:bCs/>
          <w:kern w:val="36"/>
          <w:lang w:eastAsia="en-AU"/>
        </w:rPr>
        <w:t xml:space="preserve"> 2011</w:t>
      </w:r>
      <w:r w:rsidRPr="003562E3">
        <w:rPr>
          <w:rFonts w:cs="Arial"/>
          <w:bCs/>
          <w:kern w:val="36"/>
          <w:lang w:eastAsia="en-AU"/>
        </w:rPr>
        <w:t xml:space="preserve"> (</w:t>
      </w:r>
      <w:r w:rsidR="000E39EA">
        <w:rPr>
          <w:rFonts w:cs="Arial"/>
          <w:bCs/>
          <w:kern w:val="36"/>
          <w:lang w:eastAsia="en-AU"/>
        </w:rPr>
        <w:t>NSW</w:t>
      </w:r>
      <w:r w:rsidRPr="003562E3">
        <w:rPr>
          <w:rFonts w:cs="Arial"/>
          <w:bCs/>
          <w:kern w:val="36"/>
          <w:lang w:eastAsia="en-AU"/>
        </w:rPr>
        <w:t>)</w:t>
      </w:r>
      <w:r w:rsidRPr="00437291">
        <w:t xml:space="preserve"> are met.</w:t>
      </w:r>
    </w:p>
    <w:p w14:paraId="183F7CAD" w14:textId="77777777" w:rsidR="00437291" w:rsidRPr="00333183" w:rsidRDefault="00437291" w:rsidP="00437291">
      <w:pPr>
        <w:pStyle w:val="Heading1"/>
        <w:rPr>
          <w:lang w:eastAsia="en-AU"/>
        </w:rPr>
      </w:pPr>
      <w:bookmarkStart w:id="5" w:name="_Toc114214206"/>
      <w:bookmarkStart w:id="6" w:name="_Toc135379758"/>
      <w:r w:rsidRPr="00333183">
        <w:rPr>
          <w:lang w:eastAsia="en-AU"/>
        </w:rPr>
        <w:t>Scope</w:t>
      </w:r>
      <w:bookmarkEnd w:id="5"/>
      <w:bookmarkEnd w:id="6"/>
    </w:p>
    <w:p w14:paraId="569EAB80" w14:textId="1959C938" w:rsidR="00437291" w:rsidRDefault="00437291" w:rsidP="00437291">
      <w:pPr>
        <w:rPr>
          <w:lang w:eastAsia="en-AU"/>
        </w:rPr>
      </w:pPr>
      <w:r w:rsidRPr="00597DF8">
        <w:rPr>
          <w:lang w:eastAsia="en-AU"/>
        </w:rPr>
        <w:t xml:space="preserve">This policy applies to any </w:t>
      </w:r>
      <w:r w:rsidR="006457A4" w:rsidRPr="00597DF8">
        <w:rPr>
          <w:lang w:eastAsia="en-AU"/>
        </w:rPr>
        <w:t>water</w:t>
      </w:r>
      <w:r w:rsidR="006457A4">
        <w:rPr>
          <w:lang w:eastAsia="en-AU"/>
        </w:rPr>
        <w:t>-based</w:t>
      </w:r>
      <w:r w:rsidRPr="00597DF8">
        <w:rPr>
          <w:lang w:eastAsia="en-AU"/>
        </w:rPr>
        <w:t xml:space="preserve"> activity in all N</w:t>
      </w:r>
      <w:r>
        <w:rPr>
          <w:lang w:eastAsia="en-AU"/>
        </w:rPr>
        <w:t>orthern Territory (NT)</w:t>
      </w:r>
      <w:r w:rsidRPr="00597DF8">
        <w:rPr>
          <w:lang w:eastAsia="en-AU"/>
        </w:rPr>
        <w:t xml:space="preserve"> </w:t>
      </w:r>
      <w:r>
        <w:rPr>
          <w:lang w:eastAsia="en-AU"/>
        </w:rPr>
        <w:t>G</w:t>
      </w:r>
      <w:r w:rsidRPr="00597DF8">
        <w:rPr>
          <w:lang w:eastAsia="en-AU"/>
        </w:rPr>
        <w:t>overnment schools</w:t>
      </w:r>
      <w:r>
        <w:rPr>
          <w:lang w:eastAsia="en-AU"/>
        </w:rPr>
        <w:t>,</w:t>
      </w:r>
      <w:r w:rsidRPr="00597DF8">
        <w:rPr>
          <w:lang w:eastAsia="en-AU"/>
        </w:rPr>
        <w:t xml:space="preserve"> including preschools.</w:t>
      </w:r>
    </w:p>
    <w:p w14:paraId="43673FF0" w14:textId="77777777" w:rsidR="007710B5" w:rsidRDefault="007710B5" w:rsidP="007710B5">
      <w:pPr>
        <w:pStyle w:val="Heading1"/>
        <w:rPr>
          <w:lang w:eastAsia="en-AU"/>
        </w:rPr>
      </w:pPr>
      <w:bookmarkStart w:id="7" w:name="_Toc135379759"/>
      <w:r>
        <w:rPr>
          <w:lang w:eastAsia="en-AU"/>
        </w:rPr>
        <w:t>Reporting requirements</w:t>
      </w:r>
      <w:bookmarkEnd w:id="7"/>
    </w:p>
    <w:p w14:paraId="6B0CBBD1" w14:textId="04837ADC" w:rsidR="007710B5" w:rsidRDefault="007710B5" w:rsidP="007710B5">
      <w:pPr>
        <w:rPr>
          <w:lang w:eastAsia="en-AU"/>
        </w:rPr>
      </w:pPr>
      <w:r>
        <w:rPr>
          <w:lang w:eastAsia="en-AU"/>
        </w:rPr>
        <w:t xml:space="preserve">The </w:t>
      </w:r>
      <w:r w:rsidR="000E39EA">
        <w:rPr>
          <w:lang w:eastAsia="en-AU"/>
        </w:rPr>
        <w:t xml:space="preserve">national benchmark of swim and survive level 7 achievement in primary schools </w:t>
      </w:r>
      <w:r>
        <w:rPr>
          <w:lang w:eastAsia="en-AU"/>
        </w:rPr>
        <w:t xml:space="preserve">is reported to the NT Government as part of the </w:t>
      </w:r>
      <w:r w:rsidRPr="00C448AD">
        <w:rPr>
          <w:lang w:eastAsia="en-AU"/>
        </w:rPr>
        <w:t xml:space="preserve">NT Water </w:t>
      </w:r>
      <w:r w:rsidR="000E39EA" w:rsidRPr="00C448AD">
        <w:rPr>
          <w:lang w:eastAsia="en-AU"/>
        </w:rPr>
        <w:t>Safety Strategy</w:t>
      </w:r>
      <w:r w:rsidR="000E39EA">
        <w:rPr>
          <w:lang w:eastAsia="en-AU"/>
        </w:rPr>
        <w:t xml:space="preserve"> 2017-2021</w:t>
      </w:r>
      <w:r>
        <w:rPr>
          <w:lang w:eastAsia="en-AU"/>
        </w:rPr>
        <w:t>.</w:t>
      </w:r>
    </w:p>
    <w:p w14:paraId="628E34C3" w14:textId="1DBCD61F" w:rsidR="007710B5" w:rsidRDefault="007710B5" w:rsidP="007710B5">
      <w:r>
        <w:rPr>
          <w:lang w:eastAsia="en-AU"/>
        </w:rPr>
        <w:t xml:space="preserve">Records of student swimming ability are maintained in the Student Administration Management System at the conclusion of each swim program or activity and reported to Royal Life Saving NT (RLSNT). The </w:t>
      </w:r>
      <w:r w:rsidR="00BE606C">
        <w:rPr>
          <w:lang w:eastAsia="en-AU"/>
        </w:rPr>
        <w:t xml:space="preserve">Department of Education (the </w:t>
      </w:r>
      <w:r>
        <w:rPr>
          <w:lang w:eastAsia="en-AU"/>
        </w:rPr>
        <w:t>department</w:t>
      </w:r>
      <w:r w:rsidR="00BE606C">
        <w:rPr>
          <w:lang w:eastAsia="en-AU"/>
        </w:rPr>
        <w:t>)</w:t>
      </w:r>
      <w:r>
        <w:rPr>
          <w:lang w:eastAsia="en-AU"/>
        </w:rPr>
        <w:t xml:space="preserve"> and RLSNT have an agreement for schools to use the Swim and </w:t>
      </w:r>
      <w:r w:rsidR="000E39EA">
        <w:rPr>
          <w:lang w:eastAsia="en-AU"/>
        </w:rPr>
        <w:t xml:space="preserve">survive </w:t>
      </w:r>
      <w:r>
        <w:rPr>
          <w:lang w:eastAsia="en-AU"/>
        </w:rPr>
        <w:t>program and report the student data to RLSNT. This information is reported annually to the department to ensure student access to water safety is recorded and aquatic survival skills are achieved.</w:t>
      </w:r>
    </w:p>
    <w:p w14:paraId="00C2EC6B" w14:textId="430CEC3D" w:rsidR="00437291" w:rsidRDefault="00437291" w:rsidP="00437291">
      <w:pPr>
        <w:pStyle w:val="Heading1"/>
        <w:rPr>
          <w:lang w:eastAsia="en-AU"/>
        </w:rPr>
      </w:pPr>
      <w:bookmarkStart w:id="8" w:name="_Toc114214208"/>
      <w:bookmarkStart w:id="9" w:name="_Toc135379760"/>
      <w:r>
        <w:rPr>
          <w:lang w:eastAsia="en-AU"/>
        </w:rPr>
        <w:t>Roles and responsibilities</w:t>
      </w:r>
      <w:bookmarkEnd w:id="8"/>
      <w:bookmarkEnd w:id="9"/>
    </w:p>
    <w:p w14:paraId="50F46B15" w14:textId="52C99E96" w:rsidR="00437291" w:rsidRDefault="00437291" w:rsidP="00437291">
      <w:pPr>
        <w:rPr>
          <w:lang w:eastAsia="en-AU"/>
        </w:rPr>
      </w:pPr>
      <w:r w:rsidRPr="00DF0C38">
        <w:rPr>
          <w:lang w:eastAsia="en-AU"/>
        </w:rPr>
        <w:t xml:space="preserve">Refer </w:t>
      </w:r>
      <w:r w:rsidRPr="00C448AD">
        <w:rPr>
          <w:lang w:eastAsia="en-AU"/>
        </w:rPr>
        <w:t>to the School swimming, water safety programs and aquatic activities procedures.</w:t>
      </w:r>
    </w:p>
    <w:p w14:paraId="5FAAAE52" w14:textId="77777777" w:rsidR="007710B5" w:rsidRPr="00DF0C38" w:rsidRDefault="007710B5" w:rsidP="007710B5">
      <w:pPr>
        <w:pStyle w:val="Heading1"/>
      </w:pPr>
      <w:bookmarkStart w:id="10" w:name="_Toc114214207"/>
      <w:bookmarkStart w:id="11" w:name="_Toc135379761"/>
      <w:r w:rsidRPr="00DF0C38">
        <w:lastRenderedPageBreak/>
        <w:t>Definitions</w:t>
      </w:r>
      <w:bookmarkEnd w:id="10"/>
      <w:bookmarkEnd w:id="11"/>
    </w:p>
    <w:tbl>
      <w:tblPr>
        <w:tblStyle w:val="NTGtable"/>
        <w:tblW w:w="0" w:type="auto"/>
        <w:tblLook w:val="04A0" w:firstRow="1" w:lastRow="0" w:firstColumn="1" w:lastColumn="0" w:noHBand="0" w:noVBand="1"/>
      </w:tblPr>
      <w:tblGrid>
        <w:gridCol w:w="1838"/>
        <w:gridCol w:w="8470"/>
      </w:tblGrid>
      <w:tr w:rsidR="007710B5" w:rsidRPr="007710B5" w14:paraId="7001BC67" w14:textId="77777777" w:rsidTr="002D18D1">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838" w:type="dxa"/>
            <w:tcBorders>
              <w:top w:val="single" w:sz="4" w:space="0" w:color="1F1F5F" w:themeColor="text1"/>
              <w:bottom w:val="single" w:sz="4" w:space="0" w:color="auto"/>
            </w:tcBorders>
          </w:tcPr>
          <w:p w14:paraId="31EE7188" w14:textId="77777777" w:rsidR="007710B5" w:rsidRPr="007710B5" w:rsidRDefault="007710B5" w:rsidP="007710B5">
            <w:pPr>
              <w:pStyle w:val="ListParagraph"/>
              <w:spacing w:before="40" w:after="40"/>
            </w:pPr>
            <w:r w:rsidRPr="007710B5">
              <w:t>Term</w:t>
            </w:r>
          </w:p>
        </w:tc>
        <w:tc>
          <w:tcPr>
            <w:tcW w:w="8470" w:type="dxa"/>
            <w:tcBorders>
              <w:top w:val="single" w:sz="4" w:space="0" w:color="1F1F5F" w:themeColor="text1"/>
              <w:bottom w:val="single" w:sz="4" w:space="0" w:color="auto"/>
            </w:tcBorders>
          </w:tcPr>
          <w:p w14:paraId="23863DE8" w14:textId="77777777" w:rsidR="007710B5" w:rsidRPr="007710B5" w:rsidRDefault="007710B5" w:rsidP="007710B5">
            <w:pPr>
              <w:pStyle w:val="ListParagraph"/>
              <w:spacing w:before="40" w:after="40"/>
              <w:cnfStyle w:val="100000000000" w:firstRow="1" w:lastRow="0" w:firstColumn="0" w:lastColumn="0" w:oddVBand="0" w:evenVBand="0" w:oddHBand="0" w:evenHBand="0" w:firstRowFirstColumn="0" w:firstRowLastColumn="0" w:lastRowFirstColumn="0" w:lastRowLastColumn="0"/>
            </w:pPr>
            <w:r w:rsidRPr="007710B5">
              <w:t>Definition</w:t>
            </w:r>
          </w:p>
        </w:tc>
      </w:tr>
      <w:tr w:rsidR="007710B5" w14:paraId="24B56A15" w14:textId="77777777" w:rsidTr="002D18D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tcBorders>
          </w:tcPr>
          <w:p w14:paraId="0DA5B46E" w14:textId="77777777" w:rsidR="007710B5" w:rsidRDefault="007710B5" w:rsidP="007710B5">
            <w:pPr>
              <w:pStyle w:val="ListParagraph"/>
              <w:spacing w:after="40"/>
            </w:pPr>
            <w:r w:rsidRPr="00DF0C38">
              <w:t>Purpose built pool</w:t>
            </w:r>
          </w:p>
        </w:tc>
        <w:tc>
          <w:tcPr>
            <w:tcW w:w="8470" w:type="dxa"/>
            <w:tcBorders>
              <w:top w:val="single" w:sz="4" w:space="0" w:color="auto"/>
            </w:tcBorders>
          </w:tcPr>
          <w:p w14:paraId="2907A0ED" w14:textId="77777777" w:rsidR="007710B5" w:rsidRDefault="007710B5" w:rsidP="007710B5">
            <w:pPr>
              <w:pStyle w:val="ListParagraph"/>
              <w:spacing w:after="40"/>
              <w:cnfStyle w:val="000000100000" w:firstRow="0" w:lastRow="0" w:firstColumn="0" w:lastColumn="0" w:oddVBand="0" w:evenVBand="0" w:oddHBand="1" w:evenHBand="0" w:firstRowFirstColumn="0" w:firstRowLastColumn="0" w:lastRowFirstColumn="0" w:lastRowLastColumn="0"/>
            </w:pPr>
            <w:r>
              <w:t xml:space="preserve">All </w:t>
            </w:r>
            <w:r w:rsidRPr="00DF0C38">
              <w:t>pools in special education and preschool settings</w:t>
            </w:r>
            <w:r>
              <w:t xml:space="preserve"> that are used for water familiarisation and play.</w:t>
            </w:r>
          </w:p>
        </w:tc>
      </w:tr>
      <w:tr w:rsidR="007710B5" w14:paraId="7AED2B8D" w14:textId="77777777" w:rsidTr="007710B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Pr>
          <w:p w14:paraId="5EB37421" w14:textId="77777777" w:rsidR="007710B5" w:rsidRDefault="007710B5" w:rsidP="007710B5">
            <w:pPr>
              <w:pStyle w:val="ListParagraph"/>
              <w:spacing w:after="40"/>
            </w:pPr>
            <w:r>
              <w:t>Ratio</w:t>
            </w:r>
          </w:p>
        </w:tc>
        <w:tc>
          <w:tcPr>
            <w:tcW w:w="8470" w:type="dxa"/>
          </w:tcPr>
          <w:p w14:paraId="257B014A" w14:textId="77777777" w:rsidR="007710B5" w:rsidRDefault="007710B5" w:rsidP="007710B5">
            <w:pPr>
              <w:pStyle w:val="ListParagraph"/>
              <w:spacing w:after="40"/>
              <w:cnfStyle w:val="000000010000" w:firstRow="0" w:lastRow="0" w:firstColumn="0" w:lastColumn="0" w:oddVBand="0" w:evenVBand="0" w:oddHBand="0" w:evenHBand="1" w:firstRowFirstColumn="0" w:firstRowLastColumn="0" w:lastRowFirstColumn="0" w:lastRowLastColumn="0"/>
            </w:pPr>
            <w:r>
              <w:t>The required number of qualified teachers and supervisors in relation to the swimming ability and number of students participating in the designated activity or program.</w:t>
            </w:r>
          </w:p>
        </w:tc>
      </w:tr>
      <w:tr w:rsidR="007710B5" w14:paraId="7D1A2B91" w14:textId="77777777" w:rsidTr="007710B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Pr>
          <w:p w14:paraId="77ACBED9" w14:textId="77777777" w:rsidR="007710B5" w:rsidRDefault="007710B5" w:rsidP="007710B5">
            <w:pPr>
              <w:pStyle w:val="ListParagraph"/>
              <w:spacing w:after="40"/>
            </w:pPr>
            <w:r>
              <w:t>Recreational aquatic activities or unstructured activities</w:t>
            </w:r>
          </w:p>
        </w:tc>
        <w:tc>
          <w:tcPr>
            <w:tcW w:w="8470" w:type="dxa"/>
          </w:tcPr>
          <w:p w14:paraId="39228A23" w14:textId="77777777" w:rsidR="007710B5" w:rsidRDefault="007710B5" w:rsidP="007710B5">
            <w:pPr>
              <w:pStyle w:val="ListParagraph"/>
              <w:spacing w:after="40"/>
              <w:cnfStyle w:val="000000100000" w:firstRow="0" w:lastRow="0" w:firstColumn="0" w:lastColumn="0" w:oddVBand="0" w:evenVBand="0" w:oddHBand="1" w:evenHBand="0" w:firstRowFirstColumn="0" w:firstRowLastColumn="0" w:lastRowFirstColumn="0" w:lastRowLastColumn="0"/>
            </w:pPr>
            <w:r>
              <w:t>Participation in informal aquatic activities other than the school swimming and water safety program. Examples include celebration or reward days for individual classes or the whole school, free swim time as part of an excursion, free swim time incorporated in a school swimming carnival, free swim time or pool play at a school camp, or free swimming in a weekly swimming program and similar.</w:t>
            </w:r>
          </w:p>
        </w:tc>
      </w:tr>
      <w:tr w:rsidR="007710B5" w14:paraId="1CE067A4" w14:textId="77777777" w:rsidTr="007710B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Pr>
          <w:p w14:paraId="7006451F" w14:textId="77777777" w:rsidR="007710B5" w:rsidRDefault="007710B5" w:rsidP="007710B5">
            <w:pPr>
              <w:pStyle w:val="ListParagraph"/>
              <w:spacing w:after="40"/>
            </w:pPr>
            <w:r>
              <w:t>School swimming and water safety program</w:t>
            </w:r>
          </w:p>
        </w:tc>
        <w:tc>
          <w:tcPr>
            <w:tcW w:w="8470" w:type="dxa"/>
          </w:tcPr>
          <w:p w14:paraId="3B96A262" w14:textId="77777777" w:rsidR="007710B5" w:rsidRDefault="007710B5" w:rsidP="007710B5">
            <w:pPr>
              <w:pStyle w:val="ListParagraph"/>
              <w:spacing w:after="40"/>
              <w:cnfStyle w:val="000000010000" w:firstRow="0" w:lastRow="0" w:firstColumn="0" w:lastColumn="0" w:oddVBand="0" w:evenVBand="0" w:oddHBand="0" w:evenHBand="1" w:firstRowFirstColumn="0" w:firstRowLastColumn="0" w:lastRowFirstColumn="0" w:lastRowLastColumn="0"/>
            </w:pPr>
            <w:r>
              <w:t>Formal learn to swim and aquatic survival education within structured school swimming and water safety programs based on skill development and assessment of student ability.</w:t>
            </w:r>
          </w:p>
        </w:tc>
      </w:tr>
      <w:tr w:rsidR="007710B5" w14:paraId="2F14002A" w14:textId="77777777" w:rsidTr="007710B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tcPr>
          <w:p w14:paraId="67F4B07A" w14:textId="77777777" w:rsidR="007710B5" w:rsidRDefault="007710B5" w:rsidP="007710B5">
            <w:pPr>
              <w:pStyle w:val="ListParagraph"/>
              <w:spacing w:after="40"/>
            </w:pPr>
            <w:r>
              <w:t>School swimming carnival</w:t>
            </w:r>
          </w:p>
        </w:tc>
        <w:tc>
          <w:tcPr>
            <w:tcW w:w="8470" w:type="dxa"/>
          </w:tcPr>
          <w:p w14:paraId="3123377A" w14:textId="77777777" w:rsidR="007710B5" w:rsidRDefault="007710B5" w:rsidP="007710B5">
            <w:pPr>
              <w:pStyle w:val="ListParagraph"/>
              <w:spacing w:after="40"/>
              <w:cnfStyle w:val="000000100000" w:firstRow="0" w:lastRow="0" w:firstColumn="0" w:lastColumn="0" w:oddVBand="0" w:evenVBand="0" w:oddHBand="1" w:evenHBand="0" w:firstRowFirstColumn="0" w:firstRowLastColumn="0" w:lastRowFirstColumn="0" w:lastRowLastColumn="0"/>
            </w:pPr>
            <w:r>
              <w:t>Amateur swimming competitions consisting of structured swimming events.</w:t>
            </w:r>
          </w:p>
        </w:tc>
      </w:tr>
    </w:tbl>
    <w:p w14:paraId="4BBCF6E5" w14:textId="61CFC157" w:rsidR="00437291" w:rsidRDefault="00437291" w:rsidP="00437291">
      <w:pPr>
        <w:pStyle w:val="Heading1"/>
        <w:rPr>
          <w:lang w:eastAsia="en-AU"/>
        </w:rPr>
      </w:pPr>
      <w:bookmarkStart w:id="12" w:name="_Toc114214209"/>
      <w:bookmarkStart w:id="13" w:name="_Toc135379762"/>
      <w:r>
        <w:rPr>
          <w:lang w:eastAsia="en-AU"/>
        </w:rPr>
        <w:t xml:space="preserve">Related legislation, policy and </w:t>
      </w:r>
      <w:r w:rsidR="00A6181C">
        <w:rPr>
          <w:lang w:eastAsia="en-AU"/>
        </w:rPr>
        <w:t xml:space="preserve">procedures, resources and </w:t>
      </w:r>
      <w:r>
        <w:rPr>
          <w:lang w:eastAsia="en-AU"/>
        </w:rPr>
        <w:t>documents</w:t>
      </w:r>
      <w:bookmarkEnd w:id="12"/>
      <w:bookmarkEnd w:id="13"/>
    </w:p>
    <w:p w14:paraId="2B589492" w14:textId="77777777" w:rsidR="00437291" w:rsidRDefault="00437291" w:rsidP="00437291">
      <w:pPr>
        <w:pStyle w:val="Heading2"/>
      </w:pPr>
      <w:bookmarkStart w:id="14" w:name="_Toc106968502"/>
      <w:bookmarkStart w:id="15" w:name="_Toc106968556"/>
      <w:bookmarkStart w:id="16" w:name="_Toc106968638"/>
      <w:bookmarkStart w:id="17" w:name="_Toc106968684"/>
      <w:bookmarkStart w:id="18" w:name="_Toc106968701"/>
      <w:bookmarkStart w:id="19" w:name="_Toc107917438"/>
      <w:bookmarkStart w:id="20" w:name="_Toc108601818"/>
      <w:bookmarkStart w:id="21" w:name="_Toc108688047"/>
      <w:bookmarkStart w:id="22" w:name="_Toc114214210"/>
      <w:bookmarkStart w:id="23" w:name="_Toc135379763"/>
      <w:bookmarkEnd w:id="14"/>
      <w:bookmarkEnd w:id="15"/>
      <w:bookmarkEnd w:id="16"/>
      <w:bookmarkEnd w:id="17"/>
      <w:bookmarkEnd w:id="18"/>
      <w:bookmarkEnd w:id="19"/>
      <w:bookmarkEnd w:id="20"/>
      <w:bookmarkEnd w:id="21"/>
      <w:r>
        <w:t>Legislation</w:t>
      </w:r>
      <w:bookmarkEnd w:id="22"/>
      <w:bookmarkEnd w:id="23"/>
    </w:p>
    <w:p w14:paraId="7877E956" w14:textId="7B342028" w:rsidR="00A6181C" w:rsidRPr="007B05C1" w:rsidRDefault="00A6181C" w:rsidP="002D18D1">
      <w:pPr>
        <w:pStyle w:val="ListParagraph"/>
        <w:numPr>
          <w:ilvl w:val="0"/>
          <w:numId w:val="42"/>
        </w:numPr>
        <w:spacing w:after="60"/>
        <w:ind w:left="284" w:hanging="284"/>
        <w:rPr>
          <w:rFonts w:cs="Arial"/>
          <w:bCs/>
          <w:iCs w:val="0"/>
          <w:lang w:val="en-US"/>
        </w:rPr>
      </w:pPr>
      <w:r w:rsidRPr="002D18D1">
        <w:rPr>
          <w:rFonts w:cs="Arial"/>
          <w:bCs/>
          <w:i/>
          <w:lang w:val="en-US"/>
        </w:rPr>
        <w:t>Education and Care Services (National Uniform Legislation) Act 2011</w:t>
      </w:r>
      <w:r w:rsidR="007B05C1">
        <w:rPr>
          <w:rFonts w:cs="Arial"/>
          <w:bCs/>
          <w:i/>
          <w:lang w:val="en-US"/>
        </w:rPr>
        <w:t xml:space="preserve"> </w:t>
      </w:r>
      <w:r w:rsidR="007B05C1" w:rsidRPr="002D18D1">
        <w:rPr>
          <w:rFonts w:cs="Arial"/>
          <w:bCs/>
          <w:iCs w:val="0"/>
          <w:lang w:val="en-US"/>
        </w:rPr>
        <w:t xml:space="preserve">- </w:t>
      </w:r>
      <w:hyperlink r:id="rId14" w:history="1">
        <w:r w:rsidR="007B05C1" w:rsidRPr="009B305F">
          <w:rPr>
            <w:rStyle w:val="Hyperlink"/>
            <w:rFonts w:cs="Arial"/>
            <w:bCs/>
            <w:iCs w:val="0"/>
            <w:lang w:val="en-US"/>
          </w:rPr>
          <w:t>https://legislation.nt.gov.au/en/Legislation/EDUCATION-AND-CARE-SERVICES-NATIONAL-UNIFORM-LEGISLATION-ACT-2011</w:t>
        </w:r>
      </w:hyperlink>
    </w:p>
    <w:p w14:paraId="378A87C9" w14:textId="58567ACE" w:rsidR="00A6181C" w:rsidRPr="00A6181C" w:rsidRDefault="00437291" w:rsidP="002D18D1">
      <w:pPr>
        <w:ind w:left="284"/>
        <w:rPr>
          <w:rStyle w:val="Hyperlink"/>
          <w:rFonts w:cs="Arial"/>
          <w:bCs/>
          <w:color w:val="auto"/>
          <w:u w:val="none"/>
          <w:lang w:val="en-US"/>
        </w:rPr>
      </w:pPr>
      <w:r w:rsidRPr="00A6181C">
        <w:rPr>
          <w:rStyle w:val="Hyperlink"/>
          <w:rFonts w:cs="Arial"/>
          <w:bCs/>
          <w:color w:val="auto"/>
          <w:u w:val="none"/>
          <w:lang w:val="en-US"/>
        </w:rPr>
        <w:t xml:space="preserve">is the legislation that adopts the </w:t>
      </w:r>
      <w:r w:rsidR="007B05C1" w:rsidRPr="00A6181C">
        <w:rPr>
          <w:rStyle w:val="Hyperlink"/>
          <w:rFonts w:cs="Arial"/>
          <w:bCs/>
          <w:color w:val="auto"/>
          <w:u w:val="none"/>
          <w:lang w:val="en-US"/>
        </w:rPr>
        <w:t xml:space="preserve">national law in </w:t>
      </w:r>
      <w:r w:rsidRPr="00A6181C">
        <w:rPr>
          <w:rStyle w:val="Hyperlink"/>
          <w:rFonts w:cs="Arial"/>
          <w:bCs/>
          <w:color w:val="auto"/>
          <w:u w:val="none"/>
          <w:lang w:val="en-US"/>
        </w:rPr>
        <w:t>the NT.</w:t>
      </w:r>
    </w:p>
    <w:p w14:paraId="6AAA8E8E" w14:textId="3856F940" w:rsidR="007B05C1" w:rsidRDefault="00A6181C" w:rsidP="002D18D1">
      <w:pPr>
        <w:pStyle w:val="ListParagraph"/>
        <w:numPr>
          <w:ilvl w:val="0"/>
          <w:numId w:val="42"/>
        </w:numPr>
        <w:spacing w:after="60"/>
        <w:ind w:left="284" w:hanging="284"/>
        <w:rPr>
          <w:rStyle w:val="Hyperlink"/>
          <w:rFonts w:cs="Arial"/>
          <w:bCs/>
          <w:color w:val="auto"/>
          <w:u w:val="none"/>
          <w:lang w:val="en-US"/>
        </w:rPr>
      </w:pPr>
      <w:r w:rsidRPr="002D18D1">
        <w:rPr>
          <w:rStyle w:val="Hyperlink"/>
          <w:rFonts w:cs="Arial"/>
          <w:bCs/>
          <w:i/>
          <w:iCs w:val="0"/>
          <w:color w:val="auto"/>
          <w:u w:val="none"/>
          <w:lang w:val="en-US"/>
        </w:rPr>
        <w:t>Education and Care Services National Law Act 2010</w:t>
      </w:r>
      <w:r w:rsidRPr="00A6181C">
        <w:rPr>
          <w:rStyle w:val="Hyperlink"/>
          <w:rFonts w:cs="Arial"/>
          <w:bCs/>
          <w:color w:val="auto"/>
          <w:u w:val="none"/>
          <w:lang w:val="en-US"/>
        </w:rPr>
        <w:t xml:space="preserve"> (Vic)</w:t>
      </w:r>
      <w:r w:rsidR="007B05C1">
        <w:rPr>
          <w:rStyle w:val="Hyperlink"/>
          <w:rFonts w:cs="Arial"/>
          <w:bCs/>
          <w:color w:val="auto"/>
          <w:u w:val="none"/>
          <w:lang w:val="en-US"/>
        </w:rPr>
        <w:t xml:space="preserve"> -</w:t>
      </w:r>
      <w:r w:rsidR="007B05C1" w:rsidRPr="007B05C1">
        <w:t xml:space="preserve"> </w:t>
      </w:r>
      <w:hyperlink r:id="rId15" w:history="1">
        <w:r w:rsidR="007B05C1" w:rsidRPr="009B305F">
          <w:rPr>
            <w:rStyle w:val="Hyperlink"/>
            <w:rFonts w:cs="Arial"/>
            <w:bCs/>
            <w:lang w:val="en-US"/>
          </w:rPr>
          <w:t>https://www.legislation.vic.gov.au/in-force/acts/education-and-care-services-national-law-act-2010/012</w:t>
        </w:r>
      </w:hyperlink>
    </w:p>
    <w:p w14:paraId="004875AB" w14:textId="3D6AB613" w:rsidR="00437291" w:rsidRPr="007B05C1" w:rsidRDefault="00BE606C" w:rsidP="002D18D1">
      <w:pPr>
        <w:ind w:left="284"/>
        <w:rPr>
          <w:rStyle w:val="Hyperlink"/>
          <w:rFonts w:cs="Arial"/>
          <w:bCs/>
          <w:color w:val="auto"/>
          <w:u w:val="none"/>
          <w:lang w:val="en-US"/>
        </w:rPr>
      </w:pPr>
      <w:r>
        <w:rPr>
          <w:rFonts w:cs="Arial"/>
          <w:bCs/>
          <w:lang w:val="en-US"/>
        </w:rPr>
        <w:t xml:space="preserve">is </w:t>
      </w:r>
      <w:r w:rsidR="007B05C1" w:rsidRPr="007B05C1">
        <w:rPr>
          <w:rFonts w:cs="Arial"/>
          <w:bCs/>
          <w:lang w:val="en-US"/>
        </w:rPr>
        <w:t xml:space="preserve">the </w:t>
      </w:r>
      <w:r w:rsidR="007B05C1" w:rsidRPr="002D18D1">
        <w:rPr>
          <w:rFonts w:cs="Arial"/>
          <w:bCs/>
          <w:lang w:val="en-US"/>
        </w:rPr>
        <w:t>Schedule t</w:t>
      </w:r>
      <w:r>
        <w:rPr>
          <w:rFonts w:cs="Arial"/>
          <w:bCs/>
          <w:lang w:val="en-US"/>
        </w:rPr>
        <w:t>hat</w:t>
      </w:r>
      <w:r w:rsidR="007B05C1" w:rsidRPr="002D18D1">
        <w:rPr>
          <w:rFonts w:cs="Arial"/>
          <w:bCs/>
          <w:lang w:val="en-US"/>
        </w:rPr>
        <w:t xml:space="preserve"> </w:t>
      </w:r>
      <w:r w:rsidR="00437291" w:rsidRPr="007B05C1">
        <w:rPr>
          <w:rStyle w:val="Hyperlink"/>
          <w:rFonts w:cs="Arial"/>
          <w:bCs/>
          <w:color w:val="auto"/>
          <w:u w:val="none"/>
          <w:lang w:val="en-US"/>
        </w:rPr>
        <w:t xml:space="preserve">sets out the </w:t>
      </w:r>
      <w:r w:rsidR="007B05C1" w:rsidRPr="007B05C1">
        <w:rPr>
          <w:rStyle w:val="Hyperlink"/>
          <w:rFonts w:cs="Arial"/>
          <w:bCs/>
          <w:color w:val="auto"/>
          <w:u w:val="none"/>
          <w:lang w:val="en-US"/>
        </w:rPr>
        <w:t>national law</w:t>
      </w:r>
      <w:r w:rsidR="00437291" w:rsidRPr="007B05C1">
        <w:rPr>
          <w:rStyle w:val="Hyperlink"/>
          <w:rFonts w:cs="Arial"/>
          <w:bCs/>
          <w:color w:val="auto"/>
          <w:u w:val="none"/>
          <w:lang w:val="en-US"/>
        </w:rPr>
        <w:t>.</w:t>
      </w:r>
    </w:p>
    <w:p w14:paraId="76D6BF50" w14:textId="002C40E6" w:rsidR="00437291" w:rsidRDefault="007B05C1" w:rsidP="00946699">
      <w:pPr>
        <w:pStyle w:val="ListParagraph"/>
        <w:numPr>
          <w:ilvl w:val="0"/>
          <w:numId w:val="42"/>
        </w:numPr>
        <w:spacing w:after="200"/>
        <w:ind w:left="284" w:hanging="284"/>
        <w:rPr>
          <w:lang w:eastAsia="en-AU"/>
        </w:rPr>
      </w:pPr>
      <w:r w:rsidRPr="002D18D1">
        <w:rPr>
          <w:lang w:eastAsia="en-AU"/>
        </w:rPr>
        <w:t>Education and Care Services National Regulations</w:t>
      </w:r>
      <w:r>
        <w:rPr>
          <w:lang w:eastAsia="en-AU"/>
        </w:rPr>
        <w:t xml:space="preserve"> 2011 (NSW) - </w:t>
      </w:r>
      <w:hyperlink r:id="rId16" w:history="1">
        <w:r w:rsidRPr="009B305F">
          <w:rPr>
            <w:rStyle w:val="Hyperlink"/>
            <w:lang w:eastAsia="en-AU"/>
          </w:rPr>
          <w:t>https://legislation.nsw.gov.au/view/html/inforce/current/sl-2011-0653</w:t>
        </w:r>
      </w:hyperlink>
    </w:p>
    <w:p w14:paraId="277667FC" w14:textId="0A9397F2" w:rsidR="00437291" w:rsidRPr="007B05C1" w:rsidRDefault="007B05C1" w:rsidP="00946699">
      <w:pPr>
        <w:pStyle w:val="ListParagraph"/>
        <w:numPr>
          <w:ilvl w:val="0"/>
          <w:numId w:val="42"/>
        </w:numPr>
        <w:spacing w:after="200"/>
        <w:ind w:left="284" w:hanging="284"/>
        <w:rPr>
          <w:iCs w:val="0"/>
          <w:lang w:eastAsia="en-AU"/>
        </w:rPr>
      </w:pPr>
      <w:r w:rsidRPr="002D18D1">
        <w:rPr>
          <w:i/>
          <w:lang w:val="en-US"/>
        </w:rPr>
        <w:t>Swimming Pool Safety Act 2004</w:t>
      </w:r>
      <w:r w:rsidRPr="002D18D1">
        <w:rPr>
          <w:rStyle w:val="Hyperlink"/>
          <w:iCs w:val="0"/>
          <w:color w:val="auto"/>
          <w:u w:val="none"/>
          <w:lang w:val="en-US"/>
        </w:rPr>
        <w:t xml:space="preserve"> - </w:t>
      </w:r>
      <w:hyperlink r:id="rId17" w:history="1">
        <w:r w:rsidRPr="009B305F">
          <w:rPr>
            <w:rStyle w:val="Hyperlink"/>
            <w:iCs w:val="0"/>
            <w:lang w:val="en-US"/>
          </w:rPr>
          <w:t>https://legislation.nt.gov.au/Legislation/SWIMMING-POOL-SAFETY-ACT-2004</w:t>
        </w:r>
      </w:hyperlink>
    </w:p>
    <w:p w14:paraId="04800372" w14:textId="58DC9D61" w:rsidR="00437291" w:rsidRDefault="003562E3" w:rsidP="00437291">
      <w:pPr>
        <w:pStyle w:val="Heading2"/>
      </w:pPr>
      <w:bookmarkStart w:id="24" w:name="_Toc135379764"/>
      <w:r>
        <w:t>Polic</w:t>
      </w:r>
      <w:r w:rsidR="002D4BBC">
        <w:t>ies</w:t>
      </w:r>
      <w:r>
        <w:t xml:space="preserve"> and </w:t>
      </w:r>
      <w:r w:rsidR="000E39EA">
        <w:t>procedures</w:t>
      </w:r>
      <w:bookmarkEnd w:id="24"/>
    </w:p>
    <w:p w14:paraId="1715B32B" w14:textId="22790A73" w:rsidR="00C448AD" w:rsidRDefault="00C448AD" w:rsidP="00946699">
      <w:pPr>
        <w:pStyle w:val="ListParagraph"/>
        <w:numPr>
          <w:ilvl w:val="0"/>
          <w:numId w:val="44"/>
        </w:numPr>
        <w:spacing w:after="200"/>
        <w:ind w:left="284" w:hanging="284"/>
        <w:rPr>
          <w:lang w:eastAsia="en-AU"/>
        </w:rPr>
      </w:pPr>
      <w:bookmarkStart w:id="25" w:name="_Toc106968504"/>
      <w:bookmarkStart w:id="26" w:name="_Toc106968558"/>
      <w:bookmarkStart w:id="27" w:name="_Toc106968640"/>
      <w:bookmarkStart w:id="28" w:name="_Toc106968506"/>
      <w:bookmarkStart w:id="29" w:name="_Toc106968560"/>
      <w:bookmarkStart w:id="30" w:name="_Toc106968642"/>
      <w:bookmarkStart w:id="31" w:name="_Toc106968507"/>
      <w:bookmarkStart w:id="32" w:name="_Toc106968561"/>
      <w:bookmarkStart w:id="33" w:name="_Toc106968643"/>
      <w:bookmarkStart w:id="34" w:name="_Toc106968508"/>
      <w:bookmarkStart w:id="35" w:name="_Toc106968562"/>
      <w:bookmarkStart w:id="36" w:name="_Toc106968644"/>
      <w:bookmarkStart w:id="37" w:name="_Toc106968509"/>
      <w:bookmarkStart w:id="38" w:name="_Toc106968563"/>
      <w:bookmarkStart w:id="39" w:name="_Toc106968645"/>
      <w:bookmarkStart w:id="40" w:name="_Toc106968510"/>
      <w:bookmarkStart w:id="41" w:name="_Toc106968564"/>
      <w:bookmarkStart w:id="42" w:name="_Toc106968646"/>
      <w:bookmarkStart w:id="43" w:name="_Toc106968511"/>
      <w:bookmarkStart w:id="44" w:name="_Toc106968565"/>
      <w:bookmarkStart w:id="45" w:name="_Toc10696864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562E3">
        <w:rPr>
          <w:noProof/>
          <w:lang w:eastAsia="en-AU"/>
        </w:rPr>
        <w:t xml:space="preserve">School swimming, water safety programs and aquatic activities </w:t>
      </w:r>
      <w:r w:rsidR="000E39EA" w:rsidRPr="003562E3">
        <w:rPr>
          <w:noProof/>
          <w:lang w:eastAsia="en-AU"/>
        </w:rPr>
        <w:t>procedures</w:t>
      </w:r>
      <w:r w:rsidR="000E39EA">
        <w:rPr>
          <w:noProof/>
          <w:lang w:eastAsia="en-AU"/>
        </w:rPr>
        <w:t xml:space="preserve"> </w:t>
      </w:r>
      <w:r w:rsidR="00CC497C">
        <w:rPr>
          <w:noProof/>
          <w:lang w:eastAsia="en-AU"/>
        </w:rPr>
        <w:t>-</w:t>
      </w:r>
      <w:r w:rsidR="000E39EA">
        <w:rPr>
          <w:noProof/>
          <w:lang w:eastAsia="en-AU"/>
        </w:rPr>
        <w:t xml:space="preserve"> </w:t>
      </w:r>
      <w:hyperlink r:id="rId18" w:history="1">
        <w:r w:rsidR="00CC497C" w:rsidRPr="009B305F">
          <w:rPr>
            <w:rStyle w:val="Hyperlink"/>
            <w:noProof/>
            <w:lang w:eastAsia="en-AU"/>
          </w:rPr>
          <w:t>https://education.nt.gov.au/policies/health-safety/swimming-and-water-safety</w:t>
        </w:r>
      </w:hyperlink>
    </w:p>
    <w:p w14:paraId="12A32FFB" w14:textId="78282654" w:rsidR="003562E3" w:rsidRDefault="00437291" w:rsidP="00946699">
      <w:pPr>
        <w:pStyle w:val="ListParagraph"/>
        <w:numPr>
          <w:ilvl w:val="0"/>
          <w:numId w:val="44"/>
        </w:numPr>
        <w:spacing w:after="200"/>
        <w:ind w:left="284" w:hanging="284"/>
        <w:rPr>
          <w:lang w:eastAsia="en-AU"/>
        </w:rPr>
      </w:pPr>
      <w:r w:rsidRPr="003562E3">
        <w:rPr>
          <w:lang w:eastAsia="en-AU"/>
        </w:rPr>
        <w:t>Excursions policy</w:t>
      </w:r>
      <w:r w:rsidR="003562E3">
        <w:rPr>
          <w:lang w:eastAsia="en-AU"/>
        </w:rPr>
        <w:t xml:space="preserve"> </w:t>
      </w:r>
      <w:r w:rsidR="000E39EA">
        <w:rPr>
          <w:lang w:eastAsia="en-AU"/>
        </w:rPr>
        <w:t xml:space="preserve">- </w:t>
      </w:r>
      <w:hyperlink r:id="rId19" w:anchor="excursions" w:history="1">
        <w:r w:rsidR="000E39EA" w:rsidRPr="009B305F">
          <w:rPr>
            <w:rStyle w:val="Hyperlink"/>
            <w:lang w:eastAsia="en-AU"/>
          </w:rPr>
          <w:t>https://education.nt.gov.au/policies/school-operations#excursions</w:t>
        </w:r>
      </w:hyperlink>
    </w:p>
    <w:p w14:paraId="27271027" w14:textId="3C9FBBEB" w:rsidR="00437291" w:rsidRDefault="00437291" w:rsidP="00946699">
      <w:pPr>
        <w:pStyle w:val="ListParagraph"/>
        <w:numPr>
          <w:ilvl w:val="0"/>
          <w:numId w:val="44"/>
        </w:numPr>
        <w:spacing w:after="200"/>
        <w:ind w:left="284" w:hanging="284"/>
        <w:rPr>
          <w:noProof/>
          <w:lang w:eastAsia="en-AU"/>
        </w:rPr>
      </w:pPr>
      <w:r w:rsidRPr="003562E3">
        <w:rPr>
          <w:lang w:eastAsia="en-AU"/>
        </w:rPr>
        <w:t>Managing water hazards in preschool policy and procedures</w:t>
      </w:r>
      <w:r w:rsidR="003562E3">
        <w:rPr>
          <w:lang w:eastAsia="en-AU"/>
        </w:rPr>
        <w:t xml:space="preserve"> </w:t>
      </w:r>
      <w:r w:rsidR="00CC497C">
        <w:rPr>
          <w:lang w:eastAsia="en-AU"/>
        </w:rPr>
        <w:t xml:space="preserve">- </w:t>
      </w:r>
      <w:hyperlink r:id="rId20" w:history="1">
        <w:r w:rsidR="00CC497C" w:rsidRPr="009B305F">
          <w:rPr>
            <w:rStyle w:val="Hyperlink"/>
            <w:lang w:eastAsia="en-AU"/>
          </w:rPr>
          <w:t>https://education.nt.gov.au/policies/early-childhood-education-and-care/preschool-specific-policy</w:t>
        </w:r>
      </w:hyperlink>
    </w:p>
    <w:p w14:paraId="20A3762C" w14:textId="26736CDB" w:rsidR="00437291" w:rsidRPr="00C448AD" w:rsidRDefault="00437291" w:rsidP="00946699">
      <w:pPr>
        <w:pStyle w:val="ListParagraph"/>
        <w:numPr>
          <w:ilvl w:val="0"/>
          <w:numId w:val="44"/>
        </w:numPr>
        <w:spacing w:after="200"/>
        <w:ind w:left="284" w:hanging="284"/>
        <w:rPr>
          <w:lang w:eastAsia="en-AU"/>
        </w:rPr>
      </w:pPr>
      <w:r w:rsidRPr="00C448AD">
        <w:lastRenderedPageBreak/>
        <w:t>Sun safety in schools policy</w:t>
      </w:r>
      <w:r w:rsidR="00C448AD" w:rsidRPr="00C448AD">
        <w:t xml:space="preserve"> </w:t>
      </w:r>
      <w:r w:rsidR="000E39EA">
        <w:t>-</w:t>
      </w:r>
      <w:r w:rsidR="00C448AD">
        <w:t xml:space="preserve"> </w:t>
      </w:r>
      <w:hyperlink r:id="rId21" w:history="1">
        <w:r w:rsidR="00C448AD" w:rsidRPr="00170964">
          <w:rPr>
            <w:rStyle w:val="Hyperlink"/>
          </w:rPr>
          <w:t>https://education.nt.gov.au/policies/health-safety/sun-safety</w:t>
        </w:r>
      </w:hyperlink>
    </w:p>
    <w:p w14:paraId="1DA3B76C" w14:textId="1165DEDC" w:rsidR="00A6181C" w:rsidRDefault="00A6181C" w:rsidP="00437291">
      <w:pPr>
        <w:pStyle w:val="Heading2"/>
      </w:pPr>
      <w:bookmarkStart w:id="46" w:name="_Toc106968515"/>
      <w:bookmarkStart w:id="47" w:name="_Toc106968569"/>
      <w:bookmarkStart w:id="48" w:name="_Toc106968651"/>
      <w:bookmarkStart w:id="49" w:name="_Toc106968687"/>
      <w:bookmarkStart w:id="50" w:name="_Toc106968704"/>
      <w:bookmarkStart w:id="51" w:name="_Toc107917441"/>
      <w:bookmarkStart w:id="52" w:name="_Toc108601821"/>
      <w:bookmarkStart w:id="53" w:name="_Toc108688050"/>
      <w:bookmarkStart w:id="54" w:name="_Toc106968516"/>
      <w:bookmarkStart w:id="55" w:name="_Toc106968570"/>
      <w:bookmarkStart w:id="56" w:name="_Toc106968652"/>
      <w:bookmarkStart w:id="57" w:name="_Toc106968688"/>
      <w:bookmarkStart w:id="58" w:name="_Toc106968705"/>
      <w:bookmarkStart w:id="59" w:name="_Toc107917442"/>
      <w:bookmarkStart w:id="60" w:name="_Toc108601822"/>
      <w:bookmarkStart w:id="61" w:name="_Toc108688051"/>
      <w:bookmarkStart w:id="62" w:name="_Toc135379765"/>
      <w:bookmarkStart w:id="63" w:name="_Toc11421421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Resources</w:t>
      </w:r>
      <w:bookmarkEnd w:id="62"/>
    </w:p>
    <w:p w14:paraId="4E24C8FF" w14:textId="2B368BDE" w:rsidR="00A6181C" w:rsidRDefault="00A6181C" w:rsidP="002D18D1">
      <w:pPr>
        <w:pStyle w:val="ListParagraph"/>
        <w:numPr>
          <w:ilvl w:val="0"/>
          <w:numId w:val="46"/>
        </w:numPr>
        <w:spacing w:after="200"/>
        <w:ind w:left="284" w:hanging="284"/>
      </w:pPr>
      <w:r w:rsidRPr="003562E3">
        <w:rPr>
          <w:lang w:eastAsia="en-AU"/>
        </w:rPr>
        <w:t>Australian Water Safety Council</w:t>
      </w:r>
      <w:r>
        <w:rPr>
          <w:lang w:eastAsia="en-AU"/>
        </w:rPr>
        <w:t xml:space="preserve"> - </w:t>
      </w:r>
      <w:hyperlink r:id="rId22" w:history="1">
        <w:r w:rsidRPr="009B305F">
          <w:rPr>
            <w:rStyle w:val="Hyperlink"/>
            <w:lang w:eastAsia="en-AU"/>
          </w:rPr>
          <w:t>https://www.watersafety.com.au/</w:t>
        </w:r>
      </w:hyperlink>
    </w:p>
    <w:p w14:paraId="39F92CD5" w14:textId="70642D25" w:rsidR="00437291" w:rsidRDefault="00437291" w:rsidP="00437291">
      <w:pPr>
        <w:pStyle w:val="Heading2"/>
      </w:pPr>
      <w:bookmarkStart w:id="64" w:name="_Toc135379766"/>
      <w:r>
        <w:t>Documents</w:t>
      </w:r>
      <w:bookmarkEnd w:id="63"/>
      <w:bookmarkEnd w:id="64"/>
    </w:p>
    <w:p w14:paraId="2739BFB9" w14:textId="243C3B32" w:rsidR="00437291" w:rsidRPr="003B6111" w:rsidRDefault="00437291" w:rsidP="00946699">
      <w:pPr>
        <w:pStyle w:val="ListParagraph"/>
        <w:numPr>
          <w:ilvl w:val="0"/>
          <w:numId w:val="43"/>
        </w:numPr>
        <w:spacing w:after="200"/>
        <w:ind w:left="284" w:hanging="284"/>
        <w:rPr>
          <w:lang w:eastAsia="en-AU"/>
        </w:rPr>
      </w:pPr>
      <w:r w:rsidRPr="00C448AD">
        <w:rPr>
          <w:lang w:eastAsia="en-AU"/>
        </w:rPr>
        <w:t xml:space="preserve">Australian </w:t>
      </w:r>
      <w:r w:rsidR="000E39EA" w:rsidRPr="00C448AD">
        <w:rPr>
          <w:lang w:eastAsia="en-AU"/>
        </w:rPr>
        <w:t>water safety strategy 2030</w:t>
      </w:r>
      <w:r w:rsidR="000E39EA">
        <w:rPr>
          <w:lang w:eastAsia="en-AU"/>
        </w:rPr>
        <w:t xml:space="preserve"> - </w:t>
      </w:r>
      <w:hyperlink r:id="rId23" w:history="1">
        <w:r w:rsidR="00C448AD" w:rsidRPr="00170964">
          <w:rPr>
            <w:rStyle w:val="Hyperlink"/>
            <w:lang w:eastAsia="en-AU"/>
          </w:rPr>
          <w:t>https://www.watersafety.com.au/australian-water-safety-strategy</w:t>
        </w:r>
      </w:hyperlink>
    </w:p>
    <w:p w14:paraId="3E864241" w14:textId="35B7C0A3" w:rsidR="00C448AD" w:rsidRPr="002D18D1" w:rsidRDefault="00437291" w:rsidP="00946699">
      <w:pPr>
        <w:pStyle w:val="ListParagraph"/>
        <w:numPr>
          <w:ilvl w:val="0"/>
          <w:numId w:val="43"/>
        </w:numPr>
        <w:spacing w:after="200"/>
        <w:ind w:left="284" w:hanging="284"/>
        <w:rPr>
          <w:rStyle w:val="Hyperlink"/>
          <w:color w:val="auto"/>
          <w:u w:val="none"/>
          <w:lang w:eastAsia="en-AU"/>
        </w:rPr>
      </w:pPr>
      <w:r w:rsidRPr="00C448AD">
        <w:rPr>
          <w:lang w:eastAsia="en-AU"/>
        </w:rPr>
        <w:t xml:space="preserve">AUSTSWIM Swimming and </w:t>
      </w:r>
      <w:r w:rsidR="00A6181C" w:rsidRPr="00C448AD">
        <w:rPr>
          <w:lang w:eastAsia="en-AU"/>
        </w:rPr>
        <w:t xml:space="preserve">water safety program guidelines </w:t>
      </w:r>
      <w:r w:rsidR="00A6181C">
        <w:rPr>
          <w:lang w:eastAsia="en-AU"/>
        </w:rPr>
        <w:t>-</w:t>
      </w:r>
      <w:r w:rsidR="00C448AD">
        <w:rPr>
          <w:lang w:eastAsia="en-AU"/>
        </w:rPr>
        <w:t xml:space="preserve"> </w:t>
      </w:r>
      <w:hyperlink r:id="rId24" w:history="1">
        <w:r w:rsidR="00C448AD" w:rsidRPr="00170964">
          <w:rPr>
            <w:rStyle w:val="Hyperlink"/>
            <w:lang w:eastAsia="en-AU"/>
          </w:rPr>
          <w:t>https://austswim.com.au/swimming-and-water-safety-program-guidelines</w:t>
        </w:r>
      </w:hyperlink>
    </w:p>
    <w:p w14:paraId="2976BFC8" w14:textId="2A997F84" w:rsidR="000E39EA" w:rsidRPr="00C448AD" w:rsidRDefault="000E39EA" w:rsidP="00946699">
      <w:pPr>
        <w:pStyle w:val="ListParagraph"/>
        <w:numPr>
          <w:ilvl w:val="0"/>
          <w:numId w:val="43"/>
        </w:numPr>
        <w:spacing w:after="200"/>
        <w:ind w:left="284" w:hanging="284"/>
        <w:rPr>
          <w:lang w:eastAsia="en-AU"/>
        </w:rPr>
      </w:pPr>
      <w:r>
        <w:rPr>
          <w:lang w:eastAsia="en-AU"/>
        </w:rPr>
        <w:t xml:space="preserve">NT Water Safety Strategy - </w:t>
      </w:r>
      <w:hyperlink r:id="rId25" w:history="1">
        <w:r w:rsidRPr="009B305F">
          <w:rPr>
            <w:rStyle w:val="Hyperlink"/>
            <w:lang w:eastAsia="en-AU"/>
          </w:rPr>
          <w:t>https://www.royallifesaving.com.au/nt/About-Royal-Life-Saving-NT/Who-we-are/nt-water-safety-strategy-2017-2021</w:t>
        </w:r>
      </w:hyperlink>
    </w:p>
    <w:p w14:paraId="691B5407" w14:textId="126960F5" w:rsidR="00437291" w:rsidRDefault="00437291" w:rsidP="00946699">
      <w:pPr>
        <w:pStyle w:val="ListParagraph"/>
        <w:numPr>
          <w:ilvl w:val="0"/>
          <w:numId w:val="43"/>
        </w:numPr>
        <w:spacing w:after="200"/>
        <w:ind w:left="284" w:hanging="284"/>
        <w:rPr>
          <w:lang w:eastAsia="en-AU"/>
        </w:rPr>
      </w:pPr>
      <w:r w:rsidRPr="00C448AD">
        <w:rPr>
          <w:lang w:eastAsia="en-AU"/>
        </w:rPr>
        <w:t xml:space="preserve">RLSA Guidelines for </w:t>
      </w:r>
      <w:r w:rsidR="00A6181C" w:rsidRPr="00C448AD">
        <w:rPr>
          <w:lang w:eastAsia="en-AU"/>
        </w:rPr>
        <w:t xml:space="preserve">safe pool operations </w:t>
      </w:r>
      <w:r w:rsidR="00A6181C">
        <w:rPr>
          <w:lang w:eastAsia="en-AU"/>
        </w:rPr>
        <w:t xml:space="preserve">- </w:t>
      </w:r>
      <w:hyperlink r:id="rId26" w:history="1">
        <w:r w:rsidR="00C448AD" w:rsidRPr="00170964">
          <w:rPr>
            <w:rStyle w:val="Hyperlink"/>
            <w:lang w:eastAsia="en-AU"/>
          </w:rPr>
          <w:t>https://www.royallifesaving.com.au/Aquatic-Risk-and-Guidelines/guidelines/GSPO</w:t>
        </w:r>
      </w:hyperlink>
    </w:p>
    <w:p w14:paraId="58737DB6" w14:textId="6FB94562" w:rsidR="00437291" w:rsidRDefault="00437291" w:rsidP="00946699">
      <w:pPr>
        <w:pStyle w:val="ListParagraph"/>
        <w:numPr>
          <w:ilvl w:val="0"/>
          <w:numId w:val="43"/>
        </w:numPr>
        <w:spacing w:after="200"/>
        <w:ind w:left="284" w:hanging="284"/>
        <w:rPr>
          <w:lang w:eastAsia="en-AU"/>
        </w:rPr>
      </w:pPr>
      <w:r w:rsidRPr="00C448AD">
        <w:rPr>
          <w:lang w:eastAsia="en-AU"/>
        </w:rPr>
        <w:t>Sun Safety Advice</w:t>
      </w:r>
      <w:r w:rsidR="00C448AD">
        <w:rPr>
          <w:lang w:eastAsia="en-AU"/>
        </w:rPr>
        <w:t xml:space="preserve"> - </w:t>
      </w:r>
      <w:hyperlink r:id="rId27" w:history="1">
        <w:r w:rsidR="00C448AD" w:rsidRPr="00170964">
          <w:rPr>
            <w:rStyle w:val="Hyperlink"/>
            <w:lang w:eastAsia="en-AU"/>
          </w:rPr>
          <w:t>https://www.sunsmart.com.au</w:t>
        </w:r>
      </w:hyperlink>
    </w:p>
    <w:p w14:paraId="104A3DF2" w14:textId="31A7AB27" w:rsidR="00932ACB" w:rsidRDefault="00932ACB" w:rsidP="00946699">
      <w:pPr>
        <w:pStyle w:val="ListParagraph"/>
        <w:numPr>
          <w:ilvl w:val="0"/>
          <w:numId w:val="43"/>
        </w:numPr>
        <w:spacing w:after="200"/>
        <w:ind w:left="284" w:hanging="284"/>
        <w:rPr>
          <w:lang w:eastAsia="en-AU"/>
        </w:rPr>
      </w:pPr>
      <w:r>
        <w:rPr>
          <w:lang w:eastAsia="en-AU"/>
        </w:rPr>
        <w:t xml:space="preserve">Work Health and </w:t>
      </w:r>
      <w:r w:rsidR="00CC497C">
        <w:rPr>
          <w:lang w:eastAsia="en-AU"/>
        </w:rPr>
        <w:t xml:space="preserve">safety incident report form </w:t>
      </w:r>
      <w:r w:rsidR="002D4BBC">
        <w:rPr>
          <w:lang w:eastAsia="en-AU"/>
        </w:rPr>
        <w:t>(</w:t>
      </w:r>
      <w:r>
        <w:rPr>
          <w:lang w:eastAsia="en-AU"/>
        </w:rPr>
        <w:t xml:space="preserve">internal </w:t>
      </w:r>
      <w:r w:rsidR="00C448AD">
        <w:rPr>
          <w:lang w:eastAsia="en-AU"/>
        </w:rPr>
        <w:t>access required</w:t>
      </w:r>
      <w:r w:rsidR="002D4BBC">
        <w:rPr>
          <w:lang w:eastAsia="en-AU"/>
        </w:rPr>
        <w:t>)</w:t>
      </w:r>
      <w:r w:rsidR="00C448AD">
        <w:rPr>
          <w:lang w:eastAsia="en-AU"/>
        </w:rPr>
        <w:t xml:space="preserve"> </w:t>
      </w:r>
      <w:r w:rsidR="00CC497C">
        <w:rPr>
          <w:lang w:eastAsia="en-AU"/>
        </w:rPr>
        <w:t>-</w:t>
      </w:r>
      <w:r>
        <w:rPr>
          <w:lang w:eastAsia="en-AU"/>
        </w:rPr>
        <w:t xml:space="preserve"> </w:t>
      </w:r>
      <w:hyperlink r:id="rId28" w:history="1">
        <w:r w:rsidR="00C448AD" w:rsidRPr="00170964">
          <w:rPr>
            <w:rStyle w:val="Hyperlink"/>
            <w:lang w:eastAsia="en-AU"/>
          </w:rPr>
          <w:t>https://elearn.ntschools.net/digital-apps/3486</w:t>
        </w:r>
      </w:hyperlink>
    </w:p>
    <w:p w14:paraId="5429D178" w14:textId="69BCD5AF" w:rsidR="007710B5" w:rsidRDefault="007710B5">
      <w:bookmarkStart w:id="65" w:name="_Toc106968518"/>
      <w:bookmarkStart w:id="66" w:name="_Toc106968572"/>
      <w:bookmarkStart w:id="67" w:name="_Toc106968654"/>
      <w:bookmarkStart w:id="68" w:name="_Toc106968690"/>
      <w:bookmarkStart w:id="69" w:name="_Toc106968707"/>
      <w:bookmarkStart w:id="70" w:name="_Toc107917444"/>
      <w:bookmarkStart w:id="71" w:name="_Toc108601824"/>
      <w:bookmarkStart w:id="72" w:name="_Toc108688053"/>
      <w:bookmarkEnd w:id="65"/>
      <w:bookmarkEnd w:id="66"/>
      <w:bookmarkEnd w:id="67"/>
      <w:bookmarkEnd w:id="68"/>
      <w:bookmarkEnd w:id="69"/>
      <w:bookmarkEnd w:id="70"/>
      <w:bookmarkEnd w:id="71"/>
      <w:bookmarkEnd w:id="72"/>
      <w:r>
        <w:br w:type="page"/>
      </w:r>
    </w:p>
    <w:p w14:paraId="0C5E9157" w14:textId="77777777" w:rsidR="00932ACB" w:rsidRDefault="00932ACB" w:rsidP="007710B5">
      <w:pPr>
        <w:spacing w:after="0"/>
      </w:pPr>
    </w:p>
    <w:tbl>
      <w:tblPr>
        <w:tblStyle w:val="NTGtable1"/>
        <w:tblW w:w="10341" w:type="dxa"/>
        <w:tblLayout w:type="fixed"/>
        <w:tblLook w:val="0120" w:firstRow="1" w:lastRow="0" w:firstColumn="0" w:lastColumn="1" w:noHBand="0" w:noVBand="0"/>
      </w:tblPr>
      <w:tblGrid>
        <w:gridCol w:w="1979"/>
        <w:gridCol w:w="8362"/>
      </w:tblGrid>
      <w:tr w:rsidR="00932ACB" w:rsidRPr="00E87DE1" w14:paraId="73920CFB" w14:textId="77777777" w:rsidTr="007710B5">
        <w:trPr>
          <w:cnfStyle w:val="100000000000" w:firstRow="1" w:lastRow="0" w:firstColumn="0" w:lastColumn="0" w:oddVBand="0" w:evenVBand="0" w:oddHBand="0" w:evenHBand="0" w:firstRowFirstColumn="0" w:firstRowLastColumn="0" w:lastRowFirstColumn="0" w:lastRowLastColumn="0"/>
          <w:trHeight w:val="227"/>
        </w:trPr>
        <w:tc>
          <w:tcPr>
            <w:tcW w:w="1979" w:type="dxa"/>
            <w:tcBorders>
              <w:top w:val="single" w:sz="4" w:space="0" w:color="1F1F5F" w:themeColor="text1"/>
              <w:bottom w:val="single" w:sz="4" w:space="0" w:color="auto"/>
            </w:tcBorders>
          </w:tcPr>
          <w:p w14:paraId="31E70612" w14:textId="77777777" w:rsidR="00932ACB" w:rsidRPr="00E87DE1" w:rsidRDefault="00932ACB" w:rsidP="0065492D">
            <w:r w:rsidRPr="00E87DE1">
              <w:rPr>
                <w:w w:val="105"/>
              </w:rPr>
              <w:t>Acronyms</w:t>
            </w:r>
          </w:p>
        </w:tc>
        <w:tc>
          <w:tcPr>
            <w:tcW w:w="8362" w:type="dxa"/>
            <w:tcBorders>
              <w:top w:val="single" w:sz="4" w:space="0" w:color="1F1F5F" w:themeColor="text1"/>
              <w:bottom w:val="single" w:sz="4" w:space="0" w:color="auto"/>
            </w:tcBorders>
          </w:tcPr>
          <w:p w14:paraId="06E0A7CD" w14:textId="77777777" w:rsidR="00932ACB" w:rsidRPr="00E87DE1" w:rsidRDefault="00932ACB" w:rsidP="0065492D">
            <w:r w:rsidRPr="00E87DE1">
              <w:rPr>
                <w:w w:val="105"/>
              </w:rPr>
              <w:t>Full</w:t>
            </w:r>
            <w:r w:rsidRPr="00E87DE1">
              <w:rPr>
                <w:spacing w:val="-17"/>
                <w:w w:val="105"/>
              </w:rPr>
              <w:t xml:space="preserve"> </w:t>
            </w:r>
            <w:r w:rsidRPr="00E87DE1">
              <w:rPr>
                <w:w w:val="105"/>
              </w:rPr>
              <w:t>form</w:t>
            </w:r>
          </w:p>
        </w:tc>
      </w:tr>
      <w:tr w:rsidR="00932ACB" w:rsidRPr="00E87DE1" w14:paraId="519BBB40" w14:textId="77777777" w:rsidTr="007710B5">
        <w:trPr>
          <w:trHeight w:val="227"/>
        </w:trPr>
        <w:tc>
          <w:tcPr>
            <w:tcW w:w="1979" w:type="dxa"/>
            <w:tcBorders>
              <w:top w:val="single" w:sz="4" w:space="0" w:color="auto"/>
            </w:tcBorders>
          </w:tcPr>
          <w:p w14:paraId="4508EB26" w14:textId="77777777" w:rsidR="00932ACB" w:rsidRPr="00050358" w:rsidRDefault="00932ACB" w:rsidP="0065492D">
            <w:r w:rsidRPr="00050358">
              <w:t>NT</w:t>
            </w:r>
          </w:p>
        </w:tc>
        <w:tc>
          <w:tcPr>
            <w:tcW w:w="8362" w:type="dxa"/>
            <w:tcBorders>
              <w:top w:val="single" w:sz="4" w:space="0" w:color="auto"/>
            </w:tcBorders>
          </w:tcPr>
          <w:p w14:paraId="0231F54A" w14:textId="77777777" w:rsidR="00932ACB" w:rsidRPr="00050358" w:rsidRDefault="00932ACB" w:rsidP="0065492D">
            <w:r w:rsidRPr="00050358">
              <w:t>Northern Territory</w:t>
            </w:r>
          </w:p>
        </w:tc>
      </w:tr>
      <w:tr w:rsidR="00932ACB" w:rsidRPr="00E87DE1" w14:paraId="50473119" w14:textId="77777777" w:rsidTr="007710B5">
        <w:trPr>
          <w:cnfStyle w:val="000000010000" w:firstRow="0" w:lastRow="0" w:firstColumn="0" w:lastColumn="0" w:oddVBand="0" w:evenVBand="0" w:oddHBand="0" w:evenHBand="1" w:firstRowFirstColumn="0" w:firstRowLastColumn="0" w:lastRowFirstColumn="0" w:lastRowLastColumn="0"/>
          <w:trHeight w:val="227"/>
        </w:trPr>
        <w:tc>
          <w:tcPr>
            <w:tcW w:w="1979" w:type="dxa"/>
          </w:tcPr>
          <w:p w14:paraId="5E6B55E6" w14:textId="77777777" w:rsidR="00932ACB" w:rsidRPr="00050358" w:rsidRDefault="00932ACB" w:rsidP="0065492D">
            <w:r>
              <w:t>NTG</w:t>
            </w:r>
          </w:p>
        </w:tc>
        <w:tc>
          <w:tcPr>
            <w:tcW w:w="8362" w:type="dxa"/>
          </w:tcPr>
          <w:p w14:paraId="56CB4C9E" w14:textId="77777777" w:rsidR="00932ACB" w:rsidRPr="00050358" w:rsidRDefault="00932ACB" w:rsidP="0065492D">
            <w:r>
              <w:t>Northern Territory Government</w:t>
            </w:r>
          </w:p>
        </w:tc>
      </w:tr>
      <w:tr w:rsidR="00932ACB" w:rsidRPr="00E87DE1" w14:paraId="4485894E" w14:textId="77777777" w:rsidTr="007710B5">
        <w:trPr>
          <w:trHeight w:val="227"/>
        </w:trPr>
        <w:tc>
          <w:tcPr>
            <w:tcW w:w="1979" w:type="dxa"/>
          </w:tcPr>
          <w:p w14:paraId="563374E8" w14:textId="77777777" w:rsidR="00932ACB" w:rsidRPr="00050358" w:rsidRDefault="00932ACB" w:rsidP="0065492D">
            <w:r>
              <w:t>RLSA</w:t>
            </w:r>
          </w:p>
        </w:tc>
        <w:tc>
          <w:tcPr>
            <w:tcW w:w="8362" w:type="dxa"/>
          </w:tcPr>
          <w:p w14:paraId="0F18C68B" w14:textId="77777777" w:rsidR="00932ACB" w:rsidRPr="00050358" w:rsidRDefault="00932ACB" w:rsidP="0065492D">
            <w:r>
              <w:t>Royal Life Saving Australia</w:t>
            </w:r>
          </w:p>
        </w:tc>
      </w:tr>
      <w:tr w:rsidR="00932ACB" w:rsidRPr="00E87DE1" w14:paraId="2C16E5C7" w14:textId="77777777" w:rsidTr="007710B5">
        <w:trPr>
          <w:cnfStyle w:val="000000010000" w:firstRow="0" w:lastRow="0" w:firstColumn="0" w:lastColumn="0" w:oddVBand="0" w:evenVBand="0" w:oddHBand="0" w:evenHBand="1" w:firstRowFirstColumn="0" w:firstRowLastColumn="0" w:lastRowFirstColumn="0" w:lastRowLastColumn="0"/>
          <w:trHeight w:val="227"/>
        </w:trPr>
        <w:tc>
          <w:tcPr>
            <w:tcW w:w="1979" w:type="dxa"/>
          </w:tcPr>
          <w:p w14:paraId="51F141C3" w14:textId="77777777" w:rsidR="00932ACB" w:rsidRDefault="00932ACB" w:rsidP="0065492D">
            <w:r>
              <w:t>RLSNT</w:t>
            </w:r>
          </w:p>
        </w:tc>
        <w:tc>
          <w:tcPr>
            <w:tcW w:w="8362" w:type="dxa"/>
          </w:tcPr>
          <w:p w14:paraId="2F74BA2C" w14:textId="77777777" w:rsidR="00932ACB" w:rsidRDefault="00932ACB" w:rsidP="0065492D">
            <w:r>
              <w:t>Royal Life Saving Northern Territory</w:t>
            </w:r>
          </w:p>
        </w:tc>
      </w:tr>
      <w:tr w:rsidR="00932ACB" w:rsidRPr="00E87DE1" w14:paraId="0DFC856A" w14:textId="77777777" w:rsidTr="007710B5">
        <w:trPr>
          <w:trHeight w:val="227"/>
        </w:trPr>
        <w:tc>
          <w:tcPr>
            <w:tcW w:w="1979" w:type="dxa"/>
          </w:tcPr>
          <w:p w14:paraId="0579DB30" w14:textId="77777777" w:rsidR="00932ACB" w:rsidRPr="00050358" w:rsidRDefault="00932ACB" w:rsidP="0065492D">
            <w:r>
              <w:t>TRM</w:t>
            </w:r>
          </w:p>
        </w:tc>
        <w:tc>
          <w:tcPr>
            <w:tcW w:w="8362" w:type="dxa"/>
          </w:tcPr>
          <w:p w14:paraId="2EDA7663" w14:textId="77777777" w:rsidR="00932ACB" w:rsidRPr="00050358" w:rsidRDefault="00932ACB" w:rsidP="0065492D">
            <w:r>
              <w:rPr>
                <w:lang w:eastAsia="en-AU"/>
              </w:rPr>
              <w:t>Territory Records Manager</w:t>
            </w:r>
          </w:p>
        </w:tc>
      </w:tr>
    </w:tbl>
    <w:p w14:paraId="0FD28597" w14:textId="1DB61833" w:rsidR="00932ACB" w:rsidRDefault="00932ACB" w:rsidP="00932ACB"/>
    <w:tbl>
      <w:tblPr>
        <w:tblStyle w:val="NTGtable1"/>
        <w:tblW w:w="10348" w:type="dxa"/>
        <w:tblLayout w:type="fixed"/>
        <w:tblLook w:val="0480" w:firstRow="0" w:lastRow="0" w:firstColumn="1" w:lastColumn="0" w:noHBand="0" w:noVBand="1"/>
      </w:tblPr>
      <w:tblGrid>
        <w:gridCol w:w="2410"/>
        <w:gridCol w:w="7938"/>
      </w:tblGrid>
      <w:tr w:rsidR="007710B5" w14:paraId="24357640" w14:textId="77777777" w:rsidTr="007710B5">
        <w:trPr>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48884F0C" w14:textId="77777777" w:rsidR="007710B5" w:rsidRPr="00FB0A2D" w:rsidRDefault="007710B5" w:rsidP="00670313">
            <w:pPr>
              <w:rPr>
                <w:b/>
                <w:color w:val="FFFFFF" w:themeColor="background1"/>
              </w:rPr>
            </w:pPr>
            <w:r w:rsidRPr="00FB0A2D">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304D6557" w14:textId="63694654" w:rsidR="007710B5" w:rsidRPr="00050358" w:rsidRDefault="003F6468" w:rsidP="00670313">
            <w:pPr>
              <w:cnfStyle w:val="000000000000" w:firstRow="0" w:lastRow="0" w:firstColumn="0" w:lastColumn="0" w:oddVBand="0" w:evenVBand="0" w:oddHBand="0" w:evenHBand="0" w:firstRowFirstColumn="0" w:firstRowLastColumn="0" w:lastRowFirstColumn="0" w:lastRowLastColumn="0"/>
            </w:pPr>
            <w:sdt>
              <w:sdtPr>
                <w:alias w:val="Title"/>
                <w:tag w:val="Title"/>
                <w:id w:val="459935393"/>
                <w:placeholder>
                  <w:docPart w:val="50B85C4A7DEF48AE93A9671B1ACE5762"/>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2D18D1">
                  <w:t>School swimming, water safety programs and aquatic activities – policy</w:t>
                </w:r>
              </w:sdtContent>
            </w:sdt>
          </w:p>
        </w:tc>
      </w:tr>
      <w:tr w:rsidR="007710B5" w14:paraId="6805F01C" w14:textId="77777777" w:rsidTr="007710B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2063F35" w14:textId="77777777" w:rsidR="007710B5" w:rsidRPr="00FB0A2D" w:rsidRDefault="007710B5" w:rsidP="00670313">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34B39272" w14:textId="085DB609" w:rsidR="007710B5" w:rsidRPr="00050358" w:rsidRDefault="007710B5" w:rsidP="00670313">
            <w:pPr>
              <w:cnfStyle w:val="000000010000" w:firstRow="0" w:lastRow="0" w:firstColumn="0" w:lastColumn="0" w:oddVBand="0" w:evenVBand="0" w:oddHBand="0" w:evenHBand="1" w:firstRowFirstColumn="0" w:firstRowLastColumn="0" w:lastRowFirstColumn="0" w:lastRowLastColumn="0"/>
            </w:pPr>
            <w:r>
              <w:t xml:space="preserve">Teaching and Learning Services, </w:t>
            </w:r>
            <w:hyperlink r:id="rId29" w:history="1">
              <w:r w:rsidRPr="00AD0789">
                <w:rPr>
                  <w:rStyle w:val="Hyperlink"/>
                </w:rPr>
                <w:t>otls.doe@education.nt.gov.au</w:t>
              </w:r>
            </w:hyperlink>
          </w:p>
        </w:tc>
      </w:tr>
      <w:tr w:rsidR="007710B5" w14:paraId="733AA921" w14:textId="77777777" w:rsidTr="007710B5">
        <w:trPr>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6D95410" w14:textId="77777777" w:rsidR="007710B5" w:rsidRPr="00FB0A2D" w:rsidRDefault="007710B5" w:rsidP="00670313">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1A7AC740" w14:textId="77777777" w:rsidR="007710B5" w:rsidRPr="00050358" w:rsidRDefault="007710B5" w:rsidP="00670313">
            <w:pPr>
              <w:cnfStyle w:val="000000000000" w:firstRow="0" w:lastRow="0" w:firstColumn="0" w:lastColumn="0" w:oddVBand="0" w:evenVBand="0" w:oddHBand="0" w:evenHBand="0" w:firstRowFirstColumn="0" w:firstRowLastColumn="0" w:lastRowFirstColumn="0" w:lastRowLastColumn="0"/>
            </w:pPr>
            <w:r>
              <w:t>Executive Director Teaching and Learning Services</w:t>
            </w:r>
          </w:p>
        </w:tc>
      </w:tr>
      <w:tr w:rsidR="007710B5" w14:paraId="51D17C9F" w14:textId="77777777" w:rsidTr="007710B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C7750C0" w14:textId="77777777" w:rsidR="007710B5" w:rsidRPr="00FB0A2D" w:rsidRDefault="007710B5" w:rsidP="00670313">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78618FAB" w14:textId="53AB9387" w:rsidR="007710B5" w:rsidRPr="00157758" w:rsidRDefault="003F6468" w:rsidP="00670313">
            <w:pPr>
              <w:cnfStyle w:val="000000010000" w:firstRow="0" w:lastRow="0" w:firstColumn="0" w:lastColumn="0" w:oddVBand="0" w:evenVBand="0" w:oddHBand="0" w:evenHBand="1" w:firstRowFirstColumn="0" w:firstRowLastColumn="0" w:lastRowFirstColumn="0" w:lastRowLastColumn="0"/>
            </w:pPr>
            <w:r>
              <w:t>13 June</w:t>
            </w:r>
            <w:bookmarkStart w:id="73" w:name="_GoBack"/>
            <w:bookmarkEnd w:id="73"/>
            <w:r w:rsidR="00946699">
              <w:t xml:space="preserve"> </w:t>
            </w:r>
            <w:r w:rsidR="007710B5">
              <w:t>2023</w:t>
            </w:r>
          </w:p>
        </w:tc>
      </w:tr>
      <w:tr w:rsidR="007710B5" w14:paraId="147406F0" w14:textId="77777777" w:rsidTr="007710B5">
        <w:trPr>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6CA6B002" w14:textId="77777777" w:rsidR="007710B5" w:rsidRPr="00FB0A2D" w:rsidRDefault="007710B5" w:rsidP="00670313">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tcPr>
          <w:p w14:paraId="51BB2B2C" w14:textId="0E1D39F6" w:rsidR="007710B5" w:rsidRPr="00050358" w:rsidRDefault="007710B5" w:rsidP="00670313">
            <w:pPr>
              <w:cnfStyle w:val="000000000000" w:firstRow="0" w:lastRow="0" w:firstColumn="0" w:lastColumn="0" w:oddVBand="0" w:evenVBand="0" w:oddHBand="0" w:evenHBand="0" w:firstRowFirstColumn="0" w:firstRowLastColumn="0" w:lastRowFirstColumn="0" w:lastRowLastColumn="0"/>
            </w:pPr>
            <w:r w:rsidRPr="009C2302">
              <w:t>50:D2</w:t>
            </w:r>
            <w:r>
              <w:t>3</w:t>
            </w:r>
            <w:r w:rsidRPr="009C2302">
              <w:t>:</w:t>
            </w:r>
            <w:r w:rsidR="00E21016" w:rsidRPr="002D18D1">
              <w:t>38315</w:t>
            </w:r>
          </w:p>
        </w:tc>
      </w:tr>
    </w:tbl>
    <w:p w14:paraId="488CE403" w14:textId="77777777" w:rsidR="007710B5" w:rsidRDefault="007710B5" w:rsidP="00932ACB"/>
    <w:tbl>
      <w:tblPr>
        <w:tblStyle w:val="NTGtable1"/>
        <w:tblW w:w="10341" w:type="dxa"/>
        <w:tblLayout w:type="fixed"/>
        <w:tblLook w:val="0120" w:firstRow="1" w:lastRow="0" w:firstColumn="0" w:lastColumn="1" w:noHBand="0" w:noVBand="0"/>
      </w:tblPr>
      <w:tblGrid>
        <w:gridCol w:w="1555"/>
        <w:gridCol w:w="2268"/>
        <w:gridCol w:w="2835"/>
        <w:gridCol w:w="3683"/>
      </w:tblGrid>
      <w:tr w:rsidR="00932ACB" w:rsidRPr="00050358" w14:paraId="605F8D09" w14:textId="77777777" w:rsidTr="007710B5">
        <w:trPr>
          <w:cnfStyle w:val="100000000000" w:firstRow="1" w:lastRow="0" w:firstColumn="0" w:lastColumn="0" w:oddVBand="0" w:evenVBand="0" w:oddHBand="0" w:evenHBand="0" w:firstRowFirstColumn="0" w:firstRowLastColumn="0" w:lastRowFirstColumn="0" w:lastRowLastColumn="0"/>
          <w:trHeight w:val="227"/>
        </w:trPr>
        <w:tc>
          <w:tcPr>
            <w:tcW w:w="1555" w:type="dxa"/>
            <w:tcBorders>
              <w:top w:val="single" w:sz="4" w:space="0" w:color="1F1F5F" w:themeColor="text1"/>
              <w:bottom w:val="single" w:sz="4" w:space="0" w:color="auto"/>
            </w:tcBorders>
            <w:vAlign w:val="top"/>
          </w:tcPr>
          <w:p w14:paraId="1A5BB285" w14:textId="77777777" w:rsidR="00932ACB" w:rsidRPr="00050358" w:rsidRDefault="00932ACB" w:rsidP="0065492D">
            <w:r w:rsidRPr="00050358">
              <w:t>Version</w:t>
            </w:r>
          </w:p>
        </w:tc>
        <w:tc>
          <w:tcPr>
            <w:tcW w:w="2268" w:type="dxa"/>
            <w:tcBorders>
              <w:top w:val="single" w:sz="4" w:space="0" w:color="1F1F5F" w:themeColor="text1"/>
              <w:bottom w:val="single" w:sz="4" w:space="0" w:color="auto"/>
            </w:tcBorders>
            <w:vAlign w:val="top"/>
          </w:tcPr>
          <w:p w14:paraId="4ADC68CA" w14:textId="77777777" w:rsidR="00932ACB" w:rsidRPr="00050358" w:rsidRDefault="00932ACB" w:rsidP="0065492D">
            <w:r w:rsidRPr="00050358">
              <w:t>Date</w:t>
            </w:r>
          </w:p>
        </w:tc>
        <w:tc>
          <w:tcPr>
            <w:tcW w:w="2835" w:type="dxa"/>
            <w:tcBorders>
              <w:top w:val="single" w:sz="4" w:space="0" w:color="1F1F5F" w:themeColor="text1"/>
              <w:bottom w:val="single" w:sz="4" w:space="0" w:color="auto"/>
            </w:tcBorders>
            <w:vAlign w:val="top"/>
          </w:tcPr>
          <w:p w14:paraId="04ACEA5F" w14:textId="77777777" w:rsidR="00932ACB" w:rsidRPr="00050358" w:rsidRDefault="00932ACB" w:rsidP="0065492D">
            <w:r w:rsidRPr="00050358">
              <w:t>Author</w:t>
            </w:r>
          </w:p>
        </w:tc>
        <w:tc>
          <w:tcPr>
            <w:tcW w:w="3683" w:type="dxa"/>
            <w:tcBorders>
              <w:top w:val="single" w:sz="4" w:space="0" w:color="1F1F5F" w:themeColor="text1"/>
              <w:bottom w:val="single" w:sz="4" w:space="0" w:color="auto"/>
            </w:tcBorders>
            <w:vAlign w:val="top"/>
          </w:tcPr>
          <w:p w14:paraId="78A801F2" w14:textId="77777777" w:rsidR="00932ACB" w:rsidRPr="00050358" w:rsidRDefault="00932ACB" w:rsidP="0065492D">
            <w:r w:rsidRPr="00050358">
              <w:t>Changes made</w:t>
            </w:r>
          </w:p>
        </w:tc>
      </w:tr>
      <w:tr w:rsidR="00932ACB" w:rsidRPr="00050358" w14:paraId="2C2FD218" w14:textId="77777777" w:rsidTr="007710B5">
        <w:trPr>
          <w:trHeight w:val="227"/>
        </w:trPr>
        <w:tc>
          <w:tcPr>
            <w:tcW w:w="1555" w:type="dxa"/>
            <w:tcBorders>
              <w:top w:val="single" w:sz="4" w:space="0" w:color="auto"/>
            </w:tcBorders>
            <w:vAlign w:val="top"/>
          </w:tcPr>
          <w:p w14:paraId="4CB2704E" w14:textId="77777777" w:rsidR="00932ACB" w:rsidRPr="00050358" w:rsidDel="002A56FD" w:rsidRDefault="00932ACB" w:rsidP="0065492D">
            <w:pPr>
              <w:pStyle w:val="ListParagraph"/>
              <w:spacing w:after="40"/>
            </w:pPr>
            <w:r>
              <w:t>1. to 3.2</w:t>
            </w:r>
          </w:p>
        </w:tc>
        <w:tc>
          <w:tcPr>
            <w:tcW w:w="2268" w:type="dxa"/>
            <w:tcBorders>
              <w:top w:val="single" w:sz="4" w:space="0" w:color="auto"/>
            </w:tcBorders>
            <w:vAlign w:val="top"/>
          </w:tcPr>
          <w:p w14:paraId="748B3899" w14:textId="77777777" w:rsidR="00932ACB" w:rsidRDefault="00932ACB" w:rsidP="0065492D">
            <w:r>
              <w:t>September 2013</w:t>
            </w:r>
          </w:p>
        </w:tc>
        <w:tc>
          <w:tcPr>
            <w:tcW w:w="2835" w:type="dxa"/>
            <w:tcBorders>
              <w:top w:val="single" w:sz="4" w:space="0" w:color="auto"/>
            </w:tcBorders>
            <w:vAlign w:val="top"/>
          </w:tcPr>
          <w:p w14:paraId="1C0744BD" w14:textId="77777777" w:rsidR="00932ACB" w:rsidRPr="00050358" w:rsidDel="0011585B" w:rsidRDefault="00932ACB" w:rsidP="0065492D">
            <w:r w:rsidRPr="003C0B5A">
              <w:t>School Support Services</w:t>
            </w:r>
          </w:p>
        </w:tc>
        <w:tc>
          <w:tcPr>
            <w:tcW w:w="3683" w:type="dxa"/>
            <w:tcBorders>
              <w:top w:val="single" w:sz="4" w:space="0" w:color="auto"/>
            </w:tcBorders>
            <w:vAlign w:val="top"/>
          </w:tcPr>
          <w:p w14:paraId="5DE4C393" w14:textId="20ECC91D" w:rsidR="00932ACB" w:rsidRPr="00050358" w:rsidDel="0011585B" w:rsidRDefault="00932ACB" w:rsidP="0065492D">
            <w:r>
              <w:t xml:space="preserve">Various revisions of the Swimming and </w:t>
            </w:r>
            <w:r w:rsidR="00E21016">
              <w:t>water safety policy</w:t>
            </w:r>
          </w:p>
        </w:tc>
      </w:tr>
      <w:tr w:rsidR="00932ACB" w:rsidRPr="00050358" w14:paraId="5ACB3920" w14:textId="77777777" w:rsidTr="007710B5">
        <w:trPr>
          <w:cnfStyle w:val="000000010000" w:firstRow="0" w:lastRow="0" w:firstColumn="0" w:lastColumn="0" w:oddVBand="0" w:evenVBand="0" w:oddHBand="0" w:evenHBand="1" w:firstRowFirstColumn="0" w:firstRowLastColumn="0" w:lastRowFirstColumn="0" w:lastRowLastColumn="0"/>
          <w:trHeight w:val="227"/>
        </w:trPr>
        <w:tc>
          <w:tcPr>
            <w:tcW w:w="1555" w:type="dxa"/>
            <w:tcBorders>
              <w:bottom w:val="nil"/>
            </w:tcBorders>
            <w:vAlign w:val="top"/>
          </w:tcPr>
          <w:p w14:paraId="419BA794" w14:textId="77777777" w:rsidR="00932ACB" w:rsidRPr="00050358" w:rsidRDefault="00932ACB" w:rsidP="0065492D">
            <w:r>
              <w:t>3.3</w:t>
            </w:r>
          </w:p>
        </w:tc>
        <w:tc>
          <w:tcPr>
            <w:tcW w:w="2268" w:type="dxa"/>
            <w:tcBorders>
              <w:bottom w:val="nil"/>
            </w:tcBorders>
            <w:vAlign w:val="top"/>
          </w:tcPr>
          <w:p w14:paraId="0B78AFD6" w14:textId="77777777" w:rsidR="00932ACB" w:rsidRPr="00050358" w:rsidRDefault="00932ACB" w:rsidP="0065492D">
            <w:r>
              <w:t>October 2015</w:t>
            </w:r>
          </w:p>
        </w:tc>
        <w:tc>
          <w:tcPr>
            <w:tcW w:w="2835" w:type="dxa"/>
            <w:tcBorders>
              <w:bottom w:val="nil"/>
            </w:tcBorders>
            <w:vAlign w:val="top"/>
          </w:tcPr>
          <w:p w14:paraId="2FFE5AC4" w14:textId="77777777" w:rsidR="00932ACB" w:rsidRPr="00050358" w:rsidRDefault="00932ACB" w:rsidP="0065492D">
            <w:r>
              <w:t>School Support Services</w:t>
            </w:r>
          </w:p>
        </w:tc>
        <w:tc>
          <w:tcPr>
            <w:tcW w:w="3683" w:type="dxa"/>
            <w:tcBorders>
              <w:bottom w:val="nil"/>
            </w:tcBorders>
            <w:vAlign w:val="top"/>
          </w:tcPr>
          <w:p w14:paraId="4BECE99E" w14:textId="77777777" w:rsidR="00932ACB" w:rsidRPr="00050358" w:rsidRDefault="00932ACB" w:rsidP="0065492D">
            <w:r>
              <w:t>Major review</w:t>
            </w:r>
          </w:p>
        </w:tc>
      </w:tr>
      <w:tr w:rsidR="00932ACB" w:rsidRPr="00050358" w14:paraId="673E04C4" w14:textId="77777777" w:rsidTr="007710B5">
        <w:trPr>
          <w:trHeight w:val="227"/>
        </w:trPr>
        <w:tc>
          <w:tcPr>
            <w:tcW w:w="1555" w:type="dxa"/>
            <w:tcBorders>
              <w:bottom w:val="nil"/>
            </w:tcBorders>
            <w:vAlign w:val="top"/>
          </w:tcPr>
          <w:p w14:paraId="415B5B97" w14:textId="77777777" w:rsidR="00932ACB" w:rsidRDefault="00932ACB" w:rsidP="0065492D">
            <w:r>
              <w:t>3.4</w:t>
            </w:r>
          </w:p>
        </w:tc>
        <w:tc>
          <w:tcPr>
            <w:tcW w:w="2268" w:type="dxa"/>
            <w:tcBorders>
              <w:bottom w:val="nil"/>
            </w:tcBorders>
            <w:vAlign w:val="top"/>
          </w:tcPr>
          <w:p w14:paraId="68D576F6" w14:textId="77777777" w:rsidR="00932ACB" w:rsidRDefault="00932ACB" w:rsidP="0065492D">
            <w:r>
              <w:t>July 2022</w:t>
            </w:r>
          </w:p>
        </w:tc>
        <w:tc>
          <w:tcPr>
            <w:tcW w:w="2835" w:type="dxa"/>
            <w:tcBorders>
              <w:bottom w:val="nil"/>
            </w:tcBorders>
            <w:vAlign w:val="top"/>
          </w:tcPr>
          <w:p w14:paraId="6041A3AA" w14:textId="77777777" w:rsidR="00932ACB" w:rsidRDefault="00932ACB" w:rsidP="0065492D">
            <w:r>
              <w:t>Operational Policy</w:t>
            </w:r>
          </w:p>
        </w:tc>
        <w:tc>
          <w:tcPr>
            <w:tcW w:w="3683" w:type="dxa"/>
            <w:tcBorders>
              <w:bottom w:val="nil"/>
            </w:tcBorders>
            <w:vAlign w:val="top"/>
          </w:tcPr>
          <w:p w14:paraId="531BA962" w14:textId="028E9340" w:rsidR="00932ACB" w:rsidRDefault="00932ACB" w:rsidP="00E21016">
            <w:r>
              <w:t>Minor update</w:t>
            </w:r>
            <w:r w:rsidR="00E21016">
              <w:t xml:space="preserve"> - </w:t>
            </w:r>
            <w:r>
              <w:t>TRM 50:D22:68978</w:t>
            </w:r>
          </w:p>
        </w:tc>
      </w:tr>
      <w:tr w:rsidR="00932ACB" w:rsidRPr="00050358" w14:paraId="75A491BC" w14:textId="77777777" w:rsidTr="007710B5">
        <w:trPr>
          <w:cnfStyle w:val="000000010000" w:firstRow="0" w:lastRow="0" w:firstColumn="0" w:lastColumn="0" w:oddVBand="0" w:evenVBand="0" w:oddHBand="0" w:evenHBand="1" w:firstRowFirstColumn="0" w:firstRowLastColumn="0" w:lastRowFirstColumn="0" w:lastRowLastColumn="0"/>
          <w:trHeight w:val="227"/>
        </w:trPr>
        <w:tc>
          <w:tcPr>
            <w:tcW w:w="0" w:type="dxa"/>
            <w:tcBorders>
              <w:top w:val="nil"/>
              <w:bottom w:val="nil"/>
            </w:tcBorders>
            <w:vAlign w:val="top"/>
          </w:tcPr>
          <w:p w14:paraId="5149D02F" w14:textId="77777777" w:rsidR="00932ACB" w:rsidRPr="00050358" w:rsidRDefault="00932ACB" w:rsidP="0065492D">
            <w:r>
              <w:t>4</w:t>
            </w:r>
          </w:p>
        </w:tc>
        <w:tc>
          <w:tcPr>
            <w:tcW w:w="0" w:type="dxa"/>
            <w:tcBorders>
              <w:top w:val="nil"/>
              <w:bottom w:val="nil"/>
            </w:tcBorders>
            <w:vAlign w:val="top"/>
          </w:tcPr>
          <w:p w14:paraId="17C47404" w14:textId="77777777" w:rsidR="00932ACB" w:rsidRPr="00050358" w:rsidRDefault="00932ACB" w:rsidP="0065492D">
            <w:r>
              <w:t>November 2022</w:t>
            </w:r>
          </w:p>
        </w:tc>
        <w:tc>
          <w:tcPr>
            <w:tcW w:w="0" w:type="dxa"/>
            <w:tcBorders>
              <w:top w:val="nil"/>
              <w:bottom w:val="nil"/>
            </w:tcBorders>
            <w:vAlign w:val="top"/>
          </w:tcPr>
          <w:p w14:paraId="66A3883B" w14:textId="124538CF" w:rsidR="00932ACB" w:rsidRPr="00050358" w:rsidRDefault="00932ACB" w:rsidP="0065492D">
            <w:r>
              <w:t>Quality Standards and Regulation</w:t>
            </w:r>
            <w:r w:rsidR="00E21016">
              <w:t xml:space="preserve">, </w:t>
            </w:r>
            <w:r>
              <w:t>Operational Policy</w:t>
            </w:r>
          </w:p>
        </w:tc>
        <w:tc>
          <w:tcPr>
            <w:tcW w:w="0" w:type="dxa"/>
            <w:tcBorders>
              <w:top w:val="nil"/>
              <w:bottom w:val="nil"/>
            </w:tcBorders>
            <w:vAlign w:val="top"/>
          </w:tcPr>
          <w:p w14:paraId="2AAE23EA" w14:textId="77777777" w:rsidR="00932ACB" w:rsidRPr="00050358" w:rsidRDefault="00932ACB" w:rsidP="0065492D">
            <w:r w:rsidRPr="00000C1C">
              <w:t xml:space="preserve">Administrative amendments to </w:t>
            </w:r>
            <w:r>
              <w:t xml:space="preserve">align roles and responsibilities to the </w:t>
            </w:r>
            <w:r w:rsidRPr="00000C1C">
              <w:t>structural alignment in effect from 1 July 2022, including NTG template</w:t>
            </w:r>
            <w:r>
              <w:t xml:space="preserve"> and </w:t>
            </w:r>
            <w:r w:rsidRPr="00000C1C">
              <w:t>minor formatting</w:t>
            </w:r>
          </w:p>
        </w:tc>
      </w:tr>
      <w:tr w:rsidR="00932ACB" w:rsidRPr="00050358" w14:paraId="7D894637" w14:textId="77777777" w:rsidTr="007710B5">
        <w:trPr>
          <w:trHeight w:val="227"/>
        </w:trPr>
        <w:tc>
          <w:tcPr>
            <w:tcW w:w="1555" w:type="dxa"/>
            <w:tcBorders>
              <w:top w:val="nil"/>
              <w:bottom w:val="single" w:sz="4" w:space="0" w:color="auto"/>
            </w:tcBorders>
            <w:vAlign w:val="top"/>
          </w:tcPr>
          <w:p w14:paraId="4577CF4F" w14:textId="77777777" w:rsidR="00932ACB" w:rsidRDefault="00932ACB" w:rsidP="0065492D">
            <w:r>
              <w:t>5</w:t>
            </w:r>
          </w:p>
        </w:tc>
        <w:tc>
          <w:tcPr>
            <w:tcW w:w="2268" w:type="dxa"/>
            <w:tcBorders>
              <w:top w:val="nil"/>
              <w:bottom w:val="single" w:sz="4" w:space="0" w:color="auto"/>
            </w:tcBorders>
            <w:vAlign w:val="top"/>
          </w:tcPr>
          <w:p w14:paraId="2058E6D6" w14:textId="77777777" w:rsidR="00932ACB" w:rsidRDefault="00932ACB" w:rsidP="0065492D">
            <w:r>
              <w:t>April 2023</w:t>
            </w:r>
          </w:p>
        </w:tc>
        <w:tc>
          <w:tcPr>
            <w:tcW w:w="2835" w:type="dxa"/>
            <w:tcBorders>
              <w:top w:val="nil"/>
              <w:bottom w:val="single" w:sz="4" w:space="0" w:color="auto"/>
            </w:tcBorders>
            <w:vAlign w:val="top"/>
          </w:tcPr>
          <w:p w14:paraId="0D9C711E" w14:textId="77777777" w:rsidR="00932ACB" w:rsidRDefault="00932ACB" w:rsidP="0065492D">
            <w:r>
              <w:t>Early Years and Primary Policy</w:t>
            </w:r>
          </w:p>
        </w:tc>
        <w:tc>
          <w:tcPr>
            <w:tcW w:w="3683" w:type="dxa"/>
            <w:tcBorders>
              <w:top w:val="nil"/>
              <w:bottom w:val="single" w:sz="4" w:space="0" w:color="auto"/>
            </w:tcBorders>
            <w:vAlign w:val="top"/>
          </w:tcPr>
          <w:p w14:paraId="45AC496A" w14:textId="6AE99D41" w:rsidR="00932ACB" w:rsidRPr="00000C1C" w:rsidRDefault="00932ACB" w:rsidP="0065492D">
            <w:r>
              <w:t xml:space="preserve">Updates to reflect changes to the Swim and </w:t>
            </w:r>
            <w:r w:rsidR="00E21016">
              <w:t xml:space="preserve">survive program levels and included references to the national law and </w:t>
            </w:r>
            <w:r>
              <w:t>other departmental policies</w:t>
            </w:r>
            <w:r w:rsidR="002D4BBC">
              <w:t xml:space="preserve"> and procedures</w:t>
            </w:r>
            <w:r>
              <w:t>.</w:t>
            </w:r>
          </w:p>
        </w:tc>
      </w:tr>
    </w:tbl>
    <w:p w14:paraId="2FA8ADF9" w14:textId="77777777" w:rsidR="00FE5B5A" w:rsidRDefault="00FE5B5A" w:rsidP="00FE5B5A">
      <w:pPr>
        <w:rPr>
          <w:lang w:eastAsia="en-AU"/>
        </w:rPr>
      </w:pPr>
    </w:p>
    <w:sectPr w:rsidR="00FE5B5A" w:rsidSect="007710B5">
      <w:footerReference w:type="default" r:id="rId30"/>
      <w:headerReference w:type="first" r:id="rId31"/>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A8BA" w14:textId="77777777" w:rsidR="00DF6D6F" w:rsidRDefault="00DF6D6F">
      <w:r>
        <w:separator/>
      </w:r>
    </w:p>
  </w:endnote>
  <w:endnote w:type="continuationSeparator" w:id="0">
    <w:p w14:paraId="768A7A30" w14:textId="77777777" w:rsidR="00DF6D6F" w:rsidRDefault="00DF6D6F">
      <w:r>
        <w:continuationSeparator/>
      </w:r>
    </w:p>
  </w:endnote>
  <w:endnote w:type="continuationNotice" w:id="1">
    <w:p w14:paraId="433CD6F7" w14:textId="77777777" w:rsidR="00DF6D6F" w:rsidRDefault="00DF6D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50B5585F" w14:textId="0236C758" w:rsidR="00CB6A67" w:rsidRPr="002D18D1" w:rsidRDefault="00CB6A67" w:rsidP="00CB6A67">
          <w:pPr>
            <w:spacing w:after="0"/>
            <w:rPr>
              <w:rStyle w:val="PageNumber"/>
              <w:bCs/>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4297">
                <w:rPr>
                  <w:rStyle w:val="PageNumber"/>
                  <w:b/>
                </w:rPr>
                <w:t>Education</w:t>
              </w:r>
            </w:sdtContent>
          </w:sdt>
          <w:r w:rsidR="00E21016" w:rsidRPr="002D18D1">
            <w:rPr>
              <w:rStyle w:val="PageNumber"/>
              <w:bCs/>
            </w:rPr>
            <w:t xml:space="preserve"> – School swimming, water safety programs and aquatic activities</w:t>
          </w:r>
        </w:p>
        <w:p w14:paraId="580C1AB6" w14:textId="579C5ACC" w:rsidR="00CB6A67" w:rsidRPr="00CE6614" w:rsidRDefault="00E21016" w:rsidP="00CB6A67">
          <w:pPr>
            <w:spacing w:after="0"/>
            <w:rPr>
              <w:rStyle w:val="PageNumber"/>
            </w:rPr>
          </w:pPr>
          <w:r>
            <w:rPr>
              <w:rStyle w:val="PageNumber"/>
            </w:rPr>
            <w:t>Published</w:t>
          </w:r>
          <w:r w:rsidRPr="00CE6614">
            <w:rPr>
              <w:rStyle w:val="PageNumber"/>
            </w:rPr>
            <w:t xml:space="preserve"> </w:t>
          </w:r>
          <w:r w:rsidR="008A61E2">
            <w:rPr>
              <w:rStyle w:val="PageNumber"/>
            </w:rPr>
            <w:t>June 2023</w:t>
          </w:r>
        </w:p>
        <w:p w14:paraId="6369AF07" w14:textId="05EC698B"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E606C">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E606C">
            <w:rPr>
              <w:rStyle w:val="PageNumber"/>
              <w:noProof/>
            </w:rPr>
            <w:t>6</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9CDB" w14:textId="77777777" w:rsidR="00DF6D6F" w:rsidRDefault="00DF6D6F">
      <w:r>
        <w:separator/>
      </w:r>
    </w:p>
  </w:footnote>
  <w:footnote w:type="continuationSeparator" w:id="0">
    <w:p w14:paraId="38521325" w14:textId="77777777" w:rsidR="00DF6D6F" w:rsidRDefault="00DF6D6F">
      <w:r>
        <w:continuationSeparator/>
      </w:r>
    </w:p>
  </w:footnote>
  <w:footnote w:type="continuationNotice" w:id="1">
    <w:p w14:paraId="25AD00D4" w14:textId="77777777" w:rsidR="00DF6D6F" w:rsidRDefault="00DF6D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1328BBAF" w:rsidR="00964B22" w:rsidRPr="008E0345" w:rsidRDefault="003F6468"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2D18D1">
          <w:t>School swimming, water safety programs and aquatic activities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1CB4D66F" w:rsidR="00983000" w:rsidRPr="00964B22" w:rsidRDefault="002D18D1" w:rsidP="008E0345">
        <w:pPr>
          <w:pStyle w:val="Header"/>
          <w:rPr>
            <w:b/>
          </w:rPr>
        </w:pPr>
        <w:r>
          <w:t>School swimming, water safety programs and aquatic activities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E54C5"/>
    <w:multiLevelType w:val="hybridMultilevel"/>
    <w:tmpl w:val="B6905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184347"/>
    <w:multiLevelType w:val="hybridMultilevel"/>
    <w:tmpl w:val="5E905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A65072F"/>
    <w:multiLevelType w:val="hybridMultilevel"/>
    <w:tmpl w:val="6B4A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0676E3"/>
    <w:multiLevelType w:val="multilevel"/>
    <w:tmpl w:val="FD1CD746"/>
    <w:numStyleLink w:val="Numbered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D713B22"/>
    <w:multiLevelType w:val="hybridMultilevel"/>
    <w:tmpl w:val="A798E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2CB786D"/>
    <w:multiLevelType w:val="multilevel"/>
    <w:tmpl w:val="FD1CD746"/>
    <w:numStyleLink w:val="Numberedlist"/>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5A32D4"/>
    <w:multiLevelType w:val="multilevel"/>
    <w:tmpl w:val="4E6AC8F6"/>
    <w:numStyleLink w:val="Numberlist"/>
  </w:abstractNum>
  <w:abstractNum w:abstractNumId="68" w15:restartNumberingAfterBreak="0">
    <w:nsid w:val="76F43FBB"/>
    <w:multiLevelType w:val="hybridMultilevel"/>
    <w:tmpl w:val="666EE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1"/>
  </w:num>
  <w:num w:numId="3">
    <w:abstractNumId w:val="71"/>
  </w:num>
  <w:num w:numId="4">
    <w:abstractNumId w:val="43"/>
  </w:num>
  <w:num w:numId="5">
    <w:abstractNumId w:val="26"/>
  </w:num>
  <w:num w:numId="6">
    <w:abstractNumId w:val="15"/>
  </w:num>
  <w:num w:numId="7">
    <w:abstractNumId w:val="49"/>
  </w:num>
  <w:num w:numId="8">
    <w:abstractNumId w:val="24"/>
  </w:num>
  <w:num w:numId="9">
    <w:abstractNumId w:val="56"/>
  </w:num>
  <w:num w:numId="10">
    <w:abstractNumId w:val="20"/>
  </w:num>
  <w:num w:numId="11">
    <w:abstractNumId w:val="62"/>
  </w:num>
  <w:num w:numId="12">
    <w:abstractNumId w:val="17"/>
  </w:num>
  <w:num w:numId="13">
    <w:abstractNumId w:val="1"/>
  </w:num>
  <w:num w:numId="14">
    <w:abstractNumId w:val="60"/>
  </w:num>
  <w:num w:numId="15">
    <w:abstractNumId w:val="25"/>
  </w:num>
  <w:num w:numId="16">
    <w:abstractNumId w:val="61"/>
  </w:num>
  <w:num w:numId="17">
    <w:abstractNumId w:val="67"/>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5"/>
  </w:num>
  <w:num w:numId="26">
    <w:abstractNumId w:val="12"/>
  </w:num>
  <w:num w:numId="27">
    <w:abstractNumId w:val="69"/>
  </w:num>
  <w:num w:numId="28">
    <w:abstractNumId w:val="34"/>
  </w:num>
  <w:num w:numId="29">
    <w:abstractNumId w:val="27"/>
  </w:num>
  <w:num w:numId="30">
    <w:abstractNumId w:val="0"/>
  </w:num>
  <w:num w:numId="31">
    <w:abstractNumId w:val="40"/>
  </w:num>
  <w:num w:numId="32">
    <w:abstractNumId w:val="11"/>
  </w:num>
  <w:num w:numId="33">
    <w:abstractNumId w:val="63"/>
  </w:num>
  <w:num w:numId="34">
    <w:abstractNumId w:val="30"/>
  </w:num>
  <w:num w:numId="35">
    <w:abstractNumId w:val="70"/>
  </w:num>
  <w:num w:numId="36">
    <w:abstractNumId w:val="57"/>
  </w:num>
  <w:num w:numId="37">
    <w:abstractNumId w:val="5"/>
  </w:num>
  <w:num w:numId="38">
    <w:abstractNumId w:val="33"/>
  </w:num>
  <w:num w:numId="39">
    <w:abstractNumId w:val="48"/>
  </w:num>
  <w:num w:numId="40">
    <w:abstractNumId w:val="38"/>
  </w:num>
  <w:num w:numId="41">
    <w:abstractNumId w:val="2"/>
  </w:num>
  <w:num w:numId="42">
    <w:abstractNumId w:val="45"/>
  </w:num>
  <w:num w:numId="43">
    <w:abstractNumId w:val="36"/>
  </w:num>
  <w:num w:numId="44">
    <w:abstractNumId w:val="3"/>
  </w:num>
  <w:num w:numId="45">
    <w:abstractNumId w:val="68"/>
  </w:num>
  <w:num w:numId="4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D1"/>
    <w:rsid w:val="00001667"/>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90D"/>
    <w:rsid w:val="00080DCD"/>
    <w:rsid w:val="00080E22"/>
    <w:rsid w:val="00081B91"/>
    <w:rsid w:val="00082573"/>
    <w:rsid w:val="000840A3"/>
    <w:rsid w:val="00085062"/>
    <w:rsid w:val="00086A5F"/>
    <w:rsid w:val="000911EF"/>
    <w:rsid w:val="000962C5"/>
    <w:rsid w:val="000A04AF"/>
    <w:rsid w:val="000A385C"/>
    <w:rsid w:val="000A4317"/>
    <w:rsid w:val="000A559C"/>
    <w:rsid w:val="000B2CA1"/>
    <w:rsid w:val="000B48C1"/>
    <w:rsid w:val="000D1F29"/>
    <w:rsid w:val="000D633D"/>
    <w:rsid w:val="000E0962"/>
    <w:rsid w:val="000E342B"/>
    <w:rsid w:val="000E38FB"/>
    <w:rsid w:val="000E39EA"/>
    <w:rsid w:val="000E5DD2"/>
    <w:rsid w:val="000F2958"/>
    <w:rsid w:val="000F4805"/>
    <w:rsid w:val="00104E7F"/>
    <w:rsid w:val="001117D8"/>
    <w:rsid w:val="001137EC"/>
    <w:rsid w:val="001152F5"/>
    <w:rsid w:val="00115FF7"/>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4E50"/>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0B8C"/>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18D1"/>
    <w:rsid w:val="002D3A57"/>
    <w:rsid w:val="002D4BBC"/>
    <w:rsid w:val="002D7472"/>
    <w:rsid w:val="002D7D05"/>
    <w:rsid w:val="002E0B57"/>
    <w:rsid w:val="002E0F6E"/>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62E3"/>
    <w:rsid w:val="00357D55"/>
    <w:rsid w:val="00360D06"/>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3F6468"/>
    <w:rsid w:val="0040222A"/>
    <w:rsid w:val="004047BC"/>
    <w:rsid w:val="00406497"/>
    <w:rsid w:val="004100F7"/>
    <w:rsid w:val="00414CB3"/>
    <w:rsid w:val="0041563D"/>
    <w:rsid w:val="00420CF5"/>
    <w:rsid w:val="00422874"/>
    <w:rsid w:val="00426E25"/>
    <w:rsid w:val="00427D9C"/>
    <w:rsid w:val="00427E7E"/>
    <w:rsid w:val="00437291"/>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5A43"/>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0C25"/>
    <w:rsid w:val="005C2833"/>
    <w:rsid w:val="005D3964"/>
    <w:rsid w:val="005E144D"/>
    <w:rsid w:val="005E1500"/>
    <w:rsid w:val="005E3A43"/>
    <w:rsid w:val="005E51A4"/>
    <w:rsid w:val="005F77C7"/>
    <w:rsid w:val="0060030B"/>
    <w:rsid w:val="006145BB"/>
    <w:rsid w:val="00620675"/>
    <w:rsid w:val="00622910"/>
    <w:rsid w:val="006433C3"/>
    <w:rsid w:val="006457A4"/>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4E55"/>
    <w:rsid w:val="006D1ADA"/>
    <w:rsid w:val="006D66F7"/>
    <w:rsid w:val="006D6723"/>
    <w:rsid w:val="006E3B5D"/>
    <w:rsid w:val="006F338F"/>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10B5"/>
    <w:rsid w:val="007761D8"/>
    <w:rsid w:val="00777795"/>
    <w:rsid w:val="00783A57"/>
    <w:rsid w:val="00784C92"/>
    <w:rsid w:val="007859CD"/>
    <w:rsid w:val="007907E4"/>
    <w:rsid w:val="00796461"/>
    <w:rsid w:val="007A6A4F"/>
    <w:rsid w:val="007B03F5"/>
    <w:rsid w:val="007B05C1"/>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5DF4"/>
    <w:rsid w:val="008A61E2"/>
    <w:rsid w:val="008A7C12"/>
    <w:rsid w:val="008B03CE"/>
    <w:rsid w:val="008B529E"/>
    <w:rsid w:val="008B7C3D"/>
    <w:rsid w:val="008C15F1"/>
    <w:rsid w:val="008C17FB"/>
    <w:rsid w:val="008D1B00"/>
    <w:rsid w:val="008D57B8"/>
    <w:rsid w:val="008E0345"/>
    <w:rsid w:val="008E03FC"/>
    <w:rsid w:val="008E510B"/>
    <w:rsid w:val="008F1E34"/>
    <w:rsid w:val="00902B13"/>
    <w:rsid w:val="0091048B"/>
    <w:rsid w:val="00911941"/>
    <w:rsid w:val="009138A0"/>
    <w:rsid w:val="00917069"/>
    <w:rsid w:val="00925F0F"/>
    <w:rsid w:val="00930C91"/>
    <w:rsid w:val="00932ACB"/>
    <w:rsid w:val="00932F6B"/>
    <w:rsid w:val="00937B31"/>
    <w:rsid w:val="009436FF"/>
    <w:rsid w:val="0094483E"/>
    <w:rsid w:val="00946699"/>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C411B"/>
    <w:rsid w:val="009D0EB5"/>
    <w:rsid w:val="009D14F9"/>
    <w:rsid w:val="009D2B74"/>
    <w:rsid w:val="009D3DB8"/>
    <w:rsid w:val="009D63FF"/>
    <w:rsid w:val="009E175D"/>
    <w:rsid w:val="009E3CC2"/>
    <w:rsid w:val="009F06BD"/>
    <w:rsid w:val="009F2A4D"/>
    <w:rsid w:val="009F3302"/>
    <w:rsid w:val="00A00828"/>
    <w:rsid w:val="00A03290"/>
    <w:rsid w:val="00A07490"/>
    <w:rsid w:val="00A10655"/>
    <w:rsid w:val="00A1197C"/>
    <w:rsid w:val="00A12B64"/>
    <w:rsid w:val="00A131FE"/>
    <w:rsid w:val="00A22C38"/>
    <w:rsid w:val="00A25193"/>
    <w:rsid w:val="00A26E80"/>
    <w:rsid w:val="00A31AE8"/>
    <w:rsid w:val="00A3739D"/>
    <w:rsid w:val="00A37DDA"/>
    <w:rsid w:val="00A37ED8"/>
    <w:rsid w:val="00A45BF7"/>
    <w:rsid w:val="00A6181C"/>
    <w:rsid w:val="00A71E1C"/>
    <w:rsid w:val="00A86CD3"/>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06C"/>
    <w:rsid w:val="00BE6144"/>
    <w:rsid w:val="00BE635A"/>
    <w:rsid w:val="00BF17E9"/>
    <w:rsid w:val="00BF2ABB"/>
    <w:rsid w:val="00BF2BC6"/>
    <w:rsid w:val="00BF5099"/>
    <w:rsid w:val="00BF5345"/>
    <w:rsid w:val="00C10F10"/>
    <w:rsid w:val="00C144D1"/>
    <w:rsid w:val="00C15D4D"/>
    <w:rsid w:val="00C175DC"/>
    <w:rsid w:val="00C30171"/>
    <w:rsid w:val="00C309D8"/>
    <w:rsid w:val="00C33349"/>
    <w:rsid w:val="00C43519"/>
    <w:rsid w:val="00C448AD"/>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497C"/>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DF6D6F"/>
    <w:rsid w:val="00DF73A7"/>
    <w:rsid w:val="00E02681"/>
    <w:rsid w:val="00E02792"/>
    <w:rsid w:val="00E034D8"/>
    <w:rsid w:val="00E04CC0"/>
    <w:rsid w:val="00E15816"/>
    <w:rsid w:val="00E160D5"/>
    <w:rsid w:val="00E21016"/>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34F"/>
    <w:rsid w:val="00F02591"/>
    <w:rsid w:val="00F14273"/>
    <w:rsid w:val="00F24CB0"/>
    <w:rsid w:val="00F24F21"/>
    <w:rsid w:val="00F30056"/>
    <w:rsid w:val="00F5696E"/>
    <w:rsid w:val="00F60EFF"/>
    <w:rsid w:val="00F67D2D"/>
    <w:rsid w:val="00F860CC"/>
    <w:rsid w:val="00F90858"/>
    <w:rsid w:val="00F94398"/>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437291"/>
    <w:rPr>
      <w:color w:val="8C4799" w:themeColor="followedHyperlink"/>
      <w:u w:val="single"/>
    </w:rPr>
  </w:style>
  <w:style w:type="character" w:customStyle="1" w:styleId="UnresolvedMention1">
    <w:name w:val="Unresolved Mention1"/>
    <w:basedOn w:val="DefaultParagraphFont"/>
    <w:uiPriority w:val="99"/>
    <w:semiHidden/>
    <w:unhideWhenUsed/>
    <w:rsid w:val="00437291"/>
    <w:rPr>
      <w:color w:val="605E5C"/>
      <w:shd w:val="clear" w:color="auto" w:fill="E1DFDD"/>
    </w:rPr>
  </w:style>
  <w:style w:type="table" w:customStyle="1" w:styleId="NTGtable">
    <w:name w:val="NTG table"/>
    <w:basedOn w:val="TableGrid"/>
    <w:uiPriority w:val="99"/>
    <w:rsid w:val="00437291"/>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color w:val="FFFFFF" w:themeColor="background1"/>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Revision">
    <w:name w:val="Revision"/>
    <w:hidden/>
    <w:uiPriority w:val="99"/>
    <w:semiHidden/>
    <w:rsid w:val="00946699"/>
    <w:pPr>
      <w:spacing w:after="0"/>
    </w:pPr>
    <w:rPr>
      <w:rFonts w:ascii="Lato" w:hAnsi="Lato"/>
    </w:rPr>
  </w:style>
  <w:style w:type="character" w:styleId="CommentReference">
    <w:name w:val="annotation reference"/>
    <w:basedOn w:val="DefaultParagraphFont"/>
    <w:uiPriority w:val="99"/>
    <w:semiHidden/>
    <w:unhideWhenUsed/>
    <w:rsid w:val="001A4E50"/>
    <w:rPr>
      <w:sz w:val="16"/>
      <w:szCs w:val="16"/>
    </w:rPr>
  </w:style>
  <w:style w:type="paragraph" w:styleId="CommentText">
    <w:name w:val="annotation text"/>
    <w:basedOn w:val="Normal"/>
    <w:link w:val="CommentTextChar"/>
    <w:uiPriority w:val="99"/>
    <w:unhideWhenUsed/>
    <w:rsid w:val="001A4E50"/>
    <w:rPr>
      <w:sz w:val="20"/>
      <w:szCs w:val="20"/>
    </w:rPr>
  </w:style>
  <w:style w:type="character" w:customStyle="1" w:styleId="CommentTextChar">
    <w:name w:val="Comment Text Char"/>
    <w:basedOn w:val="DefaultParagraphFont"/>
    <w:link w:val="CommentText"/>
    <w:uiPriority w:val="99"/>
    <w:rsid w:val="001A4E5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A4E50"/>
    <w:rPr>
      <w:b/>
      <w:bCs/>
    </w:rPr>
  </w:style>
  <w:style w:type="character" w:customStyle="1" w:styleId="CommentSubjectChar">
    <w:name w:val="Comment Subject Char"/>
    <w:basedOn w:val="CommentTextChar"/>
    <w:link w:val="CommentSubject"/>
    <w:uiPriority w:val="99"/>
    <w:semiHidden/>
    <w:rsid w:val="001A4E50"/>
    <w:rPr>
      <w:rFonts w:ascii="Lato" w:hAnsi="Lato"/>
      <w:b/>
      <w:bCs/>
      <w:sz w:val="20"/>
      <w:szCs w:val="20"/>
    </w:rPr>
  </w:style>
  <w:style w:type="paragraph" w:styleId="BalloonText">
    <w:name w:val="Balloon Text"/>
    <w:basedOn w:val="Normal"/>
    <w:link w:val="BalloonTextChar"/>
    <w:uiPriority w:val="99"/>
    <w:semiHidden/>
    <w:unhideWhenUsed/>
    <w:rsid w:val="002D74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ducation.nt.gov.au/policies/health-safety/swimming-and-water-safety" TargetMode="External"/><Relationship Id="rId26" Type="http://schemas.openxmlformats.org/officeDocument/2006/relationships/hyperlink" Target="https://www.royallifesaving.com.au/Aquatic-Risk-and-Guidelines/guidelines/GSPO" TargetMode="External"/><Relationship Id="rId3" Type="http://schemas.openxmlformats.org/officeDocument/2006/relationships/numbering" Target="numbering.xml"/><Relationship Id="rId21" Type="http://schemas.openxmlformats.org/officeDocument/2006/relationships/hyperlink" Target="https://education.nt.gov.au/policies/health-safety/sun-safet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Legislation/SWIMMING-POOL-SAFETY-ACT-2004" TargetMode="External"/><Relationship Id="rId25" Type="http://schemas.openxmlformats.org/officeDocument/2006/relationships/hyperlink" Target="https://www.royallifesaving.com.au/nt/About-Royal-Life-Saving-NT/Who-we-are/nt-water-safety-strategy-2017-2021"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egislation.nsw.gov.au/view/html/inforce/current/sl-2011-0653" TargetMode="External"/><Relationship Id="rId20" Type="http://schemas.openxmlformats.org/officeDocument/2006/relationships/hyperlink" Target="https://education.nt.gov.au/policies/early-childhood-education-and-care/preschool-specific-policy" TargetMode="External"/><Relationship Id="rId29" Type="http://schemas.openxmlformats.org/officeDocument/2006/relationships/hyperlink" Target="mailto:otls.doe@education.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austswim.com.au/swimming-and-water-safety-program-guidelin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slation.vic.gov.au/in-force/acts/education-and-care-services-national-law-act-2010/012" TargetMode="External"/><Relationship Id="rId23" Type="http://schemas.openxmlformats.org/officeDocument/2006/relationships/hyperlink" Target="https://www.watersafety.com.au/australian-water-safety-strategy" TargetMode="External"/><Relationship Id="rId28" Type="http://schemas.openxmlformats.org/officeDocument/2006/relationships/hyperlink" Target="https://elearn.ntschools.net/digital-apps/3486" TargetMode="External"/><Relationship Id="rId10" Type="http://schemas.openxmlformats.org/officeDocument/2006/relationships/header" Target="header2.xml"/><Relationship Id="rId19" Type="http://schemas.openxmlformats.org/officeDocument/2006/relationships/hyperlink" Target="https://education.nt.gov.au/policies/school-operations"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en/Legislation/EDUCATION-AND-CARE-SERVICES-NATIONAL-UNIFORM-LEGISLATION-ACT-2011" TargetMode="External"/><Relationship Id="rId22" Type="http://schemas.openxmlformats.org/officeDocument/2006/relationships/hyperlink" Target="https://www.watersafety.com.au/" TargetMode="External"/><Relationship Id="rId27" Type="http://schemas.openxmlformats.org/officeDocument/2006/relationships/hyperlink" Target="https://www.sunsmart.com.au"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rnott\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50B85C4A7DEF48AE93A9671B1ACE5762"/>
        <w:category>
          <w:name w:val="General"/>
          <w:gallery w:val="placeholder"/>
        </w:category>
        <w:types>
          <w:type w:val="bbPlcHdr"/>
        </w:types>
        <w:behaviors>
          <w:behavior w:val="content"/>
        </w:behaviors>
        <w:guid w:val="{8DB27A64-A0AE-4CCC-B134-2AE522A66127}"/>
      </w:docPartPr>
      <w:docPartBody>
        <w:p w:rsidR="005A5A23" w:rsidRDefault="00C24757" w:rsidP="00C24757">
          <w:pPr>
            <w:pStyle w:val="50B85C4A7DEF48AE93A9671B1ACE5762"/>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10"/>
    <w:rsid w:val="00061758"/>
    <w:rsid w:val="001127C9"/>
    <w:rsid w:val="003D5A1B"/>
    <w:rsid w:val="0044434A"/>
    <w:rsid w:val="00536110"/>
    <w:rsid w:val="005A5A23"/>
    <w:rsid w:val="005C40FF"/>
    <w:rsid w:val="005F01D7"/>
    <w:rsid w:val="00874BF3"/>
    <w:rsid w:val="009437B5"/>
    <w:rsid w:val="00A53C31"/>
    <w:rsid w:val="00AA1659"/>
    <w:rsid w:val="00C24757"/>
    <w:rsid w:val="00C35A46"/>
    <w:rsid w:val="00C84148"/>
    <w:rsid w:val="00E92155"/>
    <w:rsid w:val="00E9420D"/>
    <w:rsid w:val="00EA35A1"/>
    <w:rsid w:val="00F22BD7"/>
    <w:rsid w:val="00FF6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757"/>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50B85C4A7DEF48AE93A9671B1ACE5762">
    <w:name w:val="50B85C4A7DEF48AE93A9671B1ACE5762"/>
    <w:rsid w:val="00C24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ublished Month Yea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B0DC8-C776-4AB1-B3A9-F800EC8C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4</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School swimming, water safety programs and aquatic activities – policy</vt:lpstr>
    </vt:vector>
  </TitlesOfParts>
  <Company>Education</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swimming, water safety programs and aquatic activities – policy</dc:title>
  <dc:creator>Northern Territory Government</dc:creator>
  <cp:lastModifiedBy>Jessica Lai</cp:lastModifiedBy>
  <cp:revision>4</cp:revision>
  <cp:lastPrinted>2016-02-04T04:37:00Z</cp:lastPrinted>
  <dcterms:created xsi:type="dcterms:W3CDTF">2023-06-19T00:40:00Z</dcterms:created>
  <dcterms:modified xsi:type="dcterms:W3CDTF">2023-06-19T00:44:00Z</dcterms:modified>
</cp:coreProperties>
</file>