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B8" w:rsidRPr="00A076B8" w:rsidRDefault="00A076B8" w:rsidP="00A076B8">
      <w:pPr>
        <w:pStyle w:val="Heading1"/>
        <w:rPr>
          <w:sz w:val="32"/>
        </w:rPr>
      </w:pPr>
      <w:r w:rsidRPr="00A076B8">
        <w:rPr>
          <w:sz w:val="32"/>
        </w:rPr>
        <w:t>ALTERNATIVES TO SUSPENSION</w:t>
      </w:r>
    </w:p>
    <w:p w:rsidR="00A076B8" w:rsidRPr="00482ADD" w:rsidRDefault="00A076B8" w:rsidP="00A076B8">
      <w:pPr>
        <w:rPr>
          <w:rFonts w:cs="Arial"/>
          <w:bCs/>
          <w:sz w:val="24"/>
          <w:lang w:val="en-US"/>
        </w:rPr>
      </w:pPr>
      <w:r w:rsidRPr="00482ADD">
        <w:rPr>
          <w:rFonts w:cs="Arial"/>
          <w:bCs/>
          <w:sz w:val="24"/>
          <w:lang w:val="en-US"/>
        </w:rPr>
        <w:t xml:space="preserve">Student suspension is a serious sanction that should only be considered when all other methods for managing student behaviour have been explored. Alternatives could include: </w:t>
      </w:r>
    </w:p>
    <w:p w:rsidR="00A076B8" w:rsidRPr="00482ADD" w:rsidRDefault="00A076B8" w:rsidP="00A076B8">
      <w:pPr>
        <w:rPr>
          <w:rFonts w:cs="Arial"/>
          <w:bCs/>
          <w:sz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3"/>
        <w:gridCol w:w="5295"/>
      </w:tblGrid>
      <w:tr w:rsidR="00A076B8" w:rsidRPr="00482ADD" w:rsidTr="00C42F94">
        <w:tc>
          <w:tcPr>
            <w:tcW w:w="2165" w:type="pct"/>
            <w:shd w:val="clear" w:color="auto" w:fill="E36C0A" w:themeFill="accent6" w:themeFillShade="BF"/>
          </w:tcPr>
          <w:p w:rsidR="00A076B8" w:rsidRPr="00482ADD" w:rsidRDefault="00A076B8" w:rsidP="00C42F94">
            <w:pPr>
              <w:jc w:val="center"/>
              <w:rPr>
                <w:rFonts w:cs="Arial"/>
                <w:b/>
                <w:bCs/>
                <w:i/>
                <w:sz w:val="24"/>
                <w:lang w:val="en-US"/>
              </w:rPr>
            </w:pPr>
            <w:r w:rsidRPr="00482ADD">
              <w:rPr>
                <w:rFonts w:cs="Arial"/>
                <w:b/>
                <w:bCs/>
                <w:i/>
                <w:sz w:val="24"/>
                <w:lang w:val="en-US"/>
              </w:rPr>
              <w:t>Preventative</w:t>
            </w:r>
          </w:p>
        </w:tc>
        <w:tc>
          <w:tcPr>
            <w:tcW w:w="2835" w:type="pct"/>
            <w:shd w:val="clear" w:color="auto" w:fill="E36C0A" w:themeFill="accent6" w:themeFillShade="BF"/>
          </w:tcPr>
          <w:p w:rsidR="00A076B8" w:rsidRPr="00482ADD" w:rsidRDefault="00A076B8" w:rsidP="00C42F94">
            <w:pPr>
              <w:jc w:val="center"/>
              <w:rPr>
                <w:rFonts w:cs="Arial"/>
                <w:b/>
                <w:bCs/>
                <w:i/>
                <w:sz w:val="24"/>
                <w:lang w:val="en-US"/>
              </w:rPr>
            </w:pPr>
            <w:r w:rsidRPr="00482ADD">
              <w:rPr>
                <w:rFonts w:cs="Arial"/>
                <w:b/>
                <w:bCs/>
                <w:i/>
                <w:sz w:val="24"/>
                <w:lang w:val="en-US"/>
              </w:rPr>
              <w:t>Responsive</w:t>
            </w:r>
          </w:p>
        </w:tc>
      </w:tr>
      <w:tr w:rsidR="00A076B8" w:rsidRPr="00482ADD" w:rsidTr="00C42F94">
        <w:trPr>
          <w:trHeight w:val="380"/>
        </w:trPr>
        <w:tc>
          <w:tcPr>
            <w:tcW w:w="2165" w:type="pct"/>
          </w:tcPr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>Individual Behaviour Plans</w:t>
            </w:r>
          </w:p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>Referral to appropriate service providers</w:t>
            </w:r>
          </w:p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>Mediation</w:t>
            </w:r>
          </w:p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>Consultation with parents, students and support services</w:t>
            </w:r>
          </w:p>
          <w:p w:rsidR="00A076B8" w:rsidRPr="00482ADD" w:rsidRDefault="00A076B8" w:rsidP="00C42F94">
            <w:pPr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835" w:type="pct"/>
          </w:tcPr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>Mediation or restorative justice practices</w:t>
            </w:r>
          </w:p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 xml:space="preserve">In-school detention </w:t>
            </w:r>
          </w:p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 xml:space="preserve">Time-in or time-out </w:t>
            </w:r>
          </w:p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>Service to the school community</w:t>
            </w:r>
          </w:p>
          <w:p w:rsidR="00A076B8" w:rsidRPr="00482ADD" w:rsidRDefault="00A076B8" w:rsidP="00A076B8">
            <w:pPr>
              <w:pStyle w:val="ListParagraph"/>
              <w:numPr>
                <w:ilvl w:val="0"/>
                <w:numId w:val="11"/>
              </w:numPr>
              <w:ind w:left="243" w:hanging="218"/>
              <w:rPr>
                <w:rFonts w:cs="Arial"/>
                <w:bCs/>
                <w:sz w:val="24"/>
                <w:lang w:val="en-US"/>
              </w:rPr>
            </w:pPr>
            <w:r w:rsidRPr="00482ADD">
              <w:rPr>
                <w:rFonts w:cs="Arial"/>
                <w:bCs/>
                <w:sz w:val="24"/>
                <w:lang w:val="en-US"/>
              </w:rPr>
              <w:t>A temporary loss of privileges (e.g participation in extracurricular activities)</w:t>
            </w:r>
          </w:p>
        </w:tc>
      </w:tr>
    </w:tbl>
    <w:p w:rsidR="00A076B8" w:rsidRPr="00482ADD" w:rsidRDefault="00A076B8" w:rsidP="00A076B8">
      <w:pPr>
        <w:jc w:val="center"/>
        <w:rPr>
          <w:b/>
          <w:sz w:val="24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9"/>
        <w:gridCol w:w="7399"/>
      </w:tblGrid>
      <w:tr w:rsidR="00A076B8" w:rsidRPr="00482ADD" w:rsidTr="00A076B8">
        <w:trPr>
          <w:cantSplit/>
        </w:trPr>
        <w:tc>
          <w:tcPr>
            <w:tcW w:w="1038" w:type="pct"/>
            <w:shd w:val="clear" w:color="auto" w:fill="E36C0A"/>
          </w:tcPr>
          <w:p w:rsidR="00A076B8" w:rsidRPr="00482ADD" w:rsidRDefault="00A076B8" w:rsidP="00C42F94">
            <w:pPr>
              <w:rPr>
                <w:b/>
                <w:color w:val="FFFFFF"/>
                <w:sz w:val="24"/>
              </w:rPr>
            </w:pPr>
            <w:r w:rsidRPr="00482ADD">
              <w:rPr>
                <w:b/>
                <w:color w:val="FFFFFF"/>
                <w:sz w:val="24"/>
              </w:rPr>
              <w:t>Strategies to effectively manage classroom behaviour</w:t>
            </w:r>
          </w:p>
        </w:tc>
        <w:tc>
          <w:tcPr>
            <w:tcW w:w="3962" w:type="pct"/>
            <w:shd w:val="clear" w:color="auto" w:fill="E36C0A"/>
          </w:tcPr>
          <w:p w:rsidR="00A076B8" w:rsidRPr="00482ADD" w:rsidRDefault="00A076B8" w:rsidP="00C42F94">
            <w:pPr>
              <w:rPr>
                <w:b/>
                <w:color w:val="FFFFFF"/>
                <w:sz w:val="24"/>
              </w:rPr>
            </w:pPr>
            <w:r w:rsidRPr="00482ADD">
              <w:rPr>
                <w:b/>
                <w:color w:val="FFFFFF"/>
                <w:sz w:val="24"/>
              </w:rPr>
              <w:t>Effective classroom management practices</w:t>
            </w:r>
          </w:p>
          <w:p w:rsidR="00A076B8" w:rsidRPr="00482ADD" w:rsidRDefault="00A076B8" w:rsidP="00C42F94">
            <w:pPr>
              <w:rPr>
                <w:b/>
                <w:color w:val="FFFFFF"/>
                <w:sz w:val="24"/>
              </w:rPr>
            </w:pPr>
          </w:p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bCs/>
                <w:color w:val="FFFFFF"/>
              </w:rPr>
            </w:pPr>
            <w:r w:rsidRPr="00482ADD">
              <w:rPr>
                <w:rFonts w:ascii="Lato" w:hAnsi="Lato"/>
                <w:b/>
                <w:bCs/>
                <w:color w:val="FFFFFF"/>
              </w:rPr>
              <w:t xml:space="preserve">Classroom management strategies are universal practices that are powerful in increasing student achievement (Kratochwill, 2014; Hattie, 2012). These practices help to build a sense of community and foster relationships between teachers and students and among students. Effective classroom management strategies help to prevent student misbehaviour and missed instructional time. </w:t>
            </w:r>
          </w:p>
        </w:tc>
      </w:tr>
      <w:tr w:rsidR="00A076B8" w:rsidRPr="00482ADD" w:rsidTr="00A076B8">
        <w:trPr>
          <w:cantSplit/>
        </w:trPr>
        <w:tc>
          <w:tcPr>
            <w:tcW w:w="1038" w:type="pct"/>
            <w:shd w:val="clear" w:color="auto" w:fill="FBD4B4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auto"/>
              </w:rPr>
            </w:pPr>
            <w:r w:rsidRPr="00482ADD">
              <w:rPr>
                <w:rFonts w:ascii="Lato" w:hAnsi="Lato"/>
                <w:b/>
                <w:bCs/>
                <w:color w:val="auto"/>
              </w:rPr>
              <w:t xml:space="preserve">Foster Positive Relationships in the Classroom Community (Hattie, 2012) </w:t>
            </w:r>
          </w:p>
          <w:p w:rsidR="00A076B8" w:rsidRPr="00482ADD" w:rsidRDefault="00A076B8" w:rsidP="00C42F94">
            <w:pPr>
              <w:rPr>
                <w:b/>
                <w:sz w:val="24"/>
              </w:rPr>
            </w:pPr>
          </w:p>
        </w:tc>
        <w:tc>
          <w:tcPr>
            <w:tcW w:w="3962" w:type="pct"/>
            <w:vAlign w:val="center"/>
          </w:tcPr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Positive, empathetic teacher-student relationships are powerful moderators of classroom management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Welcome students to class by name and encourage classmates to greet each other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Call or send positive notes home to acknowledge positive behaviour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Learn about students’ strengths and needs, interests, families and accomplishments outside school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Build positive relationships among students by providing opportunities for group work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Create the sense that the teacher and all students are working together to learn and grow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Provide social and emotional learning opportunities for all staff and students</w:t>
            </w:r>
          </w:p>
        </w:tc>
      </w:tr>
      <w:tr w:rsidR="00A076B8" w:rsidRPr="00482ADD" w:rsidTr="00A076B8">
        <w:trPr>
          <w:cantSplit/>
          <w:trHeight w:val="2018"/>
        </w:trPr>
        <w:tc>
          <w:tcPr>
            <w:tcW w:w="1038" w:type="pct"/>
            <w:shd w:val="clear" w:color="auto" w:fill="FBD4B4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auto"/>
              </w:rPr>
            </w:pPr>
            <w:r w:rsidRPr="00482ADD">
              <w:rPr>
                <w:rFonts w:ascii="Lato" w:hAnsi="Lato"/>
                <w:b/>
                <w:bCs/>
                <w:color w:val="auto"/>
              </w:rPr>
              <w:lastRenderedPageBreak/>
              <w:t xml:space="preserve">Establish an Inclusive Classroom Environment (APA, 2008) </w:t>
            </w:r>
          </w:p>
          <w:p w:rsidR="00A076B8" w:rsidRPr="00482ADD" w:rsidRDefault="00A076B8" w:rsidP="00C42F94">
            <w:pPr>
              <w:rPr>
                <w:b/>
                <w:sz w:val="24"/>
              </w:rPr>
            </w:pPr>
          </w:p>
        </w:tc>
        <w:tc>
          <w:tcPr>
            <w:tcW w:w="3962" w:type="pct"/>
            <w:vAlign w:val="center"/>
          </w:tcPr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Use a</w:t>
            </w:r>
            <w:bookmarkStart w:id="0" w:name="_GoBack"/>
            <w:bookmarkEnd w:id="0"/>
            <w:r w:rsidRPr="00482ADD">
              <w:rPr>
                <w:rFonts w:ascii="Lato" w:hAnsi="Lato"/>
              </w:rPr>
              <w:t xml:space="preserve">nd reinforce language that is respectful, gender neutral, and free of bias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Learn about and honour cultures that are represented in your classroom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Select curricular materials that reflect the cultures and life experiences of the students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Have high expectations and provide high levels of support for all students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Ensure instruction is matched to students’ skill levels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Encourage and expect participation from all students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Provide additional support to the students who need it</w:t>
            </w:r>
          </w:p>
        </w:tc>
      </w:tr>
      <w:tr w:rsidR="00A076B8" w:rsidRPr="00482ADD" w:rsidTr="00A076B8">
        <w:trPr>
          <w:cantSplit/>
        </w:trPr>
        <w:tc>
          <w:tcPr>
            <w:tcW w:w="1038" w:type="pct"/>
            <w:shd w:val="clear" w:color="auto" w:fill="FBD4B4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auto"/>
              </w:rPr>
            </w:pPr>
            <w:r w:rsidRPr="00482ADD">
              <w:rPr>
                <w:rFonts w:ascii="Lato" w:hAnsi="Lato"/>
                <w:b/>
                <w:bCs/>
                <w:color w:val="auto"/>
              </w:rPr>
              <w:t xml:space="preserve">Make Data-Based Decisions to Support Positive Behaviour </w:t>
            </w:r>
          </w:p>
          <w:p w:rsidR="00A076B8" w:rsidRPr="00482ADD" w:rsidRDefault="00A076B8" w:rsidP="00C42F94">
            <w:pPr>
              <w:rPr>
                <w:b/>
                <w:sz w:val="24"/>
              </w:rPr>
            </w:pPr>
          </w:p>
        </w:tc>
        <w:tc>
          <w:tcPr>
            <w:tcW w:w="3962" w:type="pct"/>
            <w:vAlign w:val="center"/>
          </w:tcPr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Collect, maintain and monitor student behaviour data that includes both positive behaviour and instances of behavioural need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Examine student behaviour data by: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time of day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time of year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location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type of task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day of the week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the students who are involved. </w:t>
            </w:r>
          </w:p>
          <w:p w:rsidR="00A076B8" w:rsidRPr="00482ADD" w:rsidRDefault="00A076B8" w:rsidP="00C42F94">
            <w:pPr>
              <w:pStyle w:val="Default"/>
              <w:rPr>
                <w:rFonts w:ascii="Lato" w:hAnsi="Lato"/>
              </w:rPr>
            </w:pP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Use data to identify positive classroom management strategies that effectively support classroom engagement, and strategies to address potential problems</w:t>
            </w:r>
          </w:p>
        </w:tc>
      </w:tr>
      <w:tr w:rsidR="00A076B8" w:rsidRPr="00482ADD" w:rsidTr="00A076B8">
        <w:trPr>
          <w:cantSplit/>
        </w:trPr>
        <w:tc>
          <w:tcPr>
            <w:tcW w:w="1038" w:type="pct"/>
            <w:shd w:val="clear" w:color="auto" w:fill="E36C0A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FFFFFF"/>
              </w:rPr>
            </w:pPr>
            <w:r w:rsidRPr="00482ADD">
              <w:rPr>
                <w:rFonts w:ascii="Lato" w:hAnsi="Lato"/>
                <w:b/>
                <w:bCs/>
                <w:color w:val="FFFFFF" w:themeColor="background1"/>
              </w:rPr>
              <w:t>Teach, Review and Reinforce Clear Expectations</w:t>
            </w:r>
          </w:p>
        </w:tc>
        <w:tc>
          <w:tcPr>
            <w:tcW w:w="3962" w:type="pct"/>
            <w:shd w:val="clear" w:color="auto" w:fill="E36C0A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FFFFFF" w:themeColor="background1"/>
              </w:rPr>
            </w:pPr>
            <w:r w:rsidRPr="00482ADD">
              <w:rPr>
                <w:rFonts w:ascii="Lato" w:hAnsi="Lato"/>
                <w:b/>
                <w:bCs/>
                <w:color w:val="FFFFFF" w:themeColor="background1"/>
              </w:rPr>
              <w:t xml:space="preserve">Teach, Review and Reinforce Clear Expectations (Newcomber, 2009) </w:t>
            </w:r>
          </w:p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FFFFFF" w:themeColor="background1"/>
              </w:rPr>
            </w:pP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>State classroom behaviour expectations positively (e.g. ‘raise your hand’)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 xml:space="preserve">Establish and maintain consistent behaviour expectations and procedures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 xml:space="preserve">Teach behaviour expectations in the context and location that they occur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>Remind students of expectations prior to the routine or context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>Monitor student behaviour and provide frequent and specific feedback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>Praise or reinforce students for following expectations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>Provide at least four positive comments for every directive or corrective comment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  <w:b/>
                <w:color w:val="FFFFFF" w:themeColor="background1"/>
              </w:rPr>
            </w:pPr>
            <w:r w:rsidRPr="00482ADD">
              <w:rPr>
                <w:rFonts w:ascii="Lato" w:hAnsi="Lato"/>
                <w:color w:val="FFFFFF" w:themeColor="background1"/>
              </w:rPr>
              <w:t>Review procedures/expectations periodically and preventatively</w:t>
            </w:r>
          </w:p>
        </w:tc>
      </w:tr>
      <w:tr w:rsidR="00A076B8" w:rsidRPr="00482ADD" w:rsidTr="00A076B8">
        <w:trPr>
          <w:cantSplit/>
        </w:trPr>
        <w:tc>
          <w:tcPr>
            <w:tcW w:w="1038" w:type="pct"/>
            <w:shd w:val="clear" w:color="auto" w:fill="FBD4B4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auto"/>
              </w:rPr>
            </w:pPr>
            <w:r w:rsidRPr="00482ADD">
              <w:rPr>
                <w:rFonts w:ascii="Lato" w:hAnsi="Lato"/>
                <w:b/>
                <w:bCs/>
                <w:color w:val="auto"/>
              </w:rPr>
              <w:lastRenderedPageBreak/>
              <w:t xml:space="preserve">Optimise the Physical Space of the Classroom (Newcomber, 2009) </w:t>
            </w:r>
          </w:p>
        </w:tc>
        <w:tc>
          <w:tcPr>
            <w:tcW w:w="3962" w:type="pct"/>
          </w:tcPr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Arrange furniture to allow easy traffic flow, make high traffic areas easily accessible and that seating and light arrangements are conducive to work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Ensure that students are supervised in all areas</w:t>
            </w:r>
          </w:p>
        </w:tc>
      </w:tr>
      <w:tr w:rsidR="00A076B8" w:rsidRPr="00482ADD" w:rsidTr="00A076B8">
        <w:trPr>
          <w:cantSplit/>
        </w:trPr>
        <w:tc>
          <w:tcPr>
            <w:tcW w:w="1038" w:type="pct"/>
            <w:shd w:val="clear" w:color="auto" w:fill="FBD4B4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auto"/>
              </w:rPr>
            </w:pPr>
            <w:r w:rsidRPr="00482ADD">
              <w:rPr>
                <w:rFonts w:ascii="Lato" w:hAnsi="Lato"/>
                <w:b/>
                <w:bCs/>
                <w:color w:val="auto"/>
              </w:rPr>
              <w:t xml:space="preserve">Create Routines for Common Activities/Tasks (Newcomber, 2009) </w:t>
            </w:r>
          </w:p>
          <w:p w:rsidR="00A076B8" w:rsidRPr="00482ADD" w:rsidRDefault="00A076B8" w:rsidP="00C42F94">
            <w:pPr>
              <w:rPr>
                <w:b/>
                <w:sz w:val="24"/>
              </w:rPr>
            </w:pPr>
          </w:p>
        </w:tc>
        <w:tc>
          <w:tcPr>
            <w:tcW w:w="3962" w:type="pct"/>
          </w:tcPr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Working in groups versus independently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Communicating with students and families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Turning in homework, grading, and returning homework to students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Getting permission to use the restroom, go to the nurse, etc and rules around getting and returning classroom materials</w:t>
            </w:r>
          </w:p>
        </w:tc>
      </w:tr>
      <w:tr w:rsidR="00A076B8" w:rsidRPr="00482ADD" w:rsidTr="00A076B8">
        <w:trPr>
          <w:cantSplit/>
          <w:trHeight w:val="1447"/>
        </w:trPr>
        <w:tc>
          <w:tcPr>
            <w:tcW w:w="1038" w:type="pct"/>
            <w:shd w:val="clear" w:color="auto" w:fill="FBD4B4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auto"/>
              </w:rPr>
            </w:pPr>
            <w:r w:rsidRPr="00482ADD">
              <w:rPr>
                <w:rFonts w:ascii="Lato" w:hAnsi="Lato"/>
                <w:b/>
                <w:bCs/>
                <w:color w:val="auto"/>
              </w:rPr>
              <w:t xml:space="preserve">Provide Engaging Instruction (Kratochwill, 2014; Newcomber, 2009) </w:t>
            </w:r>
          </w:p>
          <w:p w:rsidR="00A076B8" w:rsidRPr="00482ADD" w:rsidRDefault="00A076B8" w:rsidP="00C42F94">
            <w:pPr>
              <w:rPr>
                <w:b/>
                <w:sz w:val="24"/>
              </w:rPr>
            </w:pPr>
          </w:p>
        </w:tc>
        <w:tc>
          <w:tcPr>
            <w:tcW w:w="3962" w:type="pct"/>
          </w:tcPr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Establish clear learning goals and encourage higher-order thinking skills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Vary the method (lecture, audio, and video) and response format (group versus individual)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Vary response type (oral, written, active)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Move around the room, scan the room and interact with students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Positively and warmly acknowledge effort and participation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Use media and technology</w:t>
            </w:r>
          </w:p>
        </w:tc>
      </w:tr>
      <w:tr w:rsidR="00A076B8" w:rsidRPr="00482ADD" w:rsidTr="00A076B8">
        <w:trPr>
          <w:cantSplit/>
        </w:trPr>
        <w:tc>
          <w:tcPr>
            <w:tcW w:w="1038" w:type="pct"/>
            <w:shd w:val="clear" w:color="auto" w:fill="FBD4B4"/>
          </w:tcPr>
          <w:p w:rsidR="00A076B8" w:rsidRPr="00482ADD" w:rsidRDefault="00A076B8" w:rsidP="00C42F94">
            <w:pPr>
              <w:pStyle w:val="Default"/>
              <w:rPr>
                <w:rFonts w:ascii="Lato" w:hAnsi="Lato"/>
                <w:b/>
                <w:color w:val="auto"/>
              </w:rPr>
            </w:pPr>
            <w:r w:rsidRPr="00482ADD">
              <w:rPr>
                <w:rFonts w:ascii="Lato" w:hAnsi="Lato"/>
                <w:b/>
                <w:bCs/>
                <w:color w:val="auto"/>
              </w:rPr>
              <w:t xml:space="preserve">Responding to Potential Problems (Newcomber, 2009) </w:t>
            </w:r>
          </w:p>
          <w:p w:rsidR="00A076B8" w:rsidRPr="00482ADD" w:rsidRDefault="00A076B8" w:rsidP="00C42F94">
            <w:pPr>
              <w:rPr>
                <w:b/>
                <w:sz w:val="24"/>
              </w:rPr>
            </w:pPr>
          </w:p>
        </w:tc>
        <w:tc>
          <w:tcPr>
            <w:tcW w:w="3962" w:type="pct"/>
          </w:tcPr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Identify the issue and act quickly and calmly, and maintain emotional objectivity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Make simple, positively stated requests to help develop students’ self-control and self-regulation skills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Acknowledge students who are engaging in appropriate behaviour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 xml:space="preserve">Identify the function of the behaviour and any related skill deficits 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Develop a plan that addresses the function and skill deficits of the student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Teach, model and reinforce skills or replacement behaviours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Recognise the student’s positive attempts at changing behaviour and objectively follow school procedures for major behaviour problems</w:t>
            </w:r>
          </w:p>
          <w:p w:rsidR="00A076B8" w:rsidRPr="00482ADD" w:rsidRDefault="00A076B8" w:rsidP="00A076B8">
            <w:pPr>
              <w:pStyle w:val="Default"/>
              <w:numPr>
                <w:ilvl w:val="0"/>
                <w:numId w:val="10"/>
              </w:numPr>
              <w:ind w:left="317" w:hanging="283"/>
              <w:rPr>
                <w:rFonts w:ascii="Lato" w:hAnsi="Lato"/>
              </w:rPr>
            </w:pPr>
            <w:r w:rsidRPr="00482ADD">
              <w:rPr>
                <w:rFonts w:ascii="Lato" w:hAnsi="Lato"/>
              </w:rPr>
              <w:t>Preserve students’ dignity, through encouragement, positive feedback which encourages students to participate rather than inhibiting their desire to try</w:t>
            </w:r>
          </w:p>
        </w:tc>
      </w:tr>
    </w:tbl>
    <w:p w:rsidR="00A076B8" w:rsidRPr="00482ADD" w:rsidRDefault="00A076B8" w:rsidP="00A076B8">
      <w:pPr>
        <w:rPr>
          <w:rFonts w:cs="Arial"/>
          <w:b/>
          <w:bCs/>
          <w:sz w:val="24"/>
          <w:lang w:val="en-US"/>
        </w:rPr>
      </w:pPr>
    </w:p>
    <w:p w:rsidR="00A076B8" w:rsidRDefault="00A076B8">
      <w:pPr>
        <w:rPr>
          <w:rFonts w:cs="Arial"/>
          <w:b/>
          <w:bCs/>
          <w:iCs/>
          <w:sz w:val="24"/>
        </w:rPr>
      </w:pPr>
      <w:r>
        <w:rPr>
          <w:rFonts w:cs="Arial"/>
          <w:b/>
          <w:bCs/>
          <w:iCs/>
          <w:sz w:val="24"/>
        </w:rPr>
        <w:br w:type="page"/>
      </w:r>
    </w:p>
    <w:p w:rsidR="00A076B8" w:rsidRPr="00482ADD" w:rsidRDefault="00A076B8" w:rsidP="00A076B8">
      <w:pPr>
        <w:tabs>
          <w:tab w:val="left" w:pos="1227"/>
        </w:tabs>
        <w:rPr>
          <w:rFonts w:cs="Arial"/>
          <w:sz w:val="24"/>
        </w:rPr>
      </w:pPr>
      <w:r w:rsidRPr="00482ADD">
        <w:rPr>
          <w:rFonts w:cs="Arial"/>
          <w:b/>
          <w:bCs/>
          <w:iCs/>
          <w:sz w:val="24"/>
        </w:rPr>
        <w:lastRenderedPageBreak/>
        <w:t xml:space="preserve">References: </w:t>
      </w:r>
    </w:p>
    <w:p w:rsidR="00A076B8" w:rsidRPr="00482ADD" w:rsidRDefault="00A076B8" w:rsidP="00A076B8">
      <w:pPr>
        <w:numPr>
          <w:ilvl w:val="0"/>
          <w:numId w:val="12"/>
        </w:numPr>
        <w:tabs>
          <w:tab w:val="clear" w:pos="720"/>
          <w:tab w:val="left" w:pos="1227"/>
        </w:tabs>
        <w:ind w:left="360"/>
        <w:rPr>
          <w:rFonts w:cs="Arial"/>
          <w:sz w:val="24"/>
        </w:rPr>
      </w:pPr>
      <w:r w:rsidRPr="00482ADD">
        <w:rPr>
          <w:rFonts w:cs="Arial"/>
          <w:sz w:val="24"/>
        </w:rPr>
        <w:t xml:space="preserve">Hattie, J. (2012). </w:t>
      </w:r>
      <w:r w:rsidRPr="00482ADD">
        <w:rPr>
          <w:rFonts w:cs="Arial"/>
          <w:i/>
          <w:iCs/>
          <w:sz w:val="24"/>
        </w:rPr>
        <w:t xml:space="preserve">Visible Learning for Teachers: Maximizing impact on learning. </w:t>
      </w:r>
      <w:r w:rsidRPr="00482ADD">
        <w:rPr>
          <w:rFonts w:cs="Arial"/>
          <w:sz w:val="24"/>
        </w:rPr>
        <w:t xml:space="preserve">New York, New York: Routledge. </w:t>
      </w:r>
    </w:p>
    <w:p w:rsidR="00A076B8" w:rsidRPr="00482ADD" w:rsidRDefault="00A076B8" w:rsidP="00A076B8">
      <w:pPr>
        <w:numPr>
          <w:ilvl w:val="0"/>
          <w:numId w:val="12"/>
        </w:numPr>
        <w:tabs>
          <w:tab w:val="clear" w:pos="720"/>
          <w:tab w:val="left" w:pos="1227"/>
        </w:tabs>
        <w:ind w:left="360"/>
        <w:rPr>
          <w:rFonts w:cs="Arial"/>
          <w:sz w:val="24"/>
        </w:rPr>
      </w:pPr>
      <w:r w:rsidRPr="00482ADD">
        <w:rPr>
          <w:rFonts w:cs="Arial"/>
          <w:sz w:val="24"/>
        </w:rPr>
        <w:t xml:space="preserve">Kratochwill, T. (2014). Classroom Management Teachers Modules. American Psychological Association. Retrieved from https://www.apa.org/education/k12/classroom-mgmt.aspx?item=1# </w:t>
      </w:r>
    </w:p>
    <w:p w:rsidR="00A076B8" w:rsidRPr="00482ADD" w:rsidRDefault="00A076B8" w:rsidP="00A076B8">
      <w:pPr>
        <w:numPr>
          <w:ilvl w:val="0"/>
          <w:numId w:val="12"/>
        </w:numPr>
        <w:tabs>
          <w:tab w:val="clear" w:pos="720"/>
          <w:tab w:val="left" w:pos="1227"/>
        </w:tabs>
        <w:ind w:left="360"/>
        <w:rPr>
          <w:rFonts w:cs="Arial"/>
          <w:sz w:val="24"/>
        </w:rPr>
      </w:pPr>
      <w:r w:rsidRPr="00482ADD">
        <w:rPr>
          <w:rFonts w:cs="Arial"/>
          <w:sz w:val="24"/>
        </w:rPr>
        <w:t xml:space="preserve">Newcomber, L. (2009). Universal positive behavior support for the classroom. OSEP Technical Assistance Center on Positive Behavioral Interventions &amp; Supports </w:t>
      </w:r>
      <w:r w:rsidRPr="00482ADD">
        <w:rPr>
          <w:rFonts w:cs="Arial"/>
          <w:i/>
          <w:iCs/>
          <w:sz w:val="24"/>
        </w:rPr>
        <w:t>Newsletter Volume 4</w:t>
      </w:r>
      <w:r w:rsidRPr="00482ADD">
        <w:rPr>
          <w:rFonts w:cs="Arial"/>
          <w:sz w:val="24"/>
        </w:rPr>
        <w:t xml:space="preserve">, Issue 4. http://www.pbis.org/pbis_newsletter/volume_4/issue4.aspx. </w:t>
      </w:r>
    </w:p>
    <w:p w:rsidR="00874EDB" w:rsidRPr="00874EDB" w:rsidRDefault="00874EDB" w:rsidP="00A076B8">
      <w:pPr>
        <w:pStyle w:val="Heading2"/>
      </w:pPr>
    </w:p>
    <w:sectPr w:rsidR="00874EDB" w:rsidRPr="00874EDB" w:rsidSect="00AF78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43" w:right="1134" w:bottom="1134" w:left="1418" w:header="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B8" w:rsidRDefault="00A076B8">
      <w:r>
        <w:separator/>
      </w:r>
    </w:p>
  </w:endnote>
  <w:endnote w:type="continuationSeparator" w:id="0">
    <w:p w:rsidR="00A076B8" w:rsidRDefault="00A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8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D27" w:rsidRDefault="00323D27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DBEF225" wp14:editId="674B854E">
                  <wp:simplePos x="0" y="0"/>
                  <wp:positionH relativeFrom="margin">
                    <wp:posOffset>4681220</wp:posOffset>
                  </wp:positionH>
                  <wp:positionV relativeFrom="margin">
                    <wp:posOffset>8758555</wp:posOffset>
                  </wp:positionV>
                  <wp:extent cx="1583690" cy="200025"/>
                  <wp:effectExtent l="0" t="0" r="16510" b="9525"/>
                  <wp:wrapTight wrapText="bothSides">
                    <wp:wrapPolygon edited="0">
                      <wp:start x="0" y="0"/>
                      <wp:lineTo x="0" y="20571"/>
                      <wp:lineTo x="21565" y="20571"/>
                      <wp:lineTo x="21565" y="0"/>
                      <wp:lineTo x="0" y="0"/>
                    </wp:wrapPolygon>
                  </wp:wrapTight>
                  <wp:docPr id="2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36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D27" w:rsidRDefault="00323D27" w:rsidP="00323D27">
                              <w:pPr>
                                <w:pStyle w:val="web"/>
                              </w:pPr>
                              <w:r>
                                <w:t>www.education.nt.gov.au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DBEF225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368.6pt;margin-top:689.65pt;width:124.7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" filled="f" stroked="f">
                  <v:textbox inset="0,0,0,0">
                    <w:txbxContent>
                      <w:p w:rsidR="00323D27" w:rsidRDefault="00323D27" w:rsidP="00323D27">
                        <w:pPr>
                          <w:pStyle w:val="web"/>
                        </w:pPr>
                        <w:r>
                          <w:t>www.education.nt.gov.au</w:t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3D27" w:rsidRDefault="0032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94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D27" w:rsidRDefault="00323D27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7D26C82" wp14:editId="35B44A19">
                  <wp:simplePos x="0" y="0"/>
                  <wp:positionH relativeFrom="margin">
                    <wp:posOffset>4690745</wp:posOffset>
                  </wp:positionH>
                  <wp:positionV relativeFrom="margin">
                    <wp:posOffset>8749030</wp:posOffset>
                  </wp:positionV>
                  <wp:extent cx="1583690" cy="200025"/>
                  <wp:effectExtent l="0" t="0" r="16510" b="9525"/>
                  <wp:wrapTight wrapText="bothSides">
                    <wp:wrapPolygon edited="0">
                      <wp:start x="0" y="0"/>
                      <wp:lineTo x="0" y="20571"/>
                      <wp:lineTo x="21565" y="20571"/>
                      <wp:lineTo x="21565" y="0"/>
                      <wp:lineTo x="0" y="0"/>
                    </wp:wrapPolygon>
                  </wp:wrapTight>
                  <wp:docPr id="4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36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D27" w:rsidRDefault="00323D27" w:rsidP="00323D27">
                              <w:pPr>
                                <w:pStyle w:val="web"/>
                              </w:pPr>
                              <w:r>
                                <w:t>www.education.nt.gov.au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D26C8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69.35pt;margin-top:688.9pt;width:124.7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" filled="f" stroked="f">
                  <v:textbox inset="0,0,0,0">
                    <w:txbxContent>
                      <w:p w:rsidR="00323D27" w:rsidRDefault="00323D27" w:rsidP="00323D27">
                        <w:pPr>
                          <w:pStyle w:val="web"/>
                        </w:pPr>
                        <w:r>
                          <w:t>www.education.nt.gov.au</w:t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DDB" w:rsidRDefault="00A9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B8" w:rsidRDefault="00A076B8">
      <w:r>
        <w:separator/>
      </w:r>
    </w:p>
  </w:footnote>
  <w:footnote w:type="continuationSeparator" w:id="0">
    <w:p w:rsidR="00A076B8" w:rsidRDefault="00A0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56192" behindDoc="1" locked="0" layoutInCell="0" allowOverlap="1" wp14:anchorId="3BAD4137" wp14:editId="00ABB340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p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  <w:r>
      <w:tab/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:rsidTr="001462FF">
      <w:trPr>
        <w:cantSplit/>
        <w:trHeight w:hRule="exact" w:val="64"/>
      </w:trPr>
      <w:tc>
        <w:tcPr>
          <w:tcW w:w="10206" w:type="dxa"/>
          <w:vAlign w:val="center"/>
        </w:tcPr>
        <w:p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:rsidR="00531BBC" w:rsidRPr="00531BBC" w:rsidRDefault="00531BBC" w:rsidP="00531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FF" w:rsidRPr="001462FF" w:rsidRDefault="00AF785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66432" behindDoc="1" locked="0" layoutInCell="0" allowOverlap="1" wp14:anchorId="3ED00145" wp14:editId="0E09C589">
          <wp:simplePos x="0" y="0"/>
          <wp:positionH relativeFrom="margin">
            <wp:posOffset>-479425</wp:posOffset>
          </wp:positionH>
          <wp:positionV relativeFrom="margin">
            <wp:posOffset>-1012190</wp:posOffset>
          </wp:positionV>
          <wp:extent cx="2169160" cy="701040"/>
          <wp:effectExtent l="0" t="0" r="0" b="381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D49">
      <w:rPr>
        <w:noProof/>
        <w:lang w:eastAsia="en-A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4404995</wp:posOffset>
          </wp:positionH>
          <wp:positionV relativeFrom="page">
            <wp:posOffset>10160</wp:posOffset>
          </wp:positionV>
          <wp:extent cx="447675" cy="1032510"/>
          <wp:effectExtent l="0" t="0" r="9525" b="0"/>
          <wp:wrapSquare wrapText="bothSides"/>
          <wp:docPr id="14" name="Picture 14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2FF" w:rsidRPr="001462FF">
      <w:rPr>
        <w:noProof/>
        <w:lang w:eastAsia="en-AU"/>
      </w:rPr>
      <w:drawing>
        <wp:anchor distT="114300" distB="114300" distL="114300" distR="114300" simplePos="0" relativeHeight="251662336" behindDoc="1" locked="0" layoutInCell="0" allowOverlap="1" wp14:anchorId="3DB01872" wp14:editId="27A6A335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462FF" w:rsidRDefault="001462FF" w:rsidP="001462FF">
    <w:pPr>
      <w:pStyle w:val="Header"/>
    </w:pPr>
  </w:p>
  <w:p w:rsidR="001462FF" w:rsidRPr="001462FF" w:rsidRDefault="001462FF" w:rsidP="001B42CD">
    <w:pPr>
      <w:pStyle w:val="Header"/>
      <w:tabs>
        <w:tab w:val="left" w:pos="284"/>
      </w:tabs>
    </w:pPr>
  </w:p>
  <w:p w:rsidR="001462FF" w:rsidRPr="001462FF" w:rsidRDefault="001462FF" w:rsidP="001462FF">
    <w:pPr>
      <w:pStyle w:val="Header"/>
    </w:pPr>
    <w:r w:rsidRPr="001462FF">
      <w:tab/>
    </w:r>
  </w:p>
  <w:p w:rsidR="001462FF" w:rsidRPr="001462FF" w:rsidRDefault="001462FF" w:rsidP="001462FF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935CED" wp14:editId="1A01F5D7">
              <wp:simplePos x="0" y="0"/>
              <wp:positionH relativeFrom="page">
                <wp:posOffset>5826125</wp:posOffset>
              </wp:positionH>
              <wp:positionV relativeFrom="page">
                <wp:posOffset>699297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2FF" w:rsidRDefault="001462FF" w:rsidP="001462FF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1462FF" w:rsidRDefault="001462FF" w:rsidP="001462FF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35CED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58.75pt;margin-top:55.05pt;width:12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" filled="f" stroked="f">
              <v:textbox inset="0,0,0,0">
                <w:txbxContent>
                  <w:p w:rsidR="001462FF" w:rsidRDefault="001462FF" w:rsidP="001462FF">
                    <w:pPr>
                      <w:pStyle w:val="Departmentof"/>
                    </w:pPr>
                    <w:r>
                      <w:t>Department of</w:t>
                    </w:r>
                  </w:p>
                  <w:p w:rsidR="001462FF" w:rsidRDefault="001462FF" w:rsidP="001462FF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1462FF" w:rsidRPr="001462FF" w:rsidRDefault="001462FF" w:rsidP="001462FF">
    <w:pPr>
      <w:pStyle w:val="Header"/>
    </w:pPr>
  </w:p>
  <w:p w:rsidR="001462FF" w:rsidRDefault="001462FF" w:rsidP="00AF7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0CFCB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13D17"/>
    <w:multiLevelType w:val="hybridMultilevel"/>
    <w:tmpl w:val="3FB6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38C6"/>
    <w:multiLevelType w:val="hybridMultilevel"/>
    <w:tmpl w:val="95788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5B8B"/>
    <w:multiLevelType w:val="hybridMultilevel"/>
    <w:tmpl w:val="63C2A4A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C7B5E"/>
    <w:multiLevelType w:val="hybridMultilevel"/>
    <w:tmpl w:val="243C684C"/>
    <w:lvl w:ilvl="0" w:tplc="91F62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9732B"/>
    <w:multiLevelType w:val="hybridMultilevel"/>
    <w:tmpl w:val="C694BAE4"/>
    <w:lvl w:ilvl="0" w:tplc="7A5E0EB2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45174D"/>
    <w:multiLevelType w:val="hybridMultilevel"/>
    <w:tmpl w:val="EF16E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9"/>
    <w:rsid w:val="001462FF"/>
    <w:rsid w:val="00172AC4"/>
    <w:rsid w:val="001807DC"/>
    <w:rsid w:val="001B322C"/>
    <w:rsid w:val="001B42CD"/>
    <w:rsid w:val="001B7375"/>
    <w:rsid w:val="001E1306"/>
    <w:rsid w:val="00281CF7"/>
    <w:rsid w:val="00287D49"/>
    <w:rsid w:val="002B514E"/>
    <w:rsid w:val="002E249F"/>
    <w:rsid w:val="00323D27"/>
    <w:rsid w:val="00377583"/>
    <w:rsid w:val="003A2470"/>
    <w:rsid w:val="003E1A65"/>
    <w:rsid w:val="00415E95"/>
    <w:rsid w:val="00417D49"/>
    <w:rsid w:val="004C28B1"/>
    <w:rsid w:val="004F44B5"/>
    <w:rsid w:val="00520ED8"/>
    <w:rsid w:val="00526256"/>
    <w:rsid w:val="005263FB"/>
    <w:rsid w:val="00531BBC"/>
    <w:rsid w:val="0054386E"/>
    <w:rsid w:val="005A2D9C"/>
    <w:rsid w:val="006959BF"/>
    <w:rsid w:val="00696484"/>
    <w:rsid w:val="006A30E8"/>
    <w:rsid w:val="006A5684"/>
    <w:rsid w:val="006D091D"/>
    <w:rsid w:val="00730A86"/>
    <w:rsid w:val="007749DC"/>
    <w:rsid w:val="00803B0E"/>
    <w:rsid w:val="00821EFF"/>
    <w:rsid w:val="00837D62"/>
    <w:rsid w:val="00837D8A"/>
    <w:rsid w:val="008400F4"/>
    <w:rsid w:val="00874EDB"/>
    <w:rsid w:val="008A0F8C"/>
    <w:rsid w:val="00A076B8"/>
    <w:rsid w:val="00A1786D"/>
    <w:rsid w:val="00A6361A"/>
    <w:rsid w:val="00A653CD"/>
    <w:rsid w:val="00A67393"/>
    <w:rsid w:val="00A97DDB"/>
    <w:rsid w:val="00AB4A9B"/>
    <w:rsid w:val="00AF785F"/>
    <w:rsid w:val="00B13D69"/>
    <w:rsid w:val="00B82F6F"/>
    <w:rsid w:val="00B85FAF"/>
    <w:rsid w:val="00B920A7"/>
    <w:rsid w:val="00B92D9E"/>
    <w:rsid w:val="00BC1CDA"/>
    <w:rsid w:val="00C34B86"/>
    <w:rsid w:val="00D01B04"/>
    <w:rsid w:val="00DA5FCB"/>
    <w:rsid w:val="00DF02C7"/>
    <w:rsid w:val="00E21391"/>
    <w:rsid w:val="00E27DB8"/>
    <w:rsid w:val="00E970FB"/>
    <w:rsid w:val="00E97A90"/>
    <w:rsid w:val="00F0066E"/>
    <w:rsid w:val="00F053D9"/>
    <w:rsid w:val="00F6002B"/>
    <w:rsid w:val="00F87F41"/>
    <w:rsid w:val="00F927C3"/>
    <w:rsid w:val="00FB6EB1"/>
    <w:rsid w:val="00FF16A4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141CC-BAAB-4A34-9866-EB28E34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4B86"/>
    <w:pPr>
      <w:keepNext/>
      <w:spacing w:before="240" w:after="120"/>
      <w:jc w:val="center"/>
      <w:outlineLvl w:val="0"/>
    </w:pPr>
    <w:rPr>
      <w:rFonts w:ascii="Lato Black" w:hAnsi="Lato Black" w:cs="Arial"/>
      <w:b/>
      <w:bCs/>
      <w:caps/>
      <w:color w:val="002868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C34B86"/>
    <w:rPr>
      <w:rFonts w:ascii="Lato Black" w:eastAsia="Times New Roman" w:hAnsi="Lato Black" w:cs="Arial"/>
      <w:b/>
      <w:bCs/>
      <w:caps/>
      <w:color w:val="002868"/>
      <w:sz w:val="52"/>
      <w:szCs w:val="32"/>
      <w:lang w:eastAsia="en-US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9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90"/>
    <w:rPr>
      <w:rFonts w:ascii="Lato" w:eastAsia="Times New Roman" w:hAnsi="Lato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F78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6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A076B8"/>
    <w:pPr>
      <w:numPr>
        <w:numId w:val="12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867C-11BB-484A-8F82-7B9D3F73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5023</Characters>
  <Application>Microsoft Office Word</Application>
  <DocSecurity>0</DocSecurity>
  <Lines>186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Dearaujo</dc:creator>
  <cp:lastModifiedBy>Margarida Dearaujo</cp:lastModifiedBy>
  <cp:revision>1</cp:revision>
  <cp:lastPrinted>2016-01-07T05:12:00Z</cp:lastPrinted>
  <dcterms:created xsi:type="dcterms:W3CDTF">2019-08-16T05:35:00Z</dcterms:created>
  <dcterms:modified xsi:type="dcterms:W3CDTF">2019-08-16T05:38:00Z</dcterms:modified>
</cp:coreProperties>
</file>