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CA" w:rsidRPr="00195D9D" w:rsidRDefault="00556473" w:rsidP="001913E6">
      <w:pPr>
        <w:rPr>
          <w:rFonts w:ascii="Lato" w:hAnsi="Lato" w:cs="Arial"/>
          <w:bCs/>
          <w:sz w:val="24"/>
        </w:rPr>
      </w:pPr>
      <w:bookmarkStart w:id="0" w:name="_GoBack"/>
      <w:bookmarkEnd w:id="0"/>
      <w:r w:rsidRPr="00195D9D">
        <w:rPr>
          <w:rFonts w:ascii="Lato" w:hAnsi="Lato" w:cs="Arial"/>
          <w:bCs/>
          <w:sz w:val="24"/>
        </w:rPr>
        <w:t xml:space="preserve">This document should be read in conjunction with </w:t>
      </w:r>
      <w:r w:rsidR="00CB66AE">
        <w:rPr>
          <w:rFonts w:ascii="Lato" w:hAnsi="Lato" w:cs="Arial"/>
          <w:b/>
          <w:bCs/>
          <w:sz w:val="24"/>
        </w:rPr>
        <w:t>Registration or Variation to Registration for a Non-Government School</w:t>
      </w:r>
      <w:r w:rsidRPr="00195D9D">
        <w:rPr>
          <w:rFonts w:ascii="Lato" w:hAnsi="Lato" w:cs="Arial"/>
          <w:bCs/>
          <w:sz w:val="24"/>
        </w:rPr>
        <w:t xml:space="preserve"> procedures and guidelines document</w:t>
      </w:r>
      <w:r w:rsidR="00F312FB" w:rsidRPr="00195D9D">
        <w:rPr>
          <w:rFonts w:ascii="Lato" w:hAnsi="Lato" w:cs="Arial"/>
          <w:bCs/>
          <w:sz w:val="24"/>
        </w:rPr>
        <w:t>.</w:t>
      </w:r>
    </w:p>
    <w:p w:rsidR="00320702" w:rsidRPr="00195D9D" w:rsidRDefault="00320702" w:rsidP="001913E6">
      <w:pPr>
        <w:rPr>
          <w:rFonts w:ascii="Lato" w:hAnsi="Lato" w:cs="Arial"/>
          <w:bCs/>
          <w:sz w:val="24"/>
        </w:rPr>
      </w:pPr>
    </w:p>
    <w:p w:rsidR="0057392D" w:rsidRPr="00195D9D" w:rsidRDefault="0057392D" w:rsidP="00DC586A">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rPr>
        <w:t>POLICY</w:t>
      </w:r>
      <w:r w:rsidR="00112F67" w:rsidRPr="00195D9D">
        <w:rPr>
          <w:rFonts w:ascii="Lato" w:hAnsi="Lato" w:cs="Arial"/>
          <w:b/>
          <w:bCs/>
          <w:sz w:val="28"/>
          <w:szCs w:val="28"/>
        </w:rPr>
        <w:t xml:space="preserve"> </w:t>
      </w:r>
    </w:p>
    <w:p w:rsidR="001913E6" w:rsidRPr="00195D9D" w:rsidRDefault="001913E6" w:rsidP="00F312FB">
      <w:pPr>
        <w:ind w:left="426"/>
        <w:rPr>
          <w:rFonts w:ascii="Lato" w:hAnsi="Lato" w:cs="Arial"/>
          <w:bCs/>
          <w:sz w:val="24"/>
          <w:lang w:val="en-US"/>
        </w:rPr>
      </w:pPr>
    </w:p>
    <w:p w:rsidR="005121C3" w:rsidRPr="00A2586A" w:rsidRDefault="005121C3" w:rsidP="00A2586A">
      <w:pPr>
        <w:ind w:right="-2"/>
        <w:rPr>
          <w:rFonts w:ascii="Lato" w:hAnsi="Lato" w:cs="Arial"/>
          <w:sz w:val="24"/>
        </w:rPr>
      </w:pPr>
      <w:r w:rsidRPr="00A2586A">
        <w:rPr>
          <w:rFonts w:ascii="Lato" w:hAnsi="Lato" w:cs="Arial"/>
          <w:sz w:val="24"/>
        </w:rPr>
        <w:t xml:space="preserve">All non-government schools (NGS) in the Northern Territory must be registered under Part 7 of the </w:t>
      </w:r>
      <w:r w:rsidRPr="00A2586A">
        <w:rPr>
          <w:rFonts w:ascii="Lato" w:hAnsi="Lato" w:cs="Arial"/>
          <w:i/>
          <w:sz w:val="24"/>
        </w:rPr>
        <w:t>Education Act</w:t>
      </w:r>
      <w:r w:rsidRPr="00A2586A">
        <w:rPr>
          <w:rFonts w:ascii="Lato" w:hAnsi="Lato" w:cs="Arial"/>
          <w:sz w:val="24"/>
        </w:rPr>
        <w:t xml:space="preserve">. The registration must specify conditions of the registration, including but not limited to the educational programs the school is authorised to provide and the year levels of the school’s students. </w:t>
      </w:r>
    </w:p>
    <w:p w:rsidR="005121C3" w:rsidRPr="003E7CD0" w:rsidRDefault="005121C3" w:rsidP="00A2586A">
      <w:pPr>
        <w:ind w:right="-2"/>
        <w:rPr>
          <w:rFonts w:ascii="Lato" w:hAnsi="Lato" w:cs="Arial"/>
          <w:sz w:val="24"/>
        </w:rPr>
      </w:pPr>
    </w:p>
    <w:p w:rsidR="005121C3" w:rsidRPr="00A2586A" w:rsidRDefault="005121C3" w:rsidP="00A2586A">
      <w:pPr>
        <w:ind w:right="-2"/>
        <w:rPr>
          <w:rFonts w:ascii="Lato" w:hAnsi="Lato" w:cs="Arial"/>
          <w:sz w:val="24"/>
        </w:rPr>
      </w:pPr>
      <w:r w:rsidRPr="00A2586A">
        <w:rPr>
          <w:rFonts w:ascii="Lato" w:hAnsi="Lato" w:cs="Arial"/>
          <w:sz w:val="24"/>
        </w:rPr>
        <w:t>To register a new NGS, or to vary the registration conditions of a currently registered NGS, a written a</w:t>
      </w:r>
      <w:r w:rsidR="00090C1F" w:rsidRPr="00A2586A">
        <w:rPr>
          <w:rFonts w:ascii="Lato" w:hAnsi="Lato" w:cs="Arial"/>
          <w:sz w:val="24"/>
        </w:rPr>
        <w:t xml:space="preserve">pplication must be made to the </w:t>
      </w:r>
      <w:r w:rsidR="00D613FC" w:rsidRPr="00A2586A">
        <w:rPr>
          <w:rFonts w:ascii="Lato" w:hAnsi="Lato" w:cs="Arial"/>
          <w:sz w:val="24"/>
        </w:rPr>
        <w:t>r</w:t>
      </w:r>
      <w:r w:rsidR="00090C1F" w:rsidRPr="00A2586A">
        <w:rPr>
          <w:rFonts w:ascii="Lato" w:hAnsi="Lato" w:cs="Arial"/>
          <w:sz w:val="24"/>
        </w:rPr>
        <w:t>egistrar of n</w:t>
      </w:r>
      <w:r w:rsidRPr="00A2586A">
        <w:rPr>
          <w:rFonts w:ascii="Lato" w:hAnsi="Lato" w:cs="Arial"/>
          <w:sz w:val="24"/>
        </w:rPr>
        <w:t>on-government schools (the registrar) at least one year before the school begins to provide educational programs or the va</w:t>
      </w:r>
      <w:r w:rsidR="00090C1F" w:rsidRPr="00A2586A">
        <w:rPr>
          <w:rFonts w:ascii="Lato" w:hAnsi="Lato" w:cs="Arial"/>
          <w:sz w:val="24"/>
        </w:rPr>
        <w:t xml:space="preserve">riation is to take effect. The </w:t>
      </w:r>
      <w:r w:rsidR="00D613FC" w:rsidRPr="00A2586A">
        <w:rPr>
          <w:rFonts w:ascii="Lato" w:hAnsi="Lato" w:cs="Arial"/>
          <w:sz w:val="24"/>
        </w:rPr>
        <w:t>r</w:t>
      </w:r>
      <w:r w:rsidRPr="00A2586A">
        <w:rPr>
          <w:rFonts w:ascii="Lato" w:hAnsi="Lato" w:cs="Arial"/>
          <w:sz w:val="24"/>
        </w:rPr>
        <w:t>egistrar may reduce that period in appropriate cases.</w:t>
      </w:r>
    </w:p>
    <w:p w:rsidR="00E84AD3" w:rsidRPr="00E84AD3" w:rsidRDefault="00E84AD3" w:rsidP="00A2586A">
      <w:pPr>
        <w:pStyle w:val="ListParagraph"/>
        <w:rPr>
          <w:rFonts w:ascii="Lato" w:hAnsi="Lato" w:cs="Arial"/>
          <w:sz w:val="24"/>
        </w:rPr>
      </w:pPr>
    </w:p>
    <w:p w:rsidR="00E84AD3" w:rsidRPr="00A2586A" w:rsidRDefault="00E84AD3" w:rsidP="00A2586A">
      <w:pPr>
        <w:ind w:right="-2"/>
        <w:rPr>
          <w:rFonts w:ascii="Lato" w:hAnsi="Lato" w:cs="Arial"/>
          <w:sz w:val="24"/>
        </w:rPr>
      </w:pPr>
      <w:r w:rsidRPr="00A2586A">
        <w:rPr>
          <w:rFonts w:ascii="Lato" w:hAnsi="Lato" w:cs="Arial"/>
          <w:sz w:val="24"/>
        </w:rPr>
        <w:t xml:space="preserve">Applications to register a NGS or vary the registration of an existing NGS must be in writing and accompanied by the </w:t>
      </w:r>
      <w:r w:rsidR="009B1B6F">
        <w:rPr>
          <w:rFonts w:ascii="Lato" w:hAnsi="Lato" w:cs="Arial"/>
          <w:sz w:val="24"/>
        </w:rPr>
        <w:t xml:space="preserve">fee prescribed by the </w:t>
      </w:r>
      <w:r w:rsidR="009B1B6F" w:rsidRPr="009B1B6F">
        <w:rPr>
          <w:rFonts w:ascii="Lato" w:hAnsi="Lato" w:cs="Arial"/>
          <w:i/>
          <w:sz w:val="24"/>
        </w:rPr>
        <w:t>Education Regulations</w:t>
      </w:r>
      <w:r w:rsidR="009B1B6F">
        <w:rPr>
          <w:rFonts w:ascii="Lato" w:hAnsi="Lato" w:cs="Arial"/>
          <w:sz w:val="24"/>
        </w:rPr>
        <w:t>.</w:t>
      </w:r>
    </w:p>
    <w:p w:rsidR="005121C3" w:rsidRPr="003E7CD0" w:rsidRDefault="005121C3" w:rsidP="00A2586A">
      <w:pPr>
        <w:ind w:right="-2"/>
        <w:rPr>
          <w:rFonts w:ascii="Lato" w:hAnsi="Lato" w:cs="Arial"/>
          <w:sz w:val="24"/>
        </w:rPr>
      </w:pPr>
    </w:p>
    <w:p w:rsidR="005121C3" w:rsidRPr="00A2586A" w:rsidRDefault="005121C3" w:rsidP="00A2586A">
      <w:pPr>
        <w:tabs>
          <w:tab w:val="left" w:pos="9356"/>
        </w:tabs>
        <w:ind w:right="-2"/>
        <w:rPr>
          <w:rFonts w:ascii="Lato" w:hAnsi="Lato" w:cs="Arial"/>
          <w:sz w:val="24"/>
        </w:rPr>
      </w:pPr>
      <w:r w:rsidRPr="00A2586A">
        <w:rPr>
          <w:rFonts w:ascii="Lato" w:hAnsi="Lato" w:cs="Arial"/>
          <w:sz w:val="24"/>
        </w:rPr>
        <w:t>Prospecti</w:t>
      </w:r>
      <w:r w:rsidR="00090C1F" w:rsidRPr="00A2586A">
        <w:rPr>
          <w:rFonts w:ascii="Lato" w:hAnsi="Lato" w:cs="Arial"/>
          <w:sz w:val="24"/>
        </w:rPr>
        <w:t xml:space="preserve">ve applicants </w:t>
      </w:r>
      <w:r w:rsidR="00A0257B">
        <w:rPr>
          <w:rFonts w:ascii="Lato" w:hAnsi="Lato" w:cs="Arial"/>
          <w:sz w:val="24"/>
        </w:rPr>
        <w:t>should</w:t>
      </w:r>
      <w:r w:rsidR="00090C1F" w:rsidRPr="00A2586A">
        <w:rPr>
          <w:rFonts w:ascii="Lato" w:hAnsi="Lato" w:cs="Arial"/>
          <w:sz w:val="24"/>
        </w:rPr>
        <w:t xml:space="preserve"> apply to the </w:t>
      </w:r>
      <w:r w:rsidR="00C22796" w:rsidRPr="00A2586A">
        <w:rPr>
          <w:rFonts w:ascii="Lato" w:hAnsi="Lato" w:cs="Arial"/>
          <w:sz w:val="24"/>
        </w:rPr>
        <w:t>r</w:t>
      </w:r>
      <w:r w:rsidRPr="00A2586A">
        <w:rPr>
          <w:rFonts w:ascii="Lato" w:hAnsi="Lato" w:cs="Arial"/>
          <w:sz w:val="24"/>
        </w:rPr>
        <w:t>egistrar for a preliminary assessment of the effects of the registration, or variation of registration, on the education system in the NT or any other matter relevant to the application.</w:t>
      </w:r>
    </w:p>
    <w:p w:rsidR="005121C3" w:rsidRPr="003E7CD0" w:rsidRDefault="005121C3" w:rsidP="00A2586A">
      <w:pPr>
        <w:tabs>
          <w:tab w:val="left" w:pos="9356"/>
        </w:tabs>
        <w:ind w:right="-2"/>
        <w:rPr>
          <w:rFonts w:ascii="Lato" w:hAnsi="Lato" w:cs="Arial"/>
          <w:sz w:val="24"/>
        </w:rPr>
      </w:pPr>
    </w:p>
    <w:p w:rsidR="005121C3" w:rsidRPr="00A2586A" w:rsidRDefault="005121C3" w:rsidP="00A2586A">
      <w:pPr>
        <w:tabs>
          <w:tab w:val="left" w:pos="9356"/>
        </w:tabs>
        <w:ind w:right="-2"/>
        <w:rPr>
          <w:rFonts w:ascii="Lato" w:hAnsi="Lato" w:cs="Arial"/>
          <w:sz w:val="24"/>
        </w:rPr>
      </w:pPr>
      <w:r w:rsidRPr="00A2586A">
        <w:rPr>
          <w:rFonts w:ascii="Lato" w:hAnsi="Lato" w:cs="Arial"/>
          <w:sz w:val="24"/>
        </w:rPr>
        <w:t>All applications for registration or variation that progress past preliminary assessment must address all of the matters required by section 130 (1) of the Act. Applications for variation must set out details of the variation, when and how the variation is to take effect and the extent to which the matters mentioned in</w:t>
      </w:r>
      <w:r w:rsidR="00A2586A">
        <w:rPr>
          <w:rFonts w:ascii="Lato" w:hAnsi="Lato" w:cs="Arial"/>
          <w:sz w:val="24"/>
        </w:rPr>
        <w:t xml:space="preserve"> </w:t>
      </w:r>
      <w:r w:rsidRPr="00A2586A">
        <w:rPr>
          <w:rFonts w:ascii="Lato" w:hAnsi="Lato" w:cs="Arial"/>
          <w:sz w:val="24"/>
        </w:rPr>
        <w:t>s</w:t>
      </w:r>
      <w:r w:rsidR="00A2586A">
        <w:rPr>
          <w:rFonts w:ascii="Lato" w:hAnsi="Lato" w:cs="Arial"/>
          <w:sz w:val="24"/>
        </w:rPr>
        <w:t>ection</w:t>
      </w:r>
      <w:r w:rsidRPr="00A2586A">
        <w:rPr>
          <w:rFonts w:ascii="Lato" w:hAnsi="Lato" w:cs="Arial"/>
          <w:sz w:val="24"/>
        </w:rPr>
        <w:t xml:space="preserve"> 130 (1) will be affected by the variation. Applications must demonstrate how the applicant proposes to ensure compliance with the registration requirements as set out in section 125 of the Act. </w:t>
      </w:r>
    </w:p>
    <w:p w:rsidR="005121C3" w:rsidRPr="003E7CD0" w:rsidRDefault="005121C3" w:rsidP="00A2586A">
      <w:pPr>
        <w:ind w:right="-2"/>
        <w:rPr>
          <w:rFonts w:ascii="Lato" w:hAnsi="Lato" w:cs="Arial"/>
          <w:sz w:val="24"/>
        </w:rPr>
      </w:pPr>
    </w:p>
    <w:p w:rsidR="005121C3" w:rsidRPr="00A2586A" w:rsidRDefault="005121C3" w:rsidP="00A2586A">
      <w:pPr>
        <w:ind w:right="-2"/>
        <w:rPr>
          <w:rFonts w:ascii="Lato" w:hAnsi="Lato" w:cs="Arial"/>
          <w:sz w:val="24"/>
        </w:rPr>
      </w:pPr>
      <w:r w:rsidRPr="00A2586A">
        <w:rPr>
          <w:rFonts w:ascii="Lato" w:hAnsi="Lato" w:cs="Arial"/>
          <w:sz w:val="24"/>
        </w:rPr>
        <w:t xml:space="preserve">As soon as practicable after the </w:t>
      </w:r>
      <w:r w:rsidR="008D4DB2" w:rsidRPr="00A2586A">
        <w:rPr>
          <w:rFonts w:ascii="Lato" w:hAnsi="Lato" w:cs="Arial"/>
          <w:sz w:val="24"/>
        </w:rPr>
        <w:t>r</w:t>
      </w:r>
      <w:r w:rsidRPr="00A2586A">
        <w:rPr>
          <w:rFonts w:ascii="Lato" w:hAnsi="Lato" w:cs="Arial"/>
          <w:sz w:val="24"/>
        </w:rPr>
        <w:t>egistrar is satisfied that the application provides all the information required by the Act,</w:t>
      </w:r>
      <w:r w:rsidR="00C22796" w:rsidRPr="00A2586A">
        <w:rPr>
          <w:rFonts w:ascii="Lato" w:hAnsi="Lato" w:cs="Arial"/>
          <w:sz w:val="24"/>
        </w:rPr>
        <w:t xml:space="preserve"> the </w:t>
      </w:r>
      <w:r w:rsidR="008D4DB2" w:rsidRPr="00A2586A">
        <w:rPr>
          <w:rFonts w:ascii="Lato" w:hAnsi="Lato" w:cs="Arial"/>
          <w:sz w:val="24"/>
        </w:rPr>
        <w:t>r</w:t>
      </w:r>
      <w:r w:rsidRPr="00A2586A">
        <w:rPr>
          <w:rFonts w:ascii="Lato" w:hAnsi="Lato" w:cs="Arial"/>
          <w:sz w:val="24"/>
        </w:rPr>
        <w:t xml:space="preserve">egistrar will give written notice to the applicant of the receipt of the application. </w:t>
      </w:r>
    </w:p>
    <w:p w:rsidR="005121C3" w:rsidRPr="003E7CD0" w:rsidRDefault="005121C3" w:rsidP="00A2586A">
      <w:pPr>
        <w:ind w:right="-2"/>
        <w:rPr>
          <w:rFonts w:ascii="Lato" w:hAnsi="Lato" w:cs="Arial"/>
          <w:sz w:val="24"/>
        </w:rPr>
      </w:pPr>
    </w:p>
    <w:p w:rsidR="005121C3" w:rsidRPr="00A2586A" w:rsidRDefault="00C22796" w:rsidP="00A2586A">
      <w:pPr>
        <w:ind w:right="-2"/>
        <w:rPr>
          <w:rFonts w:ascii="Lato" w:hAnsi="Lato" w:cs="Arial"/>
          <w:sz w:val="24"/>
        </w:rPr>
      </w:pPr>
      <w:r w:rsidRPr="00A2586A">
        <w:rPr>
          <w:rFonts w:ascii="Lato" w:hAnsi="Lato" w:cs="Arial"/>
          <w:sz w:val="24"/>
        </w:rPr>
        <w:t xml:space="preserve">The </w:t>
      </w:r>
      <w:r w:rsidR="00D613FC" w:rsidRPr="00A2586A">
        <w:rPr>
          <w:rFonts w:ascii="Lato" w:hAnsi="Lato" w:cs="Arial"/>
          <w:sz w:val="24"/>
        </w:rPr>
        <w:t>r</w:t>
      </w:r>
      <w:r w:rsidR="005121C3" w:rsidRPr="00A2586A">
        <w:rPr>
          <w:rFonts w:ascii="Lato" w:hAnsi="Lato" w:cs="Arial"/>
          <w:sz w:val="24"/>
        </w:rPr>
        <w:t xml:space="preserve">egistrar may at any time by written notice, request additional information of the applicant. The written notice will provide a reasonable timeframe for the provision of the additional </w:t>
      </w:r>
      <w:r w:rsidR="005121C3" w:rsidRPr="00A2586A">
        <w:rPr>
          <w:rFonts w:ascii="Lato" w:hAnsi="Lato" w:cs="Arial"/>
          <w:sz w:val="24"/>
        </w:rPr>
        <w:lastRenderedPageBreak/>
        <w:t>information. If the applicant does not supply the additional information within the specified timeframe, the application will lapse.</w:t>
      </w:r>
    </w:p>
    <w:p w:rsidR="005121C3" w:rsidRPr="003E7CD0" w:rsidRDefault="005121C3" w:rsidP="00A2586A">
      <w:pPr>
        <w:ind w:right="-2"/>
        <w:rPr>
          <w:rFonts w:ascii="Lato" w:hAnsi="Lato" w:cs="Arial"/>
          <w:sz w:val="24"/>
        </w:rPr>
      </w:pPr>
    </w:p>
    <w:p w:rsidR="005121C3" w:rsidRPr="00A2586A" w:rsidRDefault="005121C3" w:rsidP="00A2586A">
      <w:pPr>
        <w:ind w:right="-2"/>
        <w:rPr>
          <w:rFonts w:ascii="Lato" w:hAnsi="Lato" w:cs="Arial"/>
          <w:sz w:val="24"/>
        </w:rPr>
      </w:pPr>
      <w:r w:rsidRPr="00A2586A">
        <w:rPr>
          <w:rFonts w:ascii="Lato" w:hAnsi="Lato" w:cs="Arial"/>
          <w:sz w:val="24"/>
        </w:rPr>
        <w:t xml:space="preserve">The </w:t>
      </w:r>
      <w:r w:rsidR="00D613FC" w:rsidRPr="00A2586A">
        <w:rPr>
          <w:rFonts w:ascii="Lato" w:hAnsi="Lato" w:cs="Arial"/>
          <w:sz w:val="24"/>
        </w:rPr>
        <w:t>r</w:t>
      </w:r>
      <w:r w:rsidRPr="00A2586A">
        <w:rPr>
          <w:rFonts w:ascii="Lato" w:hAnsi="Lato" w:cs="Arial"/>
          <w:sz w:val="24"/>
        </w:rPr>
        <w:t>egistrar will</w:t>
      </w:r>
      <w:r w:rsidR="009B1B6F">
        <w:rPr>
          <w:rFonts w:ascii="Lato" w:hAnsi="Lato" w:cs="Arial"/>
          <w:sz w:val="24"/>
        </w:rPr>
        <w:t xml:space="preserve"> </w:t>
      </w:r>
      <w:r w:rsidRPr="00A2586A">
        <w:rPr>
          <w:rFonts w:ascii="Lato" w:hAnsi="Lato" w:cs="Arial"/>
          <w:sz w:val="24"/>
        </w:rPr>
        <w:t xml:space="preserve">refer all complete applications for registration or significant variation to </w:t>
      </w:r>
      <w:r w:rsidR="009B1B6F">
        <w:rPr>
          <w:rFonts w:ascii="Lato" w:hAnsi="Lato" w:cs="Arial"/>
          <w:sz w:val="24"/>
        </w:rPr>
        <w:t>a</w:t>
      </w:r>
      <w:r w:rsidRPr="00A2586A">
        <w:rPr>
          <w:rFonts w:ascii="Lato" w:hAnsi="Lato" w:cs="Arial"/>
          <w:sz w:val="24"/>
        </w:rPr>
        <w:t xml:space="preserve"> </w:t>
      </w:r>
      <w:r w:rsidR="009B1B6F">
        <w:rPr>
          <w:rFonts w:ascii="Lato" w:hAnsi="Lato" w:cs="Arial"/>
          <w:sz w:val="24"/>
        </w:rPr>
        <w:t>r</w:t>
      </w:r>
      <w:r w:rsidRPr="00A2586A">
        <w:rPr>
          <w:rFonts w:ascii="Lato" w:hAnsi="Lato" w:cs="Arial"/>
          <w:sz w:val="24"/>
        </w:rPr>
        <w:t xml:space="preserve">egistration </w:t>
      </w:r>
      <w:r w:rsidR="009B1B6F">
        <w:rPr>
          <w:rFonts w:ascii="Lato" w:hAnsi="Lato" w:cs="Arial"/>
          <w:sz w:val="24"/>
        </w:rPr>
        <w:t>a</w:t>
      </w:r>
      <w:r w:rsidRPr="00A2586A">
        <w:rPr>
          <w:rFonts w:ascii="Lato" w:hAnsi="Lato" w:cs="Arial"/>
          <w:sz w:val="24"/>
        </w:rPr>
        <w:t xml:space="preserve">ssessment </w:t>
      </w:r>
      <w:r w:rsidR="009B1B6F">
        <w:rPr>
          <w:rFonts w:ascii="Lato" w:hAnsi="Lato" w:cs="Arial"/>
          <w:sz w:val="24"/>
        </w:rPr>
        <w:t>p</w:t>
      </w:r>
      <w:r w:rsidRPr="00A2586A">
        <w:rPr>
          <w:rFonts w:ascii="Lato" w:hAnsi="Lato" w:cs="Arial"/>
          <w:sz w:val="24"/>
        </w:rPr>
        <w:t>anel (</w:t>
      </w:r>
      <w:r w:rsidR="009B1B6F">
        <w:rPr>
          <w:rFonts w:ascii="Lato" w:hAnsi="Lato" w:cs="Arial"/>
          <w:sz w:val="24"/>
        </w:rPr>
        <w:t>the panel</w:t>
      </w:r>
      <w:r w:rsidRPr="00A2586A">
        <w:rPr>
          <w:rFonts w:ascii="Lato" w:hAnsi="Lato" w:cs="Arial"/>
          <w:sz w:val="24"/>
        </w:rPr>
        <w:t xml:space="preserve">) for </w:t>
      </w:r>
      <w:r w:rsidR="006C67A6" w:rsidRPr="00A2586A">
        <w:rPr>
          <w:rFonts w:ascii="Lato" w:hAnsi="Lato" w:cs="Arial"/>
          <w:sz w:val="24"/>
        </w:rPr>
        <w:t xml:space="preserve">review and recommendation. The </w:t>
      </w:r>
      <w:r w:rsidR="008D4DB2" w:rsidRPr="00A2586A">
        <w:rPr>
          <w:rFonts w:ascii="Lato" w:hAnsi="Lato" w:cs="Arial"/>
          <w:sz w:val="24"/>
        </w:rPr>
        <w:t>r</w:t>
      </w:r>
      <w:r w:rsidRPr="00A2586A">
        <w:rPr>
          <w:rFonts w:ascii="Lato" w:hAnsi="Lato" w:cs="Arial"/>
          <w:sz w:val="24"/>
        </w:rPr>
        <w:t>egistrar will specify a reasonable timeframe for the review and recommendation at the time of referral.</w:t>
      </w:r>
      <w:r w:rsidR="00E84AD3" w:rsidRPr="00A2586A">
        <w:rPr>
          <w:rFonts w:ascii="Lato" w:hAnsi="Lato" w:cs="Arial"/>
          <w:sz w:val="24"/>
        </w:rPr>
        <w:br/>
      </w:r>
    </w:p>
    <w:p w:rsidR="005121C3" w:rsidRPr="00A2586A" w:rsidRDefault="005121C3" w:rsidP="00A2586A">
      <w:pPr>
        <w:ind w:right="-2"/>
        <w:rPr>
          <w:rFonts w:ascii="Lato" w:hAnsi="Lato" w:cs="Arial"/>
          <w:sz w:val="24"/>
        </w:rPr>
      </w:pPr>
      <w:r w:rsidRPr="00A2586A">
        <w:rPr>
          <w:rFonts w:ascii="Lato" w:hAnsi="Lato" w:cs="Arial"/>
          <w:sz w:val="24"/>
        </w:rPr>
        <w:t xml:space="preserve">The </w:t>
      </w:r>
      <w:r w:rsidR="009B1B6F">
        <w:rPr>
          <w:rFonts w:ascii="Lato" w:hAnsi="Lato" w:cs="Arial"/>
          <w:sz w:val="24"/>
        </w:rPr>
        <w:t>panel</w:t>
      </w:r>
      <w:r w:rsidRPr="00A2586A">
        <w:rPr>
          <w:rFonts w:ascii="Lato" w:hAnsi="Lato" w:cs="Arial"/>
          <w:sz w:val="24"/>
        </w:rPr>
        <w:t xml:space="preserve"> will review applications having regard to the matters set out in section </w:t>
      </w:r>
      <w:r w:rsidR="009B1B6F">
        <w:rPr>
          <w:rFonts w:ascii="Lato" w:hAnsi="Lato" w:cs="Arial"/>
          <w:sz w:val="24"/>
        </w:rPr>
        <w:t>136</w:t>
      </w:r>
      <w:r w:rsidRPr="00A2586A">
        <w:rPr>
          <w:rFonts w:ascii="Lato" w:hAnsi="Lato" w:cs="Arial"/>
          <w:sz w:val="24"/>
        </w:rPr>
        <w:t xml:space="preserve"> of the Act. The panel will include in its methodology, consideration of written submissions gathered from interested members of the public as well as any responses by the applicant to those submissions</w:t>
      </w:r>
      <w:r w:rsidR="009B1B6F">
        <w:rPr>
          <w:rFonts w:ascii="Lato" w:hAnsi="Lato" w:cs="Arial"/>
          <w:sz w:val="24"/>
        </w:rPr>
        <w:t>,</w:t>
      </w:r>
      <w:r w:rsidRPr="00A2586A">
        <w:rPr>
          <w:rFonts w:ascii="Lato" w:hAnsi="Lato" w:cs="Arial"/>
          <w:sz w:val="24"/>
        </w:rPr>
        <w:t xml:space="preserve"> as set out in section 135</w:t>
      </w:r>
      <w:r w:rsidR="00A2586A">
        <w:rPr>
          <w:rFonts w:ascii="Lato" w:hAnsi="Lato" w:cs="Arial"/>
          <w:sz w:val="24"/>
        </w:rPr>
        <w:t>.</w:t>
      </w:r>
      <w:r w:rsidRPr="00A2586A">
        <w:rPr>
          <w:rFonts w:ascii="Lato" w:hAnsi="Lato" w:cs="Arial"/>
          <w:sz w:val="24"/>
        </w:rPr>
        <w:t xml:space="preserve"> </w:t>
      </w:r>
    </w:p>
    <w:p w:rsidR="005121C3" w:rsidRPr="003E7CD0" w:rsidRDefault="005121C3" w:rsidP="00A2586A">
      <w:pPr>
        <w:ind w:right="-2"/>
        <w:rPr>
          <w:rFonts w:ascii="Lato" w:hAnsi="Lato" w:cs="Arial"/>
          <w:sz w:val="24"/>
        </w:rPr>
      </w:pPr>
    </w:p>
    <w:p w:rsidR="005121C3" w:rsidRPr="00A2586A" w:rsidRDefault="009B1B6F" w:rsidP="00A2586A">
      <w:pPr>
        <w:ind w:right="-2"/>
        <w:rPr>
          <w:rFonts w:ascii="Lato" w:hAnsi="Lato" w:cs="Arial"/>
          <w:sz w:val="24"/>
        </w:rPr>
      </w:pPr>
      <w:r w:rsidRPr="00A2586A">
        <w:rPr>
          <w:rFonts w:ascii="Lato" w:hAnsi="Lato" w:cs="Arial"/>
          <w:sz w:val="24"/>
        </w:rPr>
        <w:t>Within</w:t>
      </w:r>
      <w:r>
        <w:rPr>
          <w:rFonts w:ascii="Lato" w:hAnsi="Lato" w:cs="Arial"/>
          <w:sz w:val="24"/>
        </w:rPr>
        <w:t xml:space="preserve"> nine </w:t>
      </w:r>
      <w:r w:rsidRPr="00A2586A">
        <w:rPr>
          <w:rFonts w:ascii="Lato" w:hAnsi="Lato" w:cs="Arial"/>
          <w:sz w:val="24"/>
        </w:rPr>
        <w:t xml:space="preserve">months of </w:t>
      </w:r>
      <w:r>
        <w:rPr>
          <w:rFonts w:ascii="Lato" w:hAnsi="Lato" w:cs="Arial"/>
          <w:sz w:val="24"/>
        </w:rPr>
        <w:t xml:space="preserve">giving written notice of </w:t>
      </w:r>
      <w:r w:rsidRPr="00A2586A">
        <w:rPr>
          <w:rFonts w:ascii="Lato" w:hAnsi="Lato" w:cs="Arial"/>
          <w:sz w:val="24"/>
        </w:rPr>
        <w:t>receipt of the complete application</w:t>
      </w:r>
      <w:r>
        <w:rPr>
          <w:rFonts w:ascii="Lato" w:hAnsi="Lato" w:cs="Arial"/>
          <w:sz w:val="24"/>
        </w:rPr>
        <w:t>, t</w:t>
      </w:r>
      <w:r w:rsidR="006C67A6" w:rsidRPr="00A2586A">
        <w:rPr>
          <w:rFonts w:ascii="Lato" w:hAnsi="Lato" w:cs="Arial"/>
          <w:sz w:val="24"/>
        </w:rPr>
        <w:t xml:space="preserve">he </w:t>
      </w:r>
      <w:r w:rsidR="00D613FC" w:rsidRPr="00A2586A">
        <w:rPr>
          <w:rFonts w:ascii="Lato" w:hAnsi="Lato" w:cs="Arial"/>
          <w:sz w:val="24"/>
        </w:rPr>
        <w:t>r</w:t>
      </w:r>
      <w:r w:rsidR="005121C3" w:rsidRPr="00A2586A">
        <w:rPr>
          <w:rFonts w:ascii="Lato" w:hAnsi="Lato" w:cs="Arial"/>
          <w:sz w:val="24"/>
        </w:rPr>
        <w:t xml:space="preserve">egistrar </w:t>
      </w:r>
      <w:r>
        <w:rPr>
          <w:rFonts w:ascii="Lato" w:hAnsi="Lato" w:cs="Arial"/>
          <w:sz w:val="24"/>
        </w:rPr>
        <w:t>must</w:t>
      </w:r>
      <w:r w:rsidR="005121C3" w:rsidRPr="00A2586A">
        <w:rPr>
          <w:rFonts w:ascii="Lato" w:hAnsi="Lato" w:cs="Arial"/>
          <w:sz w:val="24"/>
        </w:rPr>
        <w:t xml:space="preserve"> either approve or refuse </w:t>
      </w:r>
      <w:r>
        <w:rPr>
          <w:rFonts w:ascii="Lato" w:hAnsi="Lato" w:cs="Arial"/>
          <w:sz w:val="24"/>
        </w:rPr>
        <w:t>an</w:t>
      </w:r>
      <w:r w:rsidR="005121C3" w:rsidRPr="00A2586A">
        <w:rPr>
          <w:rFonts w:ascii="Lato" w:hAnsi="Lato" w:cs="Arial"/>
          <w:sz w:val="24"/>
        </w:rPr>
        <w:t xml:space="preserve"> application, having regard to the matters mentioned in section 13</w:t>
      </w:r>
      <w:r>
        <w:rPr>
          <w:rFonts w:ascii="Lato" w:hAnsi="Lato" w:cs="Arial"/>
          <w:sz w:val="24"/>
        </w:rPr>
        <w:t>6</w:t>
      </w:r>
      <w:r w:rsidR="005121C3" w:rsidRPr="00A2586A">
        <w:rPr>
          <w:rFonts w:ascii="Lato" w:hAnsi="Lato" w:cs="Arial"/>
          <w:sz w:val="24"/>
        </w:rPr>
        <w:t xml:space="preserve"> of the Act, the recommendation of the panel, and any other matters the registrar considers relevant to the application</w:t>
      </w:r>
      <w:r>
        <w:rPr>
          <w:rFonts w:ascii="Lato" w:hAnsi="Lato" w:cs="Arial"/>
          <w:sz w:val="24"/>
        </w:rPr>
        <w:t xml:space="preserve">. As soon as practical after making a decision, the registrar must </w:t>
      </w:r>
      <w:r w:rsidR="005121C3" w:rsidRPr="00A2586A">
        <w:rPr>
          <w:rFonts w:ascii="Lato" w:hAnsi="Lato" w:cs="Arial"/>
          <w:sz w:val="24"/>
        </w:rPr>
        <w:t xml:space="preserve">provide </w:t>
      </w:r>
      <w:r>
        <w:rPr>
          <w:rFonts w:ascii="Lato" w:hAnsi="Lato" w:cs="Arial"/>
          <w:sz w:val="24"/>
        </w:rPr>
        <w:t xml:space="preserve">written notice of the decision </w:t>
      </w:r>
      <w:r w:rsidR="005121C3" w:rsidRPr="00A2586A">
        <w:rPr>
          <w:rFonts w:ascii="Lato" w:hAnsi="Lato" w:cs="Arial"/>
          <w:sz w:val="24"/>
        </w:rPr>
        <w:t xml:space="preserve">to the applicant. </w:t>
      </w:r>
    </w:p>
    <w:p w:rsidR="005121C3" w:rsidRPr="003E7CD0" w:rsidRDefault="005121C3" w:rsidP="00A2586A">
      <w:pPr>
        <w:ind w:right="-2"/>
        <w:rPr>
          <w:rFonts w:ascii="Lato" w:hAnsi="Lato" w:cs="Arial"/>
          <w:sz w:val="24"/>
        </w:rPr>
      </w:pPr>
    </w:p>
    <w:p w:rsidR="005121C3" w:rsidRPr="00A2586A" w:rsidRDefault="005121C3" w:rsidP="00A2586A">
      <w:pPr>
        <w:ind w:right="-2"/>
        <w:rPr>
          <w:rFonts w:ascii="Lato" w:hAnsi="Lato" w:cs="Arial"/>
          <w:sz w:val="24"/>
        </w:rPr>
      </w:pPr>
      <w:r w:rsidRPr="00A2586A">
        <w:rPr>
          <w:rFonts w:ascii="Lato" w:hAnsi="Lato" w:cs="Arial"/>
          <w:sz w:val="24"/>
        </w:rPr>
        <w:t>Upon registration or variation</w:t>
      </w:r>
      <w:r w:rsidR="00C878CD">
        <w:rPr>
          <w:rFonts w:ascii="Lato" w:hAnsi="Lato" w:cs="Arial"/>
          <w:sz w:val="24"/>
        </w:rPr>
        <w:t xml:space="preserve"> to registration</w:t>
      </w:r>
      <w:r w:rsidRPr="00A2586A">
        <w:rPr>
          <w:rFonts w:ascii="Lato" w:hAnsi="Lato" w:cs="Arial"/>
          <w:sz w:val="24"/>
        </w:rPr>
        <w:t>, DoE will issue a certificate of registration that details the educational programs the school is authorised to provide, the year levels of the school’s students and any other conditions of the registration decided by the registrar</w:t>
      </w:r>
      <w:r w:rsidR="00A2586A">
        <w:rPr>
          <w:rFonts w:ascii="Lato" w:hAnsi="Lato" w:cs="Arial"/>
          <w:sz w:val="24"/>
        </w:rPr>
        <w:t>.</w:t>
      </w:r>
      <w:r w:rsidRPr="00A2586A">
        <w:rPr>
          <w:rFonts w:ascii="Lato" w:hAnsi="Lato" w:cs="Arial"/>
          <w:sz w:val="24"/>
        </w:rPr>
        <w:t xml:space="preserve"> </w:t>
      </w:r>
    </w:p>
    <w:p w:rsidR="005121C3" w:rsidRPr="003E7CD0" w:rsidRDefault="005121C3" w:rsidP="00A2586A">
      <w:pPr>
        <w:ind w:right="-2"/>
        <w:rPr>
          <w:rFonts w:ascii="Lato" w:hAnsi="Lato" w:cs="Arial"/>
          <w:sz w:val="24"/>
        </w:rPr>
      </w:pPr>
    </w:p>
    <w:p w:rsidR="005121C3" w:rsidRPr="00A2586A" w:rsidRDefault="005121C3" w:rsidP="00A2586A">
      <w:pPr>
        <w:ind w:right="-2"/>
        <w:rPr>
          <w:rFonts w:ascii="Lato" w:hAnsi="Lato" w:cs="Arial"/>
          <w:bCs/>
          <w:sz w:val="28"/>
          <w:lang w:val="en-US"/>
        </w:rPr>
      </w:pPr>
      <w:r w:rsidRPr="00A2586A">
        <w:rPr>
          <w:rFonts w:ascii="Lato" w:hAnsi="Lato" w:cs="Arial"/>
          <w:sz w:val="24"/>
        </w:rPr>
        <w:t xml:space="preserve">The registration or variation to the registration of a non-government school will lapse if the school does not commence operations within two years after the registration </w:t>
      </w:r>
      <w:r w:rsidR="00C878CD">
        <w:rPr>
          <w:rFonts w:ascii="Lato" w:hAnsi="Lato" w:cs="Arial"/>
          <w:sz w:val="24"/>
        </w:rPr>
        <w:t>certificate is issued</w:t>
      </w:r>
      <w:r w:rsidRPr="00A2586A">
        <w:rPr>
          <w:rFonts w:ascii="Lato" w:hAnsi="Lato" w:cs="Arial"/>
          <w:sz w:val="24"/>
        </w:rPr>
        <w:t>.</w:t>
      </w:r>
    </w:p>
    <w:p w:rsidR="00CB66AE" w:rsidRPr="00195D9D" w:rsidRDefault="00CB66AE">
      <w:pPr>
        <w:ind w:left="426"/>
        <w:rPr>
          <w:rFonts w:ascii="Lato" w:hAnsi="Lato" w:cs="Arial"/>
          <w:bCs/>
          <w:sz w:val="24"/>
          <w:lang w:val="en-US"/>
        </w:rPr>
      </w:pPr>
    </w:p>
    <w:p w:rsidR="00F0238F" w:rsidRPr="00195D9D" w:rsidRDefault="00F0238F" w:rsidP="00DC586A">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 xml:space="preserve">BUSINESS </w:t>
      </w:r>
      <w:r w:rsidR="008D7556" w:rsidRPr="00195D9D">
        <w:rPr>
          <w:rFonts w:ascii="Lato" w:hAnsi="Lato" w:cs="Arial"/>
          <w:b/>
          <w:bCs/>
          <w:sz w:val="28"/>
          <w:szCs w:val="28"/>
          <w:lang w:val="en-US"/>
        </w:rPr>
        <w:t>NEED</w:t>
      </w:r>
    </w:p>
    <w:p w:rsidR="00CB66AE" w:rsidRDefault="00CB66AE" w:rsidP="00CB66AE">
      <w:pPr>
        <w:ind w:left="720" w:right="837"/>
        <w:rPr>
          <w:rFonts w:cs="Arial"/>
        </w:rPr>
      </w:pPr>
    </w:p>
    <w:p w:rsidR="00CB66AE" w:rsidRPr="00A2586A" w:rsidRDefault="00CB66AE" w:rsidP="00A2586A">
      <w:pPr>
        <w:ind w:right="-2"/>
        <w:rPr>
          <w:rFonts w:ascii="Lato" w:hAnsi="Lato" w:cs="Arial"/>
          <w:bCs/>
          <w:sz w:val="24"/>
          <w:lang w:val="en-US"/>
        </w:rPr>
      </w:pPr>
      <w:r w:rsidRPr="00A2586A">
        <w:rPr>
          <w:rFonts w:ascii="Lato" w:hAnsi="Lato" w:cs="Arial"/>
          <w:bCs/>
          <w:sz w:val="24"/>
          <w:lang w:val="en-US"/>
        </w:rPr>
        <w:t xml:space="preserve">The </w:t>
      </w:r>
      <w:r w:rsidRPr="00A2586A">
        <w:rPr>
          <w:rFonts w:ascii="Lato" w:hAnsi="Lato" w:cs="Arial"/>
          <w:bCs/>
          <w:i/>
          <w:sz w:val="24"/>
          <w:lang w:val="en-US"/>
        </w:rPr>
        <w:t>Education Act 2015</w:t>
      </w:r>
      <w:r w:rsidR="00393F28" w:rsidRPr="00A2586A">
        <w:rPr>
          <w:rFonts w:ascii="Lato" w:hAnsi="Lato" w:cs="Arial"/>
          <w:bCs/>
          <w:sz w:val="24"/>
          <w:lang w:val="en-US"/>
        </w:rPr>
        <w:t xml:space="preserve"> </w:t>
      </w:r>
      <w:r w:rsidRPr="00A2586A">
        <w:rPr>
          <w:rFonts w:ascii="Lato" w:hAnsi="Lato" w:cs="Arial"/>
          <w:bCs/>
          <w:sz w:val="24"/>
          <w:lang w:val="en-US"/>
        </w:rPr>
        <w:t xml:space="preserve">came into effect on 2 January 2016 </w:t>
      </w:r>
      <w:r w:rsidR="003E7CD0" w:rsidRPr="00A2586A">
        <w:rPr>
          <w:rFonts w:ascii="Lato" w:hAnsi="Lato" w:cs="Arial"/>
          <w:bCs/>
          <w:sz w:val="24"/>
          <w:lang w:val="en-US"/>
        </w:rPr>
        <w:t xml:space="preserve">and </w:t>
      </w:r>
      <w:r w:rsidRPr="00A2586A">
        <w:rPr>
          <w:rFonts w:ascii="Lato" w:hAnsi="Lato" w:cs="Arial"/>
          <w:bCs/>
          <w:sz w:val="24"/>
          <w:lang w:val="en-US"/>
        </w:rPr>
        <w:t xml:space="preserve">sought to address deficiencies in the registration and operational requirements of NGS. </w:t>
      </w:r>
    </w:p>
    <w:p w:rsidR="00CB66AE" w:rsidRPr="00CB66AE" w:rsidRDefault="00CB66AE" w:rsidP="00A2586A">
      <w:pPr>
        <w:ind w:right="-2"/>
        <w:rPr>
          <w:rFonts w:ascii="Lato" w:hAnsi="Lato" w:cs="Arial"/>
          <w:bCs/>
          <w:sz w:val="24"/>
          <w:lang w:val="en-US"/>
        </w:rPr>
      </w:pPr>
    </w:p>
    <w:p w:rsidR="00CB66AE" w:rsidRPr="00A2586A" w:rsidRDefault="00CB66AE" w:rsidP="00A2586A">
      <w:pPr>
        <w:ind w:right="-2"/>
        <w:rPr>
          <w:rFonts w:ascii="Lato" w:hAnsi="Lato" w:cs="Arial"/>
          <w:bCs/>
          <w:sz w:val="24"/>
          <w:lang w:val="en-US"/>
        </w:rPr>
      </w:pPr>
      <w:r w:rsidRPr="00A2586A">
        <w:rPr>
          <w:rFonts w:ascii="Lato" w:hAnsi="Lato" w:cs="Arial"/>
          <w:bCs/>
          <w:sz w:val="24"/>
          <w:lang w:val="en-US"/>
        </w:rPr>
        <w:t>The objective of the changes to the Act was to address anomalies between government and non-government schools, between schools within the NGS sector and to align the NGS sector in the Territory with best practice in other jurisdictions, particularly through increased regulation and monitoring of the development of the NGS sector.</w:t>
      </w:r>
    </w:p>
    <w:p w:rsidR="00CB66AE" w:rsidRPr="00CB66AE" w:rsidRDefault="00CB66AE" w:rsidP="00A2586A">
      <w:pPr>
        <w:ind w:right="-2"/>
        <w:rPr>
          <w:rFonts w:ascii="Lato" w:hAnsi="Lato" w:cs="Arial"/>
          <w:bCs/>
          <w:sz w:val="24"/>
          <w:lang w:val="en-US"/>
        </w:rPr>
      </w:pPr>
    </w:p>
    <w:p w:rsidR="00CB66AE" w:rsidRPr="00A2586A" w:rsidRDefault="00CB66AE" w:rsidP="00A2586A">
      <w:pPr>
        <w:ind w:right="-2"/>
        <w:rPr>
          <w:rFonts w:ascii="Lato" w:hAnsi="Lato" w:cs="Arial"/>
          <w:bCs/>
          <w:sz w:val="24"/>
          <w:lang w:val="en-US"/>
        </w:rPr>
      </w:pPr>
      <w:r w:rsidRPr="00A2586A">
        <w:rPr>
          <w:rFonts w:ascii="Lato" w:hAnsi="Lato" w:cs="Arial"/>
          <w:bCs/>
          <w:sz w:val="24"/>
          <w:lang w:val="en-US"/>
        </w:rPr>
        <w:t xml:space="preserve">Registration of new schools and variation of existing school registration is an area where increased rigour will be applied. </w:t>
      </w:r>
    </w:p>
    <w:p w:rsidR="00CB66AE" w:rsidRPr="00CB66AE" w:rsidRDefault="00CB66AE" w:rsidP="00A2586A">
      <w:pPr>
        <w:ind w:right="-2"/>
        <w:rPr>
          <w:rFonts w:ascii="Lato" w:hAnsi="Lato" w:cs="Arial"/>
          <w:bCs/>
          <w:sz w:val="24"/>
          <w:lang w:val="en-US"/>
        </w:rPr>
      </w:pPr>
    </w:p>
    <w:p w:rsidR="00CB66AE" w:rsidRPr="00A2586A" w:rsidRDefault="00CB66AE" w:rsidP="00A2586A">
      <w:pPr>
        <w:ind w:right="-2"/>
        <w:rPr>
          <w:rFonts w:ascii="Lato" w:hAnsi="Lato" w:cs="Arial"/>
          <w:bCs/>
          <w:sz w:val="24"/>
          <w:lang w:val="en-US"/>
        </w:rPr>
      </w:pPr>
      <w:r w:rsidRPr="00A2586A">
        <w:rPr>
          <w:rFonts w:ascii="Lato" w:hAnsi="Lato" w:cs="Arial"/>
          <w:bCs/>
          <w:sz w:val="24"/>
          <w:lang w:val="en-US"/>
        </w:rPr>
        <w:t xml:space="preserve">The Act has extended the </w:t>
      </w:r>
      <w:r w:rsidR="003E7CD0" w:rsidRPr="00A2586A">
        <w:rPr>
          <w:rFonts w:ascii="Lato" w:hAnsi="Lato" w:cs="Arial"/>
          <w:bCs/>
          <w:sz w:val="24"/>
          <w:lang w:val="en-US"/>
        </w:rPr>
        <w:t>criterion</w:t>
      </w:r>
      <w:r w:rsidRPr="00A2586A">
        <w:rPr>
          <w:rFonts w:ascii="Lato" w:hAnsi="Lato" w:cs="Arial"/>
          <w:bCs/>
          <w:sz w:val="24"/>
          <w:lang w:val="en-US"/>
        </w:rPr>
        <w:t xml:space="preserve"> that applicants must address when seeking to register an NGS or vary the registration of an existing NGS. It includes provisions designed to strengthen the administration and operation of the NGS as well as conditions to evaluate the likely impact of a proposed new school or change in registration of an existing school on other schools.</w:t>
      </w:r>
    </w:p>
    <w:p w:rsidR="00CB66AE" w:rsidRPr="007A5D2D" w:rsidRDefault="00CB66AE" w:rsidP="00A2586A">
      <w:pPr>
        <w:ind w:right="-2"/>
        <w:rPr>
          <w:rFonts w:cs="Arial"/>
          <w:sz w:val="24"/>
        </w:rPr>
      </w:pPr>
    </w:p>
    <w:p w:rsidR="008E5259" w:rsidRPr="00195D9D" w:rsidRDefault="008E5259" w:rsidP="00DC586A">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SCOPE</w:t>
      </w:r>
    </w:p>
    <w:p w:rsidR="00736AB8" w:rsidRDefault="00736AB8" w:rsidP="00204A14">
      <w:pPr>
        <w:ind w:left="426"/>
        <w:rPr>
          <w:rFonts w:ascii="Lato" w:hAnsi="Lato" w:cs="Arial"/>
          <w:bCs/>
          <w:sz w:val="24"/>
          <w:lang w:val="en-US"/>
        </w:rPr>
      </w:pPr>
    </w:p>
    <w:p w:rsidR="00736AB8" w:rsidRPr="00A2586A" w:rsidRDefault="00736AB8" w:rsidP="00A2586A">
      <w:pPr>
        <w:rPr>
          <w:rFonts w:ascii="Lato" w:hAnsi="Lato" w:cs="Arial"/>
          <w:bCs/>
          <w:sz w:val="24"/>
          <w:lang w:val="en-US"/>
        </w:rPr>
      </w:pPr>
      <w:r w:rsidRPr="00A2586A">
        <w:rPr>
          <w:rFonts w:ascii="Lato" w:hAnsi="Lato" w:cs="Arial"/>
          <w:bCs/>
          <w:sz w:val="24"/>
          <w:lang w:val="en-US"/>
        </w:rPr>
        <w:t>T</w:t>
      </w:r>
      <w:r w:rsidR="00D613FC" w:rsidRPr="00A2586A">
        <w:rPr>
          <w:rFonts w:ascii="Lato" w:hAnsi="Lato" w:cs="Arial"/>
          <w:bCs/>
          <w:sz w:val="24"/>
          <w:lang w:val="en-US"/>
        </w:rPr>
        <w:t xml:space="preserve">his policy seeks </w:t>
      </w:r>
      <w:r w:rsidRPr="00A2586A">
        <w:rPr>
          <w:rFonts w:ascii="Lato" w:hAnsi="Lato" w:cs="Arial"/>
          <w:bCs/>
          <w:sz w:val="24"/>
          <w:lang w:val="en-US"/>
        </w:rPr>
        <w:t xml:space="preserve">to guide applicants of the </w:t>
      </w:r>
      <w:r w:rsidR="00634B28" w:rsidRPr="00A2586A">
        <w:rPr>
          <w:rFonts w:ascii="Lato" w:hAnsi="Lato" w:cs="Arial"/>
          <w:bCs/>
          <w:sz w:val="24"/>
          <w:lang w:val="en-US"/>
        </w:rPr>
        <w:t>non-G</w:t>
      </w:r>
      <w:r w:rsidR="00F84836" w:rsidRPr="00A2586A">
        <w:rPr>
          <w:rFonts w:ascii="Lato" w:hAnsi="Lato" w:cs="Arial"/>
          <w:bCs/>
          <w:sz w:val="24"/>
          <w:lang w:val="en-US"/>
        </w:rPr>
        <w:t>overnment</w:t>
      </w:r>
      <w:r w:rsidRPr="00A2586A">
        <w:rPr>
          <w:rFonts w:ascii="Lato" w:hAnsi="Lato" w:cs="Arial"/>
          <w:bCs/>
          <w:sz w:val="24"/>
          <w:lang w:val="en-US"/>
        </w:rPr>
        <w:t xml:space="preserve"> school sector in the Northern Territory, applying to register a new school or vary the registration conditions of an existing</w:t>
      </w:r>
      <w:r w:rsidR="00634B28" w:rsidRPr="00A2586A">
        <w:rPr>
          <w:rFonts w:ascii="Lato" w:hAnsi="Lato" w:cs="Arial"/>
          <w:bCs/>
          <w:sz w:val="24"/>
          <w:lang w:val="en-US"/>
        </w:rPr>
        <w:t xml:space="preserve"> school</w:t>
      </w:r>
      <w:r w:rsidRPr="00A2586A">
        <w:rPr>
          <w:rFonts w:ascii="Lato" w:hAnsi="Lato" w:cs="Arial"/>
          <w:bCs/>
          <w:sz w:val="24"/>
          <w:lang w:val="en-US"/>
        </w:rPr>
        <w:t xml:space="preserve">. </w:t>
      </w:r>
      <w:r w:rsidR="00AF3111" w:rsidRPr="00A2586A">
        <w:rPr>
          <w:rFonts w:ascii="Lato" w:hAnsi="Lato" w:cs="Arial"/>
          <w:bCs/>
          <w:sz w:val="24"/>
          <w:lang w:val="en-US"/>
        </w:rPr>
        <w:t xml:space="preserve"> </w:t>
      </w:r>
    </w:p>
    <w:p w:rsidR="0061163D" w:rsidRDefault="0061163D" w:rsidP="00A2586A">
      <w:pPr>
        <w:rPr>
          <w:rFonts w:ascii="Lato" w:hAnsi="Lato" w:cs="Arial"/>
          <w:bCs/>
          <w:sz w:val="24"/>
          <w:lang w:val="en-US"/>
        </w:rPr>
      </w:pPr>
    </w:p>
    <w:p w:rsidR="0061163D" w:rsidRPr="00A2586A" w:rsidRDefault="0061163D" w:rsidP="00A2586A">
      <w:pPr>
        <w:rPr>
          <w:rFonts w:ascii="Lato" w:hAnsi="Lato" w:cs="Arial"/>
          <w:bCs/>
          <w:sz w:val="24"/>
          <w:lang w:val="en-US"/>
        </w:rPr>
      </w:pPr>
      <w:r w:rsidRPr="00A2586A">
        <w:rPr>
          <w:rFonts w:ascii="Lato" w:hAnsi="Lato" w:cs="Arial"/>
          <w:bCs/>
          <w:sz w:val="24"/>
          <w:lang w:val="en-US"/>
        </w:rPr>
        <w:t>This policy does not apply to Northern Territory Government schools or registered training providers.</w:t>
      </w:r>
    </w:p>
    <w:p w:rsidR="00F77E70" w:rsidRPr="00195D9D" w:rsidRDefault="00F77E70">
      <w:pPr>
        <w:ind w:left="426"/>
        <w:rPr>
          <w:rFonts w:ascii="Lato" w:hAnsi="Lato" w:cs="Arial"/>
          <w:bCs/>
          <w:sz w:val="24"/>
          <w:lang w:val="en-US"/>
        </w:rPr>
      </w:pPr>
    </w:p>
    <w:p w:rsidR="0057392D" w:rsidRPr="00195D9D" w:rsidRDefault="0057392D" w:rsidP="00DC586A">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DEFINITION</w:t>
      </w:r>
      <w:r w:rsidR="00112F67" w:rsidRPr="00195D9D">
        <w:rPr>
          <w:rFonts w:ascii="Lato" w:hAnsi="Lato" w:cs="Arial"/>
          <w:b/>
          <w:bCs/>
          <w:sz w:val="28"/>
          <w:szCs w:val="28"/>
          <w:lang w:val="en-US"/>
        </w:rPr>
        <w:t>S</w:t>
      </w:r>
    </w:p>
    <w:p w:rsidR="00EC55A3" w:rsidRDefault="00EC55A3">
      <w:pPr>
        <w:pStyle w:val="BodyText"/>
        <w:spacing w:after="0"/>
        <w:ind w:left="425"/>
        <w:rPr>
          <w:rFonts w:ascii="Lato" w:hAnsi="Lato" w:cs="Arial"/>
          <w:bCs/>
          <w:sz w:val="24"/>
          <w:lang w:val="en-US"/>
        </w:rPr>
      </w:pPr>
    </w:p>
    <w:p w:rsidR="00EC55A3" w:rsidRPr="00A2586A" w:rsidRDefault="00EC55A3" w:rsidP="00A2586A">
      <w:pPr>
        <w:rPr>
          <w:rFonts w:ascii="Lato" w:hAnsi="Lato" w:cs="Arial"/>
          <w:bCs/>
          <w:sz w:val="24"/>
          <w:lang w:val="en-US"/>
        </w:rPr>
      </w:pPr>
      <w:r w:rsidRPr="00A2586A">
        <w:rPr>
          <w:rFonts w:ascii="Lato" w:hAnsi="Lato" w:cs="Arial"/>
          <w:bCs/>
          <w:sz w:val="24"/>
          <w:lang w:val="en-US"/>
        </w:rPr>
        <w:t>In this Part:</w:t>
      </w:r>
    </w:p>
    <w:p w:rsidR="00EC55A3" w:rsidRDefault="00EC55A3" w:rsidP="00A2586A">
      <w:pPr>
        <w:ind w:left="426"/>
        <w:rPr>
          <w:rFonts w:ascii="Lato" w:hAnsi="Lato" w:cs="Arial"/>
          <w:bCs/>
          <w:sz w:val="24"/>
          <w:lang w:val="en-US"/>
        </w:rPr>
      </w:pPr>
    </w:p>
    <w:p w:rsidR="00E80E7D" w:rsidRDefault="00EC5D18" w:rsidP="00A2586A">
      <w:pPr>
        <w:rPr>
          <w:rFonts w:ascii="Lato" w:hAnsi="Lato" w:cs="Arial"/>
          <w:bCs/>
          <w:sz w:val="24"/>
          <w:lang w:val="en-US"/>
        </w:rPr>
      </w:pPr>
      <w:r w:rsidRPr="00A2586A">
        <w:rPr>
          <w:rFonts w:ascii="Lato" w:hAnsi="Lato" w:cs="Arial"/>
          <w:bCs/>
          <w:sz w:val="24"/>
          <w:lang w:val="en-US"/>
        </w:rPr>
        <w:t xml:space="preserve">The Act - </w:t>
      </w:r>
      <w:r w:rsidR="00EC55A3" w:rsidRPr="00AA6870">
        <w:rPr>
          <w:rFonts w:ascii="Lato" w:hAnsi="Lato" w:cs="Arial"/>
          <w:bCs/>
          <w:i/>
          <w:sz w:val="24"/>
          <w:lang w:val="en-US"/>
        </w:rPr>
        <w:t xml:space="preserve">Education Act </w:t>
      </w:r>
      <w:r w:rsidR="00AA6870" w:rsidRPr="00AA6870">
        <w:rPr>
          <w:rFonts w:ascii="Lato" w:hAnsi="Lato" w:cs="Arial"/>
          <w:bCs/>
          <w:i/>
          <w:sz w:val="24"/>
          <w:lang w:val="en-US"/>
        </w:rPr>
        <w:t xml:space="preserve">(NT) </w:t>
      </w:r>
      <w:r w:rsidR="008D4DB2" w:rsidRPr="00AA6870">
        <w:rPr>
          <w:rFonts w:ascii="Lato" w:hAnsi="Lato" w:cs="Arial"/>
          <w:bCs/>
          <w:i/>
          <w:sz w:val="24"/>
          <w:lang w:val="en-US"/>
        </w:rPr>
        <w:t>2015</w:t>
      </w:r>
      <w:r w:rsidR="009B1B6F">
        <w:rPr>
          <w:rFonts w:ascii="Lato" w:hAnsi="Lato" w:cs="Arial"/>
          <w:bCs/>
          <w:sz w:val="24"/>
          <w:lang w:val="en-US"/>
        </w:rPr>
        <w:t>.</w:t>
      </w:r>
    </w:p>
    <w:p w:rsidR="00AA6870" w:rsidRDefault="00AA6870" w:rsidP="00A2586A">
      <w:pPr>
        <w:rPr>
          <w:rFonts w:ascii="Lato" w:hAnsi="Lato" w:cs="Arial"/>
          <w:bCs/>
          <w:sz w:val="24"/>
          <w:lang w:val="en-US"/>
        </w:rPr>
      </w:pPr>
    </w:p>
    <w:p w:rsidR="00AA6870" w:rsidRPr="00A2586A" w:rsidRDefault="00AA6870" w:rsidP="00A2586A">
      <w:pPr>
        <w:rPr>
          <w:rFonts w:ascii="Lato" w:hAnsi="Lato" w:cs="Arial"/>
          <w:bCs/>
          <w:sz w:val="24"/>
          <w:lang w:val="en-US"/>
        </w:rPr>
      </w:pPr>
      <w:r>
        <w:rPr>
          <w:rFonts w:ascii="Lato" w:hAnsi="Lato" w:cs="Arial"/>
          <w:bCs/>
          <w:sz w:val="24"/>
          <w:lang w:val="en-US"/>
        </w:rPr>
        <w:t xml:space="preserve">Regulations – </w:t>
      </w:r>
      <w:r w:rsidRPr="00AA6870">
        <w:rPr>
          <w:rFonts w:ascii="Lato" w:hAnsi="Lato" w:cs="Arial"/>
          <w:bCs/>
          <w:i/>
          <w:sz w:val="24"/>
          <w:lang w:val="en-US"/>
        </w:rPr>
        <w:t>Education Regulations</w:t>
      </w:r>
      <w:r>
        <w:rPr>
          <w:rFonts w:ascii="Lato" w:hAnsi="Lato" w:cs="Arial"/>
          <w:bCs/>
          <w:sz w:val="24"/>
          <w:lang w:val="en-US"/>
        </w:rPr>
        <w:t>.</w:t>
      </w:r>
    </w:p>
    <w:p w:rsidR="00092993" w:rsidRPr="00EC5D18" w:rsidRDefault="00092993" w:rsidP="00A2586A">
      <w:pPr>
        <w:rPr>
          <w:rFonts w:ascii="Lato" w:hAnsi="Lato" w:cs="Arial"/>
          <w:bCs/>
          <w:sz w:val="24"/>
          <w:lang w:val="en-US"/>
        </w:rPr>
      </w:pPr>
    </w:p>
    <w:p w:rsidR="008D4DB2" w:rsidRPr="00A2586A" w:rsidRDefault="008D4DB2" w:rsidP="00A2586A">
      <w:pPr>
        <w:rPr>
          <w:rFonts w:ascii="Lato" w:hAnsi="Lato" w:cs="Arial"/>
          <w:bCs/>
          <w:sz w:val="24"/>
          <w:lang w:val="en-US"/>
        </w:rPr>
      </w:pPr>
      <w:r w:rsidRPr="00A2586A">
        <w:rPr>
          <w:rFonts w:ascii="Lato" w:hAnsi="Lato" w:cs="Arial"/>
          <w:bCs/>
          <w:sz w:val="24"/>
          <w:lang w:val="en-US"/>
        </w:rPr>
        <w:t>NT</w:t>
      </w:r>
      <w:r w:rsidR="00654915" w:rsidRPr="00A2586A">
        <w:rPr>
          <w:rFonts w:ascii="Lato" w:hAnsi="Lato" w:cs="Arial"/>
          <w:bCs/>
          <w:sz w:val="24"/>
          <w:lang w:val="en-US"/>
        </w:rPr>
        <w:t xml:space="preserve"> </w:t>
      </w:r>
      <w:r w:rsidRPr="00A2586A">
        <w:rPr>
          <w:rFonts w:ascii="Lato" w:hAnsi="Lato" w:cs="Arial"/>
          <w:bCs/>
          <w:sz w:val="24"/>
          <w:lang w:val="en-US"/>
        </w:rPr>
        <w:t>- Northern Territory</w:t>
      </w:r>
      <w:r w:rsidR="009B1B6F">
        <w:rPr>
          <w:rFonts w:ascii="Lato" w:hAnsi="Lato" w:cs="Arial"/>
          <w:bCs/>
          <w:sz w:val="24"/>
          <w:lang w:val="en-US"/>
        </w:rPr>
        <w:t>.</w:t>
      </w:r>
    </w:p>
    <w:p w:rsidR="008D4DB2" w:rsidRPr="00EC5D18" w:rsidRDefault="008D4DB2" w:rsidP="00A2586A">
      <w:pPr>
        <w:rPr>
          <w:rFonts w:ascii="Lato" w:hAnsi="Lato" w:cs="Arial"/>
          <w:bCs/>
          <w:sz w:val="24"/>
          <w:lang w:val="en-US"/>
        </w:rPr>
      </w:pPr>
    </w:p>
    <w:p w:rsidR="008D4DB2" w:rsidRPr="00A2586A" w:rsidRDefault="008D4DB2" w:rsidP="00A2586A">
      <w:pPr>
        <w:rPr>
          <w:rFonts w:ascii="Lato" w:hAnsi="Lato" w:cs="Arial"/>
          <w:bCs/>
          <w:sz w:val="24"/>
          <w:lang w:val="en-US"/>
        </w:rPr>
      </w:pPr>
      <w:r w:rsidRPr="00A2586A">
        <w:rPr>
          <w:rFonts w:ascii="Lato" w:hAnsi="Lato" w:cs="Arial"/>
          <w:bCs/>
          <w:sz w:val="24"/>
          <w:lang w:val="en-US"/>
        </w:rPr>
        <w:t>DoE</w:t>
      </w:r>
      <w:r w:rsidR="00654915" w:rsidRPr="00A2586A">
        <w:rPr>
          <w:rFonts w:ascii="Lato" w:hAnsi="Lato" w:cs="Arial"/>
          <w:bCs/>
          <w:sz w:val="24"/>
          <w:lang w:val="en-US"/>
        </w:rPr>
        <w:t xml:space="preserve"> </w:t>
      </w:r>
      <w:r w:rsidRPr="00A2586A">
        <w:rPr>
          <w:rFonts w:ascii="Lato" w:hAnsi="Lato" w:cs="Arial"/>
          <w:bCs/>
          <w:sz w:val="24"/>
          <w:lang w:val="en-US"/>
        </w:rPr>
        <w:t xml:space="preserve">- Department of Education of the </w:t>
      </w:r>
      <w:r w:rsidR="004814BA" w:rsidRPr="00A2586A">
        <w:rPr>
          <w:rFonts w:ascii="Lato" w:hAnsi="Lato" w:cs="Arial"/>
          <w:bCs/>
          <w:sz w:val="24"/>
          <w:lang w:val="en-US"/>
        </w:rPr>
        <w:t>Northern Territory</w:t>
      </w:r>
      <w:r w:rsidRPr="00A2586A">
        <w:rPr>
          <w:rFonts w:ascii="Lato" w:hAnsi="Lato" w:cs="Arial"/>
          <w:bCs/>
          <w:sz w:val="24"/>
          <w:lang w:val="en-US"/>
        </w:rPr>
        <w:t xml:space="preserve"> Government</w:t>
      </w:r>
      <w:r w:rsidR="009B1B6F">
        <w:rPr>
          <w:rFonts w:ascii="Lato" w:hAnsi="Lato" w:cs="Arial"/>
          <w:bCs/>
          <w:sz w:val="24"/>
          <w:lang w:val="en-US"/>
        </w:rPr>
        <w:t>.</w:t>
      </w:r>
    </w:p>
    <w:p w:rsidR="003F32A9" w:rsidRPr="00EC5D18" w:rsidRDefault="003F32A9" w:rsidP="00A2586A">
      <w:pPr>
        <w:rPr>
          <w:rFonts w:ascii="Lato" w:hAnsi="Lato" w:cs="Arial"/>
          <w:bCs/>
          <w:sz w:val="24"/>
          <w:lang w:val="en-US"/>
        </w:rPr>
      </w:pPr>
    </w:p>
    <w:p w:rsidR="00E80E7D" w:rsidRPr="00A2586A" w:rsidRDefault="00C620B1" w:rsidP="00A2586A">
      <w:pPr>
        <w:rPr>
          <w:rFonts w:ascii="Lato" w:hAnsi="Lato" w:cs="Arial"/>
          <w:bCs/>
          <w:sz w:val="24"/>
          <w:lang w:val="en-US"/>
        </w:rPr>
      </w:pPr>
      <w:r w:rsidRPr="00A2586A">
        <w:rPr>
          <w:rFonts w:ascii="Lato" w:hAnsi="Lato" w:cs="Arial"/>
          <w:bCs/>
          <w:sz w:val="24"/>
          <w:lang w:val="en-US"/>
        </w:rPr>
        <w:t>R</w:t>
      </w:r>
      <w:r w:rsidR="00E80E7D" w:rsidRPr="00A2586A">
        <w:rPr>
          <w:rFonts w:ascii="Lato" w:hAnsi="Lato" w:cs="Arial"/>
          <w:bCs/>
          <w:sz w:val="24"/>
          <w:lang w:val="en-US"/>
        </w:rPr>
        <w:t>egistrar</w:t>
      </w:r>
      <w:r w:rsidRPr="00A2586A">
        <w:rPr>
          <w:rFonts w:ascii="Lato" w:hAnsi="Lato" w:cs="Arial"/>
          <w:bCs/>
          <w:sz w:val="24"/>
          <w:lang w:val="en-US"/>
        </w:rPr>
        <w:t xml:space="preserve"> </w:t>
      </w:r>
      <w:r w:rsidR="00EC5D18" w:rsidRPr="00A2586A">
        <w:rPr>
          <w:rFonts w:ascii="Lato" w:hAnsi="Lato" w:cs="Arial"/>
          <w:bCs/>
          <w:sz w:val="24"/>
          <w:lang w:val="en-US"/>
        </w:rPr>
        <w:t>-</w:t>
      </w:r>
      <w:r w:rsidRPr="00A2586A">
        <w:rPr>
          <w:rFonts w:ascii="Lato" w:hAnsi="Lato" w:cs="Arial"/>
          <w:bCs/>
          <w:sz w:val="24"/>
          <w:lang w:val="en-US"/>
        </w:rPr>
        <w:t xml:space="preserve"> registrar of non-</w:t>
      </w:r>
      <w:r w:rsidR="00EC5D18" w:rsidRPr="00A2586A">
        <w:rPr>
          <w:rFonts w:ascii="Lato" w:hAnsi="Lato" w:cs="Arial"/>
          <w:bCs/>
          <w:sz w:val="24"/>
          <w:lang w:val="en-US"/>
        </w:rPr>
        <w:t>g</w:t>
      </w:r>
      <w:r w:rsidRPr="00A2586A">
        <w:rPr>
          <w:rFonts w:ascii="Lato" w:hAnsi="Lato" w:cs="Arial"/>
          <w:bCs/>
          <w:sz w:val="24"/>
          <w:lang w:val="en-US"/>
        </w:rPr>
        <w:t>overnment schools appointed under section 123</w:t>
      </w:r>
      <w:r w:rsidR="00EC5D18" w:rsidRPr="00A2586A">
        <w:rPr>
          <w:rFonts w:ascii="Lato" w:hAnsi="Lato" w:cs="Arial"/>
          <w:bCs/>
          <w:sz w:val="24"/>
          <w:lang w:val="en-US"/>
        </w:rPr>
        <w:t xml:space="preserve"> of the Education Act</w:t>
      </w:r>
      <w:r w:rsidR="009B1B6F">
        <w:rPr>
          <w:rFonts w:ascii="Lato" w:hAnsi="Lato" w:cs="Arial"/>
          <w:bCs/>
          <w:sz w:val="24"/>
          <w:lang w:val="en-US"/>
        </w:rPr>
        <w:t>.</w:t>
      </w:r>
    </w:p>
    <w:p w:rsidR="00E80E7D" w:rsidRPr="00A2586A" w:rsidRDefault="00E80E7D" w:rsidP="00A2586A">
      <w:pPr>
        <w:rPr>
          <w:rFonts w:ascii="Lato" w:hAnsi="Lato" w:cs="Arial"/>
          <w:bCs/>
          <w:sz w:val="24"/>
          <w:lang w:val="en-US"/>
        </w:rPr>
      </w:pPr>
    </w:p>
    <w:p w:rsidR="00C620B1" w:rsidRPr="00A2586A" w:rsidRDefault="00E80E7D" w:rsidP="00A2586A">
      <w:pPr>
        <w:rPr>
          <w:rFonts w:ascii="Lato" w:hAnsi="Lato" w:cs="Arial"/>
          <w:bCs/>
          <w:sz w:val="24"/>
          <w:lang w:val="en-US"/>
        </w:rPr>
      </w:pPr>
      <w:r w:rsidRPr="00A2586A">
        <w:rPr>
          <w:rFonts w:ascii="Lato" w:hAnsi="Lato" w:cs="Arial"/>
          <w:bCs/>
          <w:sz w:val="24"/>
          <w:lang w:val="en-US"/>
        </w:rPr>
        <w:t>Registration</w:t>
      </w:r>
      <w:r w:rsidR="00EC5D18" w:rsidRPr="00A2586A">
        <w:rPr>
          <w:rFonts w:ascii="Lato" w:hAnsi="Lato" w:cs="Arial"/>
          <w:bCs/>
          <w:sz w:val="24"/>
          <w:lang w:val="en-US"/>
        </w:rPr>
        <w:t xml:space="preserve"> - </w:t>
      </w:r>
      <w:r w:rsidR="00C620B1" w:rsidRPr="00A2586A">
        <w:rPr>
          <w:rFonts w:ascii="Lato" w:hAnsi="Lato" w:cs="Arial"/>
          <w:bCs/>
          <w:sz w:val="24"/>
          <w:lang w:val="en-US"/>
        </w:rPr>
        <w:t>in relation to a non-</w:t>
      </w:r>
      <w:r w:rsidR="00EC5D18" w:rsidRPr="00A2586A">
        <w:rPr>
          <w:rFonts w:ascii="Lato" w:hAnsi="Lato" w:cs="Arial"/>
          <w:bCs/>
          <w:sz w:val="24"/>
          <w:lang w:val="en-US"/>
        </w:rPr>
        <w:t>g</w:t>
      </w:r>
      <w:r w:rsidR="00C620B1" w:rsidRPr="00A2586A">
        <w:rPr>
          <w:rFonts w:ascii="Lato" w:hAnsi="Lato" w:cs="Arial"/>
          <w:bCs/>
          <w:sz w:val="24"/>
          <w:lang w:val="en-US"/>
        </w:rPr>
        <w:t xml:space="preserve">overnment school, means a registration of the school under </w:t>
      </w:r>
      <w:r w:rsidR="00EC5D18" w:rsidRPr="00A2586A">
        <w:rPr>
          <w:rFonts w:ascii="Lato" w:hAnsi="Lato" w:cs="Arial"/>
          <w:bCs/>
          <w:sz w:val="24"/>
          <w:lang w:val="en-US"/>
        </w:rPr>
        <w:t xml:space="preserve">section </w:t>
      </w:r>
      <w:r w:rsidR="0021037D" w:rsidRPr="00A2586A">
        <w:rPr>
          <w:rFonts w:ascii="Lato" w:hAnsi="Lato" w:cs="Arial"/>
          <w:bCs/>
          <w:sz w:val="24"/>
          <w:lang w:val="en-US"/>
        </w:rPr>
        <w:t>125</w:t>
      </w:r>
      <w:r w:rsidR="00EC5D18" w:rsidRPr="00A2586A">
        <w:rPr>
          <w:rFonts w:ascii="Lato" w:hAnsi="Lato" w:cs="Arial"/>
          <w:bCs/>
          <w:sz w:val="24"/>
          <w:lang w:val="en-US"/>
        </w:rPr>
        <w:t xml:space="preserve"> of the Act</w:t>
      </w:r>
      <w:r w:rsidR="009B1B6F">
        <w:rPr>
          <w:rFonts w:ascii="Lato" w:hAnsi="Lato" w:cs="Arial"/>
          <w:bCs/>
          <w:sz w:val="24"/>
          <w:lang w:val="en-US"/>
        </w:rPr>
        <w:t>.</w:t>
      </w:r>
    </w:p>
    <w:p w:rsidR="00A2586A" w:rsidRDefault="00A2586A" w:rsidP="004D09CC">
      <w:pPr>
        <w:rPr>
          <w:rFonts w:ascii="Lato" w:hAnsi="Lato"/>
          <w:sz w:val="24"/>
          <w:lang w:val="en-US"/>
        </w:rPr>
      </w:pPr>
    </w:p>
    <w:p w:rsidR="00F77E70" w:rsidRPr="00195D9D" w:rsidRDefault="0057392D" w:rsidP="00DC586A">
      <w:pPr>
        <w:pStyle w:val="ListParagraph"/>
        <w:numPr>
          <w:ilvl w:val="0"/>
          <w:numId w:val="4"/>
        </w:numPr>
        <w:ind w:left="426" w:hanging="426"/>
        <w:rPr>
          <w:rFonts w:ascii="Lato" w:hAnsi="Lato" w:cs="Arial"/>
          <w:b/>
          <w:bCs/>
          <w:sz w:val="28"/>
          <w:szCs w:val="28"/>
          <w:lang w:val="en-US"/>
        </w:rPr>
      </w:pPr>
      <w:r w:rsidRPr="00195D9D">
        <w:rPr>
          <w:rFonts w:ascii="Lato" w:hAnsi="Lato" w:cs="Arial"/>
          <w:b/>
          <w:bCs/>
          <w:sz w:val="28"/>
          <w:szCs w:val="28"/>
          <w:lang w:val="en-US"/>
        </w:rPr>
        <w:t>RELATED POLIC</w:t>
      </w:r>
      <w:r w:rsidR="00AF44A8" w:rsidRPr="00195D9D">
        <w:rPr>
          <w:rFonts w:ascii="Lato" w:hAnsi="Lato" w:cs="Arial"/>
          <w:b/>
          <w:bCs/>
          <w:sz w:val="28"/>
          <w:szCs w:val="28"/>
          <w:lang w:val="en-US"/>
        </w:rPr>
        <w:t>Y, LEGISLATION</w:t>
      </w:r>
      <w:r w:rsidRPr="00195D9D">
        <w:rPr>
          <w:rFonts w:ascii="Lato" w:hAnsi="Lato" w:cs="Arial"/>
          <w:b/>
          <w:bCs/>
          <w:sz w:val="28"/>
          <w:szCs w:val="28"/>
          <w:lang w:val="en-US"/>
        </w:rPr>
        <w:t xml:space="preserve"> </w:t>
      </w:r>
      <w:r w:rsidR="00112F67" w:rsidRPr="00195D9D">
        <w:rPr>
          <w:rFonts w:ascii="Lato" w:hAnsi="Lato" w:cs="Arial"/>
          <w:b/>
          <w:bCs/>
          <w:sz w:val="28"/>
          <w:szCs w:val="28"/>
          <w:lang w:val="en-US"/>
        </w:rPr>
        <w:t xml:space="preserve">AND DOCUMENTS </w:t>
      </w:r>
    </w:p>
    <w:p w:rsidR="0010190F" w:rsidRPr="00195D9D" w:rsidRDefault="0010190F" w:rsidP="00654915">
      <w:pPr>
        <w:ind w:left="851" w:hanging="851"/>
        <w:rPr>
          <w:rFonts w:ascii="Lato" w:hAnsi="Lato" w:cs="Arial"/>
          <w:bCs/>
          <w:sz w:val="24"/>
          <w:lang w:val="en-US"/>
        </w:rPr>
      </w:pPr>
    </w:p>
    <w:p w:rsidR="00C6344B" w:rsidRDefault="00A81248" w:rsidP="00A2586A">
      <w:pPr>
        <w:pStyle w:val="HeaderText"/>
        <w:tabs>
          <w:tab w:val="left" w:pos="426"/>
        </w:tabs>
        <w:rPr>
          <w:rFonts w:ascii="Lato" w:hAnsi="Lato"/>
          <w:color w:val="000000"/>
          <w:sz w:val="24"/>
          <w:szCs w:val="24"/>
        </w:rPr>
      </w:pPr>
      <w:r>
        <w:rPr>
          <w:rFonts w:ascii="Lato" w:hAnsi="Lato"/>
          <w:i w:val="0"/>
          <w:color w:val="000000"/>
          <w:sz w:val="24"/>
          <w:szCs w:val="24"/>
        </w:rPr>
        <w:t xml:space="preserve">The </w:t>
      </w:r>
      <w:r w:rsidRPr="00AA6870">
        <w:rPr>
          <w:rFonts w:ascii="Lato" w:hAnsi="Lato"/>
          <w:color w:val="000000"/>
          <w:sz w:val="24"/>
          <w:szCs w:val="24"/>
        </w:rPr>
        <w:t>Education Act</w:t>
      </w:r>
      <w:r w:rsidR="0061163D" w:rsidRPr="00AA6870">
        <w:rPr>
          <w:rFonts w:ascii="Lato" w:hAnsi="Lato"/>
          <w:color w:val="000000"/>
          <w:sz w:val="24"/>
          <w:szCs w:val="24"/>
        </w:rPr>
        <w:t xml:space="preserve"> 2015</w:t>
      </w:r>
      <w:r w:rsidR="0061163D">
        <w:rPr>
          <w:rFonts w:ascii="Lato" w:hAnsi="Lato"/>
          <w:i w:val="0"/>
          <w:color w:val="000000"/>
          <w:sz w:val="24"/>
          <w:szCs w:val="24"/>
        </w:rPr>
        <w:t xml:space="preserve"> </w:t>
      </w:r>
      <w:proofErr w:type="gramStart"/>
      <w:r w:rsidR="0061163D">
        <w:rPr>
          <w:rFonts w:ascii="Lato" w:hAnsi="Lato"/>
          <w:i w:val="0"/>
          <w:color w:val="000000"/>
          <w:sz w:val="24"/>
          <w:szCs w:val="24"/>
        </w:rPr>
        <w:t xml:space="preserve">- </w:t>
      </w:r>
      <w:r>
        <w:rPr>
          <w:rFonts w:ascii="Lato" w:hAnsi="Lato"/>
          <w:i w:val="0"/>
          <w:color w:val="000000"/>
          <w:sz w:val="24"/>
          <w:szCs w:val="24"/>
        </w:rPr>
        <w:t xml:space="preserve"> </w:t>
      </w:r>
      <w:proofErr w:type="gramEnd"/>
      <w:hyperlink r:id="rId8" w:history="1">
        <w:r w:rsidR="00A2586A" w:rsidRPr="00484E9D">
          <w:rPr>
            <w:rStyle w:val="Hyperlink"/>
            <w:rFonts w:ascii="Lato" w:hAnsi="Lato"/>
            <w:sz w:val="24"/>
            <w:szCs w:val="24"/>
          </w:rPr>
          <w:t>https://legislation.nt.gov.au/en/Legislation/EDUCATION-ACT</w:t>
        </w:r>
      </w:hyperlink>
      <w:r w:rsidR="00A2586A">
        <w:rPr>
          <w:rFonts w:ascii="Lato" w:hAnsi="Lato"/>
          <w:color w:val="000000"/>
          <w:sz w:val="24"/>
          <w:szCs w:val="24"/>
        </w:rPr>
        <w:t xml:space="preserve"> </w:t>
      </w:r>
      <w:r w:rsidR="0061163D">
        <w:rPr>
          <w:rFonts w:ascii="Lato" w:hAnsi="Lato"/>
          <w:color w:val="000000"/>
          <w:sz w:val="24"/>
          <w:szCs w:val="24"/>
        </w:rPr>
        <w:t xml:space="preserve"> </w:t>
      </w:r>
    </w:p>
    <w:p w:rsidR="000D56C9" w:rsidRDefault="000D56C9" w:rsidP="00A2586A">
      <w:pPr>
        <w:pStyle w:val="HeaderText"/>
        <w:rPr>
          <w:rFonts w:ascii="Lato" w:hAnsi="Lato"/>
          <w:color w:val="000000"/>
          <w:sz w:val="24"/>
          <w:szCs w:val="24"/>
        </w:rPr>
      </w:pPr>
    </w:p>
    <w:p w:rsidR="00C6344B" w:rsidRDefault="00C6344B" w:rsidP="00A2586A">
      <w:pPr>
        <w:pStyle w:val="HeaderText"/>
        <w:rPr>
          <w:rFonts w:ascii="Lato" w:hAnsi="Lato"/>
          <w:i w:val="0"/>
          <w:color w:val="000000"/>
          <w:sz w:val="24"/>
          <w:szCs w:val="24"/>
        </w:rPr>
      </w:pPr>
      <w:r>
        <w:rPr>
          <w:rFonts w:ascii="Lato" w:hAnsi="Lato"/>
          <w:i w:val="0"/>
          <w:color w:val="000000"/>
          <w:sz w:val="24"/>
          <w:szCs w:val="24"/>
        </w:rPr>
        <w:t>Part 7, Division 1 -11 relates to Non-Government Schools</w:t>
      </w:r>
    </w:p>
    <w:p w:rsidR="000D56C9" w:rsidRDefault="000D56C9" w:rsidP="00A2586A">
      <w:pPr>
        <w:pStyle w:val="HeaderText"/>
        <w:rPr>
          <w:rFonts w:ascii="Lato" w:hAnsi="Lato"/>
          <w:i w:val="0"/>
          <w:color w:val="000000"/>
          <w:sz w:val="24"/>
          <w:szCs w:val="24"/>
        </w:rPr>
      </w:pPr>
    </w:p>
    <w:p w:rsidR="000D56C9" w:rsidRDefault="000D56C9" w:rsidP="00A2586A">
      <w:pPr>
        <w:pStyle w:val="HeaderText"/>
        <w:rPr>
          <w:rFonts w:ascii="Lato" w:hAnsi="Lato"/>
          <w:i w:val="0"/>
          <w:color w:val="000000"/>
          <w:sz w:val="24"/>
          <w:szCs w:val="24"/>
        </w:rPr>
      </w:pPr>
      <w:r>
        <w:rPr>
          <w:rFonts w:ascii="Lato" w:hAnsi="Lato"/>
          <w:i w:val="0"/>
          <w:color w:val="000000"/>
          <w:sz w:val="24"/>
          <w:szCs w:val="24"/>
        </w:rPr>
        <w:t xml:space="preserve">Guidelines </w:t>
      </w:r>
      <w:r w:rsidR="006E2710">
        <w:rPr>
          <w:rFonts w:ascii="Lato" w:hAnsi="Lato"/>
          <w:i w:val="0"/>
          <w:color w:val="000000"/>
          <w:sz w:val="24"/>
          <w:szCs w:val="24"/>
        </w:rPr>
        <w:t>for Applying for</w:t>
      </w:r>
      <w:r>
        <w:rPr>
          <w:rFonts w:ascii="Lato" w:hAnsi="Lato"/>
          <w:i w:val="0"/>
          <w:color w:val="000000"/>
          <w:sz w:val="24"/>
          <w:szCs w:val="24"/>
        </w:rPr>
        <w:t xml:space="preserve"> Registration or Variation</w:t>
      </w:r>
      <w:r w:rsidR="006E2710">
        <w:rPr>
          <w:rFonts w:ascii="Lato" w:hAnsi="Lato"/>
          <w:i w:val="0"/>
          <w:color w:val="000000"/>
          <w:sz w:val="24"/>
          <w:szCs w:val="24"/>
        </w:rPr>
        <w:t xml:space="preserve"> to the Registration of</w:t>
      </w:r>
      <w:r>
        <w:rPr>
          <w:rFonts w:ascii="Lato" w:hAnsi="Lato"/>
          <w:i w:val="0"/>
          <w:color w:val="000000"/>
          <w:sz w:val="24"/>
          <w:szCs w:val="24"/>
        </w:rPr>
        <w:t xml:space="preserve"> a Non-Government School.</w:t>
      </w:r>
    </w:p>
    <w:p w:rsidR="000D56C9" w:rsidRDefault="000D56C9" w:rsidP="00A2586A">
      <w:pPr>
        <w:pStyle w:val="HeaderText"/>
        <w:rPr>
          <w:rFonts w:ascii="Lato" w:hAnsi="Lato"/>
          <w:i w:val="0"/>
          <w:color w:val="000000"/>
          <w:sz w:val="24"/>
          <w:szCs w:val="24"/>
        </w:rPr>
      </w:pPr>
    </w:p>
    <w:p w:rsidR="00B415E7" w:rsidRDefault="00CD1C55" w:rsidP="00A2586A">
      <w:pPr>
        <w:pStyle w:val="HeaderText"/>
        <w:rPr>
          <w:rFonts w:ascii="Lato" w:hAnsi="Lato"/>
          <w:i w:val="0"/>
          <w:color w:val="000000"/>
          <w:sz w:val="24"/>
          <w:szCs w:val="24"/>
        </w:rPr>
      </w:pPr>
      <w:r>
        <w:rPr>
          <w:rFonts w:ascii="Lato" w:hAnsi="Lato"/>
          <w:i w:val="0"/>
          <w:color w:val="000000"/>
          <w:sz w:val="24"/>
          <w:szCs w:val="24"/>
        </w:rPr>
        <w:t xml:space="preserve">Policy - </w:t>
      </w:r>
      <w:r w:rsidR="00C6344B">
        <w:rPr>
          <w:rFonts w:ascii="Lato" w:hAnsi="Lato"/>
          <w:i w:val="0"/>
          <w:color w:val="000000"/>
          <w:sz w:val="24"/>
          <w:szCs w:val="24"/>
        </w:rPr>
        <w:t xml:space="preserve">Routine </w:t>
      </w:r>
      <w:r w:rsidR="00584B20">
        <w:rPr>
          <w:rFonts w:ascii="Lato" w:hAnsi="Lato"/>
          <w:i w:val="0"/>
          <w:color w:val="000000"/>
          <w:sz w:val="24"/>
          <w:szCs w:val="24"/>
        </w:rPr>
        <w:t>Assessment</w:t>
      </w:r>
      <w:r w:rsidR="00C6344B">
        <w:rPr>
          <w:rFonts w:ascii="Lato" w:hAnsi="Lato"/>
          <w:i w:val="0"/>
          <w:color w:val="000000"/>
          <w:sz w:val="24"/>
          <w:szCs w:val="24"/>
        </w:rPr>
        <w:t xml:space="preserve"> and Special Investigation of a Non-Government School.</w:t>
      </w:r>
      <w:r w:rsidR="006E2710">
        <w:rPr>
          <w:rFonts w:ascii="Lato" w:hAnsi="Lato"/>
          <w:i w:val="0"/>
          <w:color w:val="000000"/>
          <w:sz w:val="24"/>
          <w:szCs w:val="24"/>
        </w:rPr>
        <w:t xml:space="preserve"> </w:t>
      </w:r>
    </w:p>
    <w:p w:rsidR="00CD1C55" w:rsidRDefault="00CD1C55" w:rsidP="00A2586A">
      <w:pPr>
        <w:pStyle w:val="HeaderText"/>
        <w:rPr>
          <w:rFonts w:ascii="Lato" w:hAnsi="Lato"/>
          <w:i w:val="0"/>
          <w:color w:val="000000"/>
          <w:sz w:val="24"/>
          <w:szCs w:val="24"/>
        </w:rPr>
      </w:pPr>
    </w:p>
    <w:p w:rsidR="00CD1C55" w:rsidRDefault="00BD19AF" w:rsidP="00A2586A">
      <w:pPr>
        <w:pStyle w:val="HeaderText"/>
        <w:rPr>
          <w:rFonts w:ascii="Lato" w:hAnsi="Lato"/>
          <w:i w:val="0"/>
          <w:color w:val="000000"/>
          <w:sz w:val="24"/>
          <w:szCs w:val="24"/>
        </w:rPr>
      </w:pPr>
      <w:hyperlink r:id="rId9" w:history="1">
        <w:r w:rsidR="00CD1C55" w:rsidRPr="00484E9D">
          <w:rPr>
            <w:rStyle w:val="Hyperlink"/>
            <w:rFonts w:ascii="Lato" w:hAnsi="Lato"/>
            <w:i w:val="0"/>
            <w:sz w:val="24"/>
            <w:szCs w:val="24"/>
          </w:rPr>
          <w:t>https://education.nt.gov.au/education/policies/registration-of-a-non-government-school</w:t>
        </w:r>
      </w:hyperlink>
      <w:r w:rsidR="00CD1C55">
        <w:rPr>
          <w:rFonts w:ascii="Lato" w:hAnsi="Lato"/>
          <w:i w:val="0"/>
          <w:color w:val="000000"/>
          <w:sz w:val="24"/>
          <w:szCs w:val="24"/>
        </w:rPr>
        <w:t xml:space="preserve"> </w:t>
      </w:r>
    </w:p>
    <w:p w:rsidR="000D56C9" w:rsidRDefault="000D56C9" w:rsidP="000D56C9">
      <w:pPr>
        <w:pStyle w:val="HeaderText"/>
        <w:rPr>
          <w:rFonts w:ascii="Lato" w:hAnsi="Lato"/>
          <w:i w:val="0"/>
          <w:color w:val="000000"/>
          <w:sz w:val="24"/>
          <w:szCs w:val="24"/>
        </w:rPr>
      </w:pPr>
    </w:p>
    <w:p w:rsidR="00393A44" w:rsidRPr="00A2586A" w:rsidRDefault="008A59B9" w:rsidP="00A2586A">
      <w:pPr>
        <w:ind w:right="-2"/>
        <w:rPr>
          <w:rFonts w:ascii="Lato" w:hAnsi="Lato" w:cs="Arial"/>
          <w:bCs/>
          <w:sz w:val="24"/>
          <w:lang w:val="en-US"/>
        </w:rPr>
      </w:pPr>
      <w:r w:rsidRPr="00A2586A">
        <w:rPr>
          <w:rFonts w:ascii="Lato" w:hAnsi="Lato" w:cs="Arial"/>
          <w:bCs/>
          <w:sz w:val="24"/>
          <w:lang w:val="en-US"/>
        </w:rPr>
        <w:br/>
      </w:r>
    </w:p>
    <w:sectPr w:rsidR="00393A44" w:rsidRPr="00A2586A" w:rsidSect="00195D9D">
      <w:headerReference w:type="default" r:id="rId10"/>
      <w:footerReference w:type="default" r:id="rId11"/>
      <w:headerReference w:type="first" r:id="rId12"/>
      <w:footerReference w:type="first" r:id="rId13"/>
      <w:type w:val="continuous"/>
      <w:pgSz w:w="11906" w:h="16838" w:code="9"/>
      <w:pgMar w:top="1134" w:right="851" w:bottom="1560" w:left="851" w:header="51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9AF" w:rsidRDefault="00BD19AF">
      <w:r>
        <w:separator/>
      </w:r>
    </w:p>
  </w:endnote>
  <w:endnote w:type="continuationSeparator" w:id="0">
    <w:p w:rsidR="00BD19AF" w:rsidRDefault="00BD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Pr="005B6284" w:rsidRDefault="00D11054" w:rsidP="005B6284">
    <w:pPr>
      <w:pStyle w:val="Footer"/>
      <w:tabs>
        <w:tab w:val="left" w:pos="-2410"/>
      </w:tabs>
      <w:ind w:left="0"/>
    </w:pPr>
    <w:r w:rsidRPr="00513404">
      <w:t xml:space="preserve">Page </w:t>
    </w:r>
    <w:r w:rsidR="000D159E">
      <w:fldChar w:fldCharType="begin"/>
    </w:r>
    <w:r w:rsidR="000D159E">
      <w:instrText xml:space="preserve"> PAGE </w:instrText>
    </w:r>
    <w:r w:rsidR="000D159E">
      <w:fldChar w:fldCharType="separate"/>
    </w:r>
    <w:r w:rsidR="00447CEB">
      <w:rPr>
        <w:noProof/>
      </w:rPr>
      <w:t>3</w:t>
    </w:r>
    <w:r w:rsidR="000D159E">
      <w:rPr>
        <w:noProof/>
      </w:rPr>
      <w:fldChar w:fldCharType="end"/>
    </w:r>
    <w:r>
      <w:t xml:space="preserve"> of </w:t>
    </w:r>
    <w:r w:rsidR="00BD19AF">
      <w:fldChar w:fldCharType="begin"/>
    </w:r>
    <w:r w:rsidR="00BD19AF">
      <w:instrText xml:space="preserve"> NUMPAGES  </w:instrText>
    </w:r>
    <w:r w:rsidR="00BD19AF">
      <w:fldChar w:fldCharType="separate"/>
    </w:r>
    <w:r w:rsidR="00447CEB">
      <w:rPr>
        <w:noProof/>
      </w:rPr>
      <w:t>3</w:t>
    </w:r>
    <w:r w:rsidR="00BD19AF">
      <w:rPr>
        <w:noProof/>
      </w:rPr>
      <w:fldChar w:fldCharType="end"/>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0D159E">
      <w:rPr>
        <w:sz w:val="24"/>
      </w:rPr>
      <w:t>www.education</w:t>
    </w:r>
    <w:r w:rsidR="000D159E" w:rsidRPr="003D1153">
      <w:rPr>
        <w:sz w:val="24"/>
      </w:rPr>
      <w:t>.nt.gov.au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Pr="007C1A21" w:rsidRDefault="00D11054" w:rsidP="005B6284">
    <w:pPr>
      <w:pStyle w:val="Footer"/>
      <w:tabs>
        <w:tab w:val="left" w:pos="-2410"/>
      </w:tabs>
      <w:ind w:left="0"/>
      <w:rPr>
        <w:rFonts w:ascii="Lato" w:hAnsi="Lato"/>
      </w:rPr>
    </w:pPr>
    <w:r w:rsidRPr="007C1A21">
      <w:rPr>
        <w:rFonts w:ascii="Lato" w:hAnsi="Lato"/>
      </w:rPr>
      <w:t xml:space="preserve">Page </w:t>
    </w:r>
    <w:r w:rsidR="002C47FB" w:rsidRPr="007C1A21">
      <w:rPr>
        <w:rFonts w:ascii="Lato" w:hAnsi="Lato"/>
        <w:b/>
        <w:sz w:val="24"/>
      </w:rPr>
      <w:fldChar w:fldCharType="begin"/>
    </w:r>
    <w:r w:rsidRPr="007C1A21">
      <w:rPr>
        <w:rFonts w:ascii="Lato" w:hAnsi="Lato"/>
        <w:b/>
      </w:rPr>
      <w:instrText xml:space="preserve"> PAGE </w:instrText>
    </w:r>
    <w:r w:rsidR="002C47FB" w:rsidRPr="007C1A21">
      <w:rPr>
        <w:rFonts w:ascii="Lato" w:hAnsi="Lato"/>
        <w:b/>
        <w:sz w:val="24"/>
      </w:rPr>
      <w:fldChar w:fldCharType="separate"/>
    </w:r>
    <w:r w:rsidR="00447CEB">
      <w:rPr>
        <w:rFonts w:ascii="Lato" w:hAnsi="Lato"/>
        <w:b/>
        <w:noProof/>
      </w:rPr>
      <w:t>1</w:t>
    </w:r>
    <w:r w:rsidR="002C47FB" w:rsidRPr="007C1A21">
      <w:rPr>
        <w:rFonts w:ascii="Lato" w:hAnsi="Lato"/>
        <w:b/>
        <w:sz w:val="24"/>
      </w:rPr>
      <w:fldChar w:fldCharType="end"/>
    </w:r>
    <w:r w:rsidRPr="007C1A21">
      <w:rPr>
        <w:rFonts w:ascii="Lato" w:hAnsi="Lato"/>
      </w:rPr>
      <w:t xml:space="preserve"> of </w:t>
    </w:r>
    <w:r w:rsidR="002C47FB" w:rsidRPr="007C1A21">
      <w:rPr>
        <w:rFonts w:ascii="Lato" w:hAnsi="Lato"/>
        <w:b/>
        <w:sz w:val="24"/>
      </w:rPr>
      <w:fldChar w:fldCharType="begin"/>
    </w:r>
    <w:r w:rsidRPr="007C1A21">
      <w:rPr>
        <w:rFonts w:ascii="Lato" w:hAnsi="Lato"/>
        <w:b/>
      </w:rPr>
      <w:instrText xml:space="preserve"> NUMPAGES  </w:instrText>
    </w:r>
    <w:r w:rsidR="002C47FB" w:rsidRPr="007C1A21">
      <w:rPr>
        <w:rFonts w:ascii="Lato" w:hAnsi="Lato"/>
        <w:b/>
        <w:sz w:val="24"/>
      </w:rPr>
      <w:fldChar w:fldCharType="separate"/>
    </w:r>
    <w:r w:rsidR="00447CEB">
      <w:rPr>
        <w:rFonts w:ascii="Lato" w:hAnsi="Lato"/>
        <w:b/>
        <w:noProof/>
      </w:rPr>
      <w:t>3</w:t>
    </w:r>
    <w:r w:rsidR="002C47FB" w:rsidRPr="007C1A21">
      <w:rPr>
        <w:rFonts w:ascii="Lato" w:hAnsi="Lato"/>
        <w:b/>
        <w:sz w:val="24"/>
      </w:rPr>
      <w:fldChar w:fldCharType="end"/>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Pr="007C1A21">
      <w:rPr>
        <w:rFonts w:ascii="Lato" w:hAnsi="Lato"/>
        <w:b/>
        <w:sz w:val="24"/>
      </w:rPr>
      <w:tab/>
    </w:r>
    <w:r w:rsidR="000D159E" w:rsidRPr="007C1A21">
      <w:rPr>
        <w:rFonts w:ascii="Lato" w:hAnsi="Lato"/>
        <w:sz w:val="24"/>
      </w:rPr>
      <w:t>www.education</w:t>
    </w:r>
    <w:r w:rsidRPr="007C1A21">
      <w:rPr>
        <w:rFonts w:ascii="Lato" w:hAnsi="Lato"/>
        <w:sz w:val="24"/>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9AF" w:rsidRDefault="00BD19AF">
      <w:r>
        <w:separator/>
      </w:r>
    </w:p>
  </w:footnote>
  <w:footnote w:type="continuationSeparator" w:id="0">
    <w:p w:rsidR="00BD19AF" w:rsidRDefault="00BD1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Default="00D11054">
    <w:pPr>
      <w:spacing w:before="120" w:after="120"/>
      <w:ind w:left="-284"/>
      <w:rPr>
        <w:b/>
        <w:bCs/>
        <w:iCs/>
        <w:color w:val="002868"/>
        <w:lang w:val="en-US"/>
      </w:rPr>
    </w:pPr>
    <w:r>
      <w:rPr>
        <w:b/>
        <w:bCs/>
        <w:iCs/>
        <w:color w:val="002868"/>
        <w:lang w:val="en-US"/>
      </w:rPr>
      <w:t>D</w:t>
    </w:r>
    <w:r w:rsidR="000D159E">
      <w:rPr>
        <w:b/>
        <w:bCs/>
        <w:iCs/>
        <w:color w:val="002868"/>
        <w:lang w:val="en-US"/>
      </w:rPr>
      <w:t>oE</w:t>
    </w:r>
    <w:r>
      <w:rPr>
        <w:b/>
        <w:bCs/>
        <w:iCs/>
        <w:color w:val="002868"/>
        <w:lang w:val="en-US"/>
      </w:rPr>
      <w:t xml:space="preserve"> Policy: </w:t>
    </w:r>
    <w:r w:rsidR="005121C3">
      <w:t>Registration of a Non-Government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Default="0091502E" w:rsidP="000846C2">
    <w:pPr>
      <w:tabs>
        <w:tab w:val="left" w:pos="8080"/>
      </w:tabs>
      <w:rPr>
        <w:color w:val="FFFFFF"/>
      </w:rPr>
    </w:pPr>
    <w:r>
      <w:rPr>
        <w:noProof/>
        <w:lang w:eastAsia="en-AU"/>
      </w:rPr>
      <w:drawing>
        <wp:anchor distT="114300" distB="114300" distL="114300" distR="114300" simplePos="0" relativeHeight="251659264" behindDoc="1" locked="0" layoutInCell="0" allowOverlap="1" wp14:anchorId="02403D17" wp14:editId="75743CD8">
          <wp:simplePos x="0" y="0"/>
          <wp:positionH relativeFrom="margin">
            <wp:posOffset>-123825</wp:posOffset>
          </wp:positionH>
          <wp:positionV relativeFrom="margin">
            <wp:posOffset>-2726055</wp:posOffset>
          </wp:positionV>
          <wp:extent cx="2169160" cy="701040"/>
          <wp:effectExtent l="0" t="0" r="0" b="381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992"/>
      <w:gridCol w:w="992"/>
    </w:tblGrid>
    <w:tr w:rsidR="00D11054" w:rsidTr="00195D9D">
      <w:trPr>
        <w:cantSplit/>
        <w:trHeight w:hRule="exact" w:val="680"/>
      </w:trPr>
      <w:tc>
        <w:tcPr>
          <w:tcW w:w="10514" w:type="dxa"/>
          <w:gridSpan w:val="5"/>
          <w:vAlign w:val="center"/>
        </w:tcPr>
        <w:p w:rsidR="00D11054" w:rsidRPr="00195D9D" w:rsidRDefault="00D11054">
          <w:pPr>
            <w:pStyle w:val="BannerBig"/>
            <w:rPr>
              <w:rFonts w:ascii="Lato Black" w:hAnsi="Lato Black"/>
              <w:color w:val="002868"/>
              <w:sz w:val="46"/>
              <w:szCs w:val="46"/>
            </w:rPr>
          </w:pPr>
          <w:r w:rsidRPr="00195D9D">
            <w:rPr>
              <w:rFonts w:ascii="Lato Black" w:hAnsi="Lato Black"/>
              <w:color w:val="002868"/>
              <w:sz w:val="46"/>
              <w:szCs w:val="46"/>
            </w:rPr>
            <w:t>POLICY</w:t>
          </w:r>
        </w:p>
      </w:tc>
    </w:tr>
    <w:tr w:rsidR="00D11054" w:rsidTr="00195D9D">
      <w:trPr>
        <w:cantSplit/>
        <w:trHeight w:val="794"/>
      </w:trPr>
      <w:tc>
        <w:tcPr>
          <w:tcW w:w="10514" w:type="dxa"/>
          <w:gridSpan w:val="5"/>
          <w:vAlign w:val="center"/>
        </w:tcPr>
        <w:p w:rsidR="00D11054" w:rsidRPr="00195D9D" w:rsidRDefault="00CB66AE">
          <w:pPr>
            <w:pStyle w:val="PolicyTitle"/>
            <w:rPr>
              <w:rFonts w:ascii="Lato" w:hAnsi="Lato"/>
            </w:rPr>
          </w:pPr>
          <w:r>
            <w:rPr>
              <w:rFonts w:ascii="Lato" w:hAnsi="Lato"/>
            </w:rPr>
            <w:t>REGISTRATION OF A NON-GOVERNMENT SCHOOL</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Responsibility of:</w:t>
          </w:r>
        </w:p>
      </w:tc>
      <w:tc>
        <w:tcPr>
          <w:tcW w:w="5386" w:type="dxa"/>
          <w:vAlign w:val="center"/>
        </w:tcPr>
        <w:p w:rsidR="00D11054" w:rsidRPr="00195D9D" w:rsidRDefault="00CB66AE">
          <w:pPr>
            <w:pStyle w:val="Header"/>
            <w:rPr>
              <w:rFonts w:ascii="Lato" w:hAnsi="Lato"/>
              <w:sz w:val="22"/>
              <w:szCs w:val="22"/>
            </w:rPr>
          </w:pPr>
          <w:r>
            <w:rPr>
              <w:rFonts w:ascii="Lato" w:hAnsi="Lato"/>
              <w:sz w:val="22"/>
              <w:szCs w:val="22"/>
            </w:rPr>
            <w:t>Education Services</w:t>
          </w:r>
        </w:p>
      </w:tc>
      <w:tc>
        <w:tcPr>
          <w:tcW w:w="1017" w:type="dxa"/>
          <w:vAlign w:val="center"/>
        </w:tcPr>
        <w:p w:rsidR="00D11054" w:rsidRPr="00195D9D" w:rsidRDefault="00D11054" w:rsidP="005121C3">
          <w:pPr>
            <w:pStyle w:val="Header"/>
            <w:rPr>
              <w:rFonts w:ascii="Lato" w:hAnsi="Lato"/>
              <w:sz w:val="22"/>
              <w:szCs w:val="22"/>
              <w:lang w:val="en-US"/>
            </w:rPr>
          </w:pPr>
          <w:r w:rsidRPr="00195D9D">
            <w:rPr>
              <w:rFonts w:ascii="Lato" w:hAnsi="Lato"/>
              <w:sz w:val="22"/>
              <w:szCs w:val="22"/>
            </w:rPr>
            <w:t>D</w:t>
          </w:r>
          <w:r w:rsidR="005121C3">
            <w:rPr>
              <w:rFonts w:ascii="Lato" w:hAnsi="Lato"/>
              <w:sz w:val="22"/>
              <w:szCs w:val="22"/>
            </w:rPr>
            <w:t>oE</w:t>
          </w:r>
          <w:r w:rsidRPr="00195D9D">
            <w:rPr>
              <w:rFonts w:ascii="Lato" w:hAnsi="Lato"/>
              <w:sz w:val="22"/>
              <w:szCs w:val="22"/>
            </w:rPr>
            <w:t xml:space="preserve"> File: </w:t>
          </w:r>
        </w:p>
      </w:tc>
      <w:tc>
        <w:tcPr>
          <w:tcW w:w="1984" w:type="dxa"/>
          <w:gridSpan w:val="2"/>
          <w:vAlign w:val="center"/>
        </w:tcPr>
        <w:p w:rsidR="00D11054" w:rsidRPr="00195D9D" w:rsidRDefault="00DC586A">
          <w:pPr>
            <w:pStyle w:val="Header"/>
            <w:rPr>
              <w:rFonts w:ascii="Lato" w:hAnsi="Lato"/>
              <w:sz w:val="22"/>
              <w:szCs w:val="22"/>
              <w:lang w:val="en-US"/>
            </w:rPr>
          </w:pPr>
          <w:r>
            <w:rPr>
              <w:rFonts w:ascii="Lato" w:hAnsi="Lato"/>
              <w:sz w:val="22"/>
              <w:szCs w:val="22"/>
              <w:lang w:val="en-US"/>
            </w:rPr>
            <w:t>2017/518</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Effective Date:</w:t>
          </w:r>
        </w:p>
      </w:tc>
      <w:tc>
        <w:tcPr>
          <w:tcW w:w="5386" w:type="dxa"/>
          <w:vAlign w:val="center"/>
        </w:tcPr>
        <w:p w:rsidR="00D11054" w:rsidRPr="00195D9D" w:rsidRDefault="00DC586A" w:rsidP="00DC586A">
          <w:pPr>
            <w:pStyle w:val="Header"/>
            <w:rPr>
              <w:rFonts w:ascii="Lato" w:hAnsi="Lato"/>
              <w:sz w:val="22"/>
              <w:szCs w:val="22"/>
            </w:rPr>
          </w:pPr>
          <w:r>
            <w:rPr>
              <w:rFonts w:ascii="Lato" w:hAnsi="Lato"/>
              <w:sz w:val="22"/>
              <w:szCs w:val="22"/>
            </w:rPr>
            <w:t>1</w:t>
          </w:r>
          <w:r w:rsidR="00CB66AE">
            <w:rPr>
              <w:rFonts w:ascii="Lato" w:hAnsi="Lato"/>
              <w:sz w:val="22"/>
              <w:szCs w:val="22"/>
            </w:rPr>
            <w:t xml:space="preserve"> J</w:t>
          </w:r>
          <w:r>
            <w:rPr>
              <w:rFonts w:ascii="Lato" w:hAnsi="Lato"/>
              <w:sz w:val="22"/>
              <w:szCs w:val="22"/>
            </w:rPr>
            <w:t>anuary</w:t>
          </w:r>
          <w:r w:rsidR="00CB66AE">
            <w:rPr>
              <w:rFonts w:ascii="Lato" w:hAnsi="Lato"/>
              <w:sz w:val="22"/>
              <w:szCs w:val="22"/>
            </w:rPr>
            <w:t xml:space="preserve"> 201</w:t>
          </w:r>
          <w:r>
            <w:rPr>
              <w:rFonts w:ascii="Lato" w:hAnsi="Lato"/>
              <w:sz w:val="22"/>
              <w:szCs w:val="22"/>
            </w:rPr>
            <w:t>7</w:t>
          </w:r>
        </w:p>
      </w:tc>
      <w:tc>
        <w:tcPr>
          <w:tcW w:w="3001" w:type="dxa"/>
          <w:gridSpan w:val="3"/>
          <w:vAlign w:val="center"/>
        </w:tcPr>
        <w:p w:rsidR="00D11054" w:rsidRPr="00195D9D" w:rsidRDefault="007C1A21" w:rsidP="007C1A21">
          <w:pPr>
            <w:pStyle w:val="Header"/>
            <w:rPr>
              <w:rFonts w:ascii="Lato" w:hAnsi="Lato"/>
              <w:sz w:val="22"/>
              <w:szCs w:val="22"/>
            </w:rPr>
          </w:pPr>
          <w:r>
            <w:rPr>
              <w:rFonts w:ascii="Lato" w:hAnsi="Lato"/>
              <w:sz w:val="22"/>
              <w:szCs w:val="22"/>
            </w:rPr>
            <w:t>EDOC</w:t>
          </w:r>
          <w:r w:rsidR="00F55F9F">
            <w:rPr>
              <w:rFonts w:ascii="Lato" w:hAnsi="Lato"/>
              <w:sz w:val="22"/>
              <w:szCs w:val="22"/>
            </w:rPr>
            <w:t>2017/27832</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Next Review Date:</w:t>
          </w:r>
        </w:p>
      </w:tc>
      <w:tc>
        <w:tcPr>
          <w:tcW w:w="5386" w:type="dxa"/>
          <w:vAlign w:val="center"/>
        </w:tcPr>
        <w:p w:rsidR="00D11054" w:rsidRPr="00195D9D" w:rsidRDefault="00DC586A" w:rsidP="00DC586A">
          <w:pPr>
            <w:pStyle w:val="Header"/>
            <w:rPr>
              <w:rFonts w:ascii="Lato" w:hAnsi="Lato"/>
              <w:sz w:val="22"/>
              <w:szCs w:val="22"/>
            </w:rPr>
          </w:pPr>
          <w:r>
            <w:rPr>
              <w:rFonts w:ascii="Lato" w:hAnsi="Lato"/>
              <w:sz w:val="22"/>
              <w:szCs w:val="22"/>
            </w:rPr>
            <w:t>1 January 2022</w:t>
          </w:r>
        </w:p>
      </w:tc>
      <w:tc>
        <w:tcPr>
          <w:tcW w:w="2009" w:type="dxa"/>
          <w:gridSpan w:val="2"/>
          <w:vAlign w:val="center"/>
        </w:tcPr>
        <w:p w:rsidR="00D11054" w:rsidRPr="00195D9D" w:rsidRDefault="007C1A21">
          <w:pPr>
            <w:pStyle w:val="Header"/>
            <w:rPr>
              <w:rFonts w:ascii="Lato" w:hAnsi="Lato"/>
              <w:sz w:val="22"/>
              <w:szCs w:val="22"/>
            </w:rPr>
          </w:pPr>
          <w:r w:rsidRPr="00195D9D">
            <w:rPr>
              <w:rFonts w:ascii="Lato" w:hAnsi="Lato"/>
              <w:sz w:val="22"/>
              <w:szCs w:val="22"/>
            </w:rPr>
            <w:t>Version Number:</w:t>
          </w:r>
        </w:p>
      </w:tc>
      <w:tc>
        <w:tcPr>
          <w:tcW w:w="992" w:type="dxa"/>
          <w:vAlign w:val="center"/>
        </w:tcPr>
        <w:p w:rsidR="00D11054" w:rsidRPr="00195D9D" w:rsidRDefault="00D11054" w:rsidP="00DC586A">
          <w:pPr>
            <w:pStyle w:val="Header"/>
            <w:rPr>
              <w:rFonts w:ascii="Lato" w:hAnsi="Lato"/>
              <w:sz w:val="22"/>
              <w:szCs w:val="22"/>
            </w:rPr>
          </w:pPr>
          <w:r w:rsidRPr="00195D9D">
            <w:rPr>
              <w:rFonts w:ascii="Lato" w:hAnsi="Lato"/>
              <w:sz w:val="22"/>
              <w:szCs w:val="22"/>
            </w:rPr>
            <w:t>No.</w:t>
          </w:r>
          <w:r w:rsidR="00DC586A">
            <w:rPr>
              <w:rFonts w:ascii="Lato" w:hAnsi="Lato"/>
              <w:sz w:val="22"/>
              <w:szCs w:val="22"/>
            </w:rPr>
            <w:t>2</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Target Audience:</w:t>
          </w:r>
        </w:p>
      </w:tc>
      <w:tc>
        <w:tcPr>
          <w:tcW w:w="5386" w:type="dxa"/>
          <w:vAlign w:val="center"/>
        </w:tcPr>
        <w:p w:rsidR="00D11054" w:rsidRPr="00195D9D" w:rsidRDefault="00CB66AE" w:rsidP="00B945F3">
          <w:pPr>
            <w:pStyle w:val="Header"/>
            <w:rPr>
              <w:rFonts w:ascii="Lato" w:hAnsi="Lato"/>
              <w:sz w:val="22"/>
              <w:szCs w:val="22"/>
            </w:rPr>
          </w:pPr>
          <w:r>
            <w:rPr>
              <w:rFonts w:ascii="Lato" w:hAnsi="Lato"/>
              <w:sz w:val="22"/>
              <w:szCs w:val="22"/>
            </w:rPr>
            <w:t xml:space="preserve">School </w:t>
          </w:r>
          <w:r w:rsidR="00B945F3">
            <w:rPr>
              <w:rFonts w:ascii="Lato" w:hAnsi="Lato"/>
              <w:sz w:val="22"/>
              <w:szCs w:val="22"/>
            </w:rPr>
            <w:t>Governing Body</w:t>
          </w:r>
        </w:p>
      </w:tc>
      <w:tc>
        <w:tcPr>
          <w:tcW w:w="3001" w:type="dxa"/>
          <w:gridSpan w:val="3"/>
          <w:vAlign w:val="center"/>
        </w:tcPr>
        <w:p w:rsidR="00D11054" w:rsidRPr="00195D9D" w:rsidRDefault="00D11054">
          <w:pPr>
            <w:pStyle w:val="Header"/>
            <w:tabs>
              <w:tab w:val="left" w:pos="2160"/>
            </w:tabs>
            <w:rPr>
              <w:rFonts w:ascii="Lato" w:hAnsi="Lato"/>
              <w:sz w:val="22"/>
              <w:szCs w:val="22"/>
            </w:rPr>
          </w:pPr>
        </w:p>
      </w:tc>
    </w:tr>
  </w:tbl>
  <w:p w:rsidR="000846C2" w:rsidRDefault="0091502E" w:rsidP="000846C2">
    <w:pPr>
      <w:pStyle w:val="Header"/>
    </w:pPr>
    <w:r>
      <w:rPr>
        <w:noProof/>
        <w:lang w:eastAsia="en-AU"/>
      </w:rPr>
      <w:drawing>
        <wp:anchor distT="114300" distB="114300" distL="114300" distR="114300" simplePos="0" relativeHeight="251658240" behindDoc="1" locked="0" layoutInCell="1" allowOverlap="1" wp14:anchorId="5B419E29" wp14:editId="7F5D7537">
          <wp:simplePos x="0" y="0"/>
          <wp:positionH relativeFrom="margin">
            <wp:posOffset>4483735</wp:posOffset>
          </wp:positionH>
          <wp:positionV relativeFrom="page">
            <wp:posOffset>635</wp:posOffset>
          </wp:positionV>
          <wp:extent cx="704850" cy="1104900"/>
          <wp:effectExtent l="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46C2" w:rsidRDefault="0091502E" w:rsidP="000846C2">
    <w:pPr>
      <w:pStyle w:val="Header"/>
    </w:pPr>
    <w:r>
      <w:rPr>
        <w:noProof/>
        <w:lang w:eastAsia="en-AU"/>
      </w:rPr>
      <mc:AlternateContent>
        <mc:Choice Requires="wps">
          <w:drawing>
            <wp:anchor distT="0" distB="0" distL="114300" distR="114300" simplePos="0" relativeHeight="251656192" behindDoc="0" locked="0" layoutInCell="1" allowOverlap="1" wp14:anchorId="3F66B584" wp14:editId="624E706D">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6C2" w:rsidRDefault="000846C2" w:rsidP="000846C2">
                          <w:pPr>
                            <w:pStyle w:val="Departmentof"/>
                          </w:pPr>
                          <w:r>
                            <w:t>Department of</w:t>
                          </w:r>
                        </w:p>
                        <w:p w:rsidR="000846C2" w:rsidRDefault="000846C2"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6B584" id="_x0000_t202" coordsize="21600,21600" o:spt="202" path="m,l,21600r21600,l21600,xe">
              <v:stroke joinstyle="miter"/>
              <v:path gradientshapeok="t" o:connecttype="rect"/>
            </v:shapetype>
            <v:shape id="_x0000_tx2" o:spid="_x0000_s1026" type="#_x0000_t202" style="position:absolute;margin-left:453.25pt;margin-top:49.55pt;width:124pt;height:2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hwQUGLECAACpBQAA&#10;DgAAAAAAAAAAAAAAAAAuAgAAZHJzL2Uyb0RvYy54bWxQSwECLQAUAAYACAAAACEA3H6gM+AAAAAL&#10;AQAADwAAAAAAAAAAAAAAAAALBQAAZHJzL2Rvd25yZXYueG1sUEsFBgAAAAAEAAQA8wAAABgGAAAA&#10;AA==&#10;" filled="f" stroked="f">
              <v:textbox inset="0,0,0,0">
                <w:txbxContent>
                  <w:p w:rsidR="000846C2" w:rsidRDefault="000846C2" w:rsidP="000846C2">
                    <w:pPr>
                      <w:pStyle w:val="Departmentof"/>
                    </w:pPr>
                    <w:r>
                      <w:t>Department of</w:t>
                    </w:r>
                  </w:p>
                  <w:p w:rsidR="000846C2" w:rsidRDefault="000846C2" w:rsidP="000846C2">
                    <w:pPr>
                      <w:pStyle w:val="Departmentname"/>
                    </w:pPr>
                    <w:r>
                      <w:t>Education</w:t>
                    </w:r>
                  </w:p>
                </w:txbxContent>
              </v:textbox>
              <w10:wrap type="tight" anchorx="page" anchory="page"/>
            </v:shape>
          </w:pict>
        </mc:Fallback>
      </mc:AlternateContent>
    </w:r>
  </w:p>
  <w:p w:rsidR="000846C2" w:rsidRDefault="000846C2" w:rsidP="000846C2">
    <w:pPr>
      <w:pStyle w:val="Header"/>
    </w:pPr>
  </w:p>
  <w:p w:rsidR="000846C2" w:rsidRDefault="000846C2" w:rsidP="000846C2">
    <w:pPr>
      <w:pStyle w:val="Header"/>
      <w:tabs>
        <w:tab w:val="left" w:pos="7515"/>
      </w:tabs>
    </w:pPr>
    <w:r>
      <w:tab/>
    </w:r>
  </w:p>
  <w:p w:rsidR="00D11054" w:rsidRDefault="0091502E" w:rsidP="007C1D9E">
    <w:pPr>
      <w:pStyle w:val="Header"/>
      <w:tabs>
        <w:tab w:val="right" w:pos="8789"/>
      </w:tabs>
      <w:rPr>
        <w:color w:val="FFFFFF"/>
      </w:rPr>
    </w:pPr>
    <w:r>
      <w:rPr>
        <w:noProof/>
        <w:lang w:eastAsia="en-AU"/>
      </w:rPr>
      <mc:AlternateContent>
        <mc:Choice Requires="wps">
          <w:drawing>
            <wp:anchor distT="0" distB="0" distL="114300" distR="114300" simplePos="0" relativeHeight="251657216" behindDoc="0" locked="0" layoutInCell="1" allowOverlap="1" wp14:anchorId="763BFFE1" wp14:editId="76D4455C">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6C2" w:rsidRDefault="000846C2"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63BFFE1" id="Text Box 9" o:spid="_x0000_s1027" type="#_x0000_t202" style="position:absolute;margin-left:371.3pt;margin-top:682.9pt;width:124.7pt;height:1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pesQIAALA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avdKXrECAACwBQAA&#10;DgAAAAAAAAAAAAAAAAAuAgAAZHJzL2Uyb0RvYy54bWxQSwECLQAUAAYACAAAACEATtd6b+AAAAAN&#10;AQAADwAAAAAAAAAAAAAAAAALBQAAZHJzL2Rvd25yZXYueG1sUEsFBgAAAAAEAAQA8wAAABgGAAAA&#10;AA==&#10;" filled="f" stroked="f">
              <v:textbox inset="0,0,0,0">
                <w:txbxContent>
                  <w:p w:rsidR="000846C2" w:rsidRDefault="000846C2" w:rsidP="000846C2">
                    <w:pPr>
                      <w:pStyle w:val="web"/>
                    </w:pPr>
                    <w:r>
                      <w:t>www.education.nt.gov.au</w:t>
                    </w:r>
                  </w:p>
                </w:txbxContent>
              </v:textbox>
              <w10:wrap type="tight" anchorx="margin" anchory="margin"/>
            </v:shape>
          </w:pict>
        </mc:Fallback>
      </mc:AlternateContent>
    </w:r>
  </w:p>
  <w:p w:rsidR="00D11054" w:rsidRDefault="00D11054">
    <w:pPr>
      <w:pStyle w:val="Header"/>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4F72B82"/>
    <w:multiLevelType w:val="hybridMultilevel"/>
    <w:tmpl w:val="0F9638EE"/>
    <w:lvl w:ilvl="0" w:tplc="5AE0A194">
      <w:start w:val="1"/>
      <w:numFmt w:val="decimal"/>
      <w:lvlText w:val="1.%1"/>
      <w:lvlJc w:val="left"/>
      <w:pPr>
        <w:ind w:left="1146" w:hanging="360"/>
      </w:pPr>
      <w:rPr>
        <w:rFonts w:hint="default"/>
        <w:sz w:val="24"/>
        <w:szCs w:val="24"/>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15:restartNumberingAfterBreak="0">
    <w:nsid w:val="088625A4"/>
    <w:multiLevelType w:val="hybridMultilevel"/>
    <w:tmpl w:val="F4FC1844"/>
    <w:lvl w:ilvl="0" w:tplc="4ED01A5E">
      <w:start w:val="1"/>
      <w:numFmt w:val="decimal"/>
      <w:lvlText w:val="5.%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C87531"/>
    <w:multiLevelType w:val="hybridMultilevel"/>
    <w:tmpl w:val="771E2B66"/>
    <w:lvl w:ilvl="0" w:tplc="500E87DC">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A95C08"/>
    <w:multiLevelType w:val="hybridMultilevel"/>
    <w:tmpl w:val="0C86C68C"/>
    <w:lvl w:ilvl="0" w:tplc="2B560F4A">
      <w:start w:val="1"/>
      <w:numFmt w:val="decimal"/>
      <w:lvlText w:val="3.%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EC1489"/>
    <w:multiLevelType w:val="hybridMultilevel"/>
    <w:tmpl w:val="891ED574"/>
    <w:lvl w:ilvl="0" w:tplc="3D80EBDA">
      <w:start w:val="1"/>
      <w:numFmt w:val="decimal"/>
      <w:lvlText w:val="6.%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5D1B4A"/>
    <w:multiLevelType w:val="hybridMultilevel"/>
    <w:tmpl w:val="1EC25F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BF285B"/>
    <w:multiLevelType w:val="hybridMultilevel"/>
    <w:tmpl w:val="EDF69AB8"/>
    <w:lvl w:ilvl="0" w:tplc="3D54510C">
      <w:start w:val="1"/>
      <w:numFmt w:val="decimal"/>
      <w:lvlText w:val="4.%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15:restartNumberingAfterBreak="0">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060F9F"/>
    <w:multiLevelType w:val="hybridMultilevel"/>
    <w:tmpl w:val="05F835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6"/>
  </w:num>
  <w:num w:numId="5">
    <w:abstractNumId w:val="19"/>
  </w:num>
  <w:num w:numId="6">
    <w:abstractNumId w:val="6"/>
  </w:num>
  <w:num w:numId="7">
    <w:abstractNumId w:val="14"/>
  </w:num>
  <w:num w:numId="8">
    <w:abstractNumId w:val="20"/>
  </w:num>
  <w:num w:numId="9">
    <w:abstractNumId w:val="13"/>
  </w:num>
  <w:num w:numId="10">
    <w:abstractNumId w:val="18"/>
  </w:num>
  <w:num w:numId="11">
    <w:abstractNumId w:val="17"/>
  </w:num>
  <w:num w:numId="12">
    <w:abstractNumId w:val="11"/>
  </w:num>
  <w:num w:numId="13">
    <w:abstractNumId w:val="9"/>
  </w:num>
  <w:num w:numId="14">
    <w:abstractNumId w:val="8"/>
  </w:num>
  <w:num w:numId="15">
    <w:abstractNumId w:val="2"/>
  </w:num>
  <w:num w:numId="16">
    <w:abstractNumId w:val="4"/>
  </w:num>
  <w:num w:numId="17">
    <w:abstractNumId w:val="5"/>
  </w:num>
  <w:num w:numId="18">
    <w:abstractNumId w:val="15"/>
  </w:num>
  <w:num w:numId="19">
    <w:abstractNumId w:val="3"/>
  </w:num>
  <w:num w:numId="20">
    <w:abstractNumId w:val="7"/>
  </w:num>
  <w:num w:numId="21">
    <w:abstractNumId w:val="21"/>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2E"/>
    <w:rsid w:val="00023E45"/>
    <w:rsid w:val="0005333D"/>
    <w:rsid w:val="00055845"/>
    <w:rsid w:val="00063F99"/>
    <w:rsid w:val="00066679"/>
    <w:rsid w:val="000823CA"/>
    <w:rsid w:val="000846C2"/>
    <w:rsid w:val="00090C1F"/>
    <w:rsid w:val="00090E16"/>
    <w:rsid w:val="00092993"/>
    <w:rsid w:val="000A04F8"/>
    <w:rsid w:val="000A59D5"/>
    <w:rsid w:val="000B1D46"/>
    <w:rsid w:val="000B48DD"/>
    <w:rsid w:val="000D0C31"/>
    <w:rsid w:val="000D159E"/>
    <w:rsid w:val="000D56C9"/>
    <w:rsid w:val="000E5B78"/>
    <w:rsid w:val="0010190F"/>
    <w:rsid w:val="001077CA"/>
    <w:rsid w:val="00112F67"/>
    <w:rsid w:val="00155324"/>
    <w:rsid w:val="00155A7F"/>
    <w:rsid w:val="00160561"/>
    <w:rsid w:val="00174DBA"/>
    <w:rsid w:val="001872C8"/>
    <w:rsid w:val="001913E6"/>
    <w:rsid w:val="00195D9D"/>
    <w:rsid w:val="001A39BF"/>
    <w:rsid w:val="001C2010"/>
    <w:rsid w:val="001C2C39"/>
    <w:rsid w:val="001C5257"/>
    <w:rsid w:val="001F67B0"/>
    <w:rsid w:val="00204A14"/>
    <w:rsid w:val="0021037D"/>
    <w:rsid w:val="0021568E"/>
    <w:rsid w:val="0022316E"/>
    <w:rsid w:val="00235BA1"/>
    <w:rsid w:val="002429F0"/>
    <w:rsid w:val="0024336D"/>
    <w:rsid w:val="002631E4"/>
    <w:rsid w:val="002747B8"/>
    <w:rsid w:val="002B576E"/>
    <w:rsid w:val="002C47FB"/>
    <w:rsid w:val="002D33D3"/>
    <w:rsid w:val="002D4DBE"/>
    <w:rsid w:val="002F1B2E"/>
    <w:rsid w:val="002F3D96"/>
    <w:rsid w:val="002F6C83"/>
    <w:rsid w:val="003173E8"/>
    <w:rsid w:val="00320702"/>
    <w:rsid w:val="003255A0"/>
    <w:rsid w:val="00325917"/>
    <w:rsid w:val="00326734"/>
    <w:rsid w:val="00334657"/>
    <w:rsid w:val="00375306"/>
    <w:rsid w:val="00393A44"/>
    <w:rsid w:val="00393F28"/>
    <w:rsid w:val="003A20CF"/>
    <w:rsid w:val="003A3BA8"/>
    <w:rsid w:val="003B6D82"/>
    <w:rsid w:val="003C6944"/>
    <w:rsid w:val="003D1153"/>
    <w:rsid w:val="003D6CD1"/>
    <w:rsid w:val="003E7CD0"/>
    <w:rsid w:val="003F32A9"/>
    <w:rsid w:val="003F4FB9"/>
    <w:rsid w:val="0041095E"/>
    <w:rsid w:val="00412E5A"/>
    <w:rsid w:val="00416D34"/>
    <w:rsid w:val="004273FD"/>
    <w:rsid w:val="00447CEB"/>
    <w:rsid w:val="00456280"/>
    <w:rsid w:val="00460484"/>
    <w:rsid w:val="00463389"/>
    <w:rsid w:val="00477816"/>
    <w:rsid w:val="00480179"/>
    <w:rsid w:val="004814BA"/>
    <w:rsid w:val="004844E5"/>
    <w:rsid w:val="0048575B"/>
    <w:rsid w:val="00485B44"/>
    <w:rsid w:val="004B3FEC"/>
    <w:rsid w:val="004B7D95"/>
    <w:rsid w:val="004D09CC"/>
    <w:rsid w:val="004E4DF1"/>
    <w:rsid w:val="004E4FC4"/>
    <w:rsid w:val="004E6558"/>
    <w:rsid w:val="004F71DD"/>
    <w:rsid w:val="005010EA"/>
    <w:rsid w:val="005121C3"/>
    <w:rsid w:val="00513404"/>
    <w:rsid w:val="0052515F"/>
    <w:rsid w:val="0053134E"/>
    <w:rsid w:val="00556473"/>
    <w:rsid w:val="005612E3"/>
    <w:rsid w:val="0057392D"/>
    <w:rsid w:val="00576DAD"/>
    <w:rsid w:val="00584B20"/>
    <w:rsid w:val="005A6A87"/>
    <w:rsid w:val="005B3E2B"/>
    <w:rsid w:val="005B6284"/>
    <w:rsid w:val="005C13CF"/>
    <w:rsid w:val="005C1DAB"/>
    <w:rsid w:val="005C2531"/>
    <w:rsid w:val="005C5B85"/>
    <w:rsid w:val="005E3873"/>
    <w:rsid w:val="005F6A82"/>
    <w:rsid w:val="0061163D"/>
    <w:rsid w:val="00615E4A"/>
    <w:rsid w:val="00621CB5"/>
    <w:rsid w:val="00622A22"/>
    <w:rsid w:val="0062491E"/>
    <w:rsid w:val="00634B28"/>
    <w:rsid w:val="0063699B"/>
    <w:rsid w:val="00654915"/>
    <w:rsid w:val="006571E2"/>
    <w:rsid w:val="00673644"/>
    <w:rsid w:val="006865AB"/>
    <w:rsid w:val="00692B68"/>
    <w:rsid w:val="00692F72"/>
    <w:rsid w:val="0069667B"/>
    <w:rsid w:val="006A5BAD"/>
    <w:rsid w:val="006B1000"/>
    <w:rsid w:val="006B36A3"/>
    <w:rsid w:val="006C27D4"/>
    <w:rsid w:val="006C4386"/>
    <w:rsid w:val="006C67A6"/>
    <w:rsid w:val="006D55B5"/>
    <w:rsid w:val="006E142A"/>
    <w:rsid w:val="006E2710"/>
    <w:rsid w:val="006E59E4"/>
    <w:rsid w:val="006E60BC"/>
    <w:rsid w:val="006F5BF7"/>
    <w:rsid w:val="006F7BB8"/>
    <w:rsid w:val="00707C7C"/>
    <w:rsid w:val="0071308B"/>
    <w:rsid w:val="00736AB8"/>
    <w:rsid w:val="00741B89"/>
    <w:rsid w:val="007549C1"/>
    <w:rsid w:val="007663C8"/>
    <w:rsid w:val="007768A3"/>
    <w:rsid w:val="0078639B"/>
    <w:rsid w:val="007908C5"/>
    <w:rsid w:val="00793D14"/>
    <w:rsid w:val="007B1526"/>
    <w:rsid w:val="007C1A21"/>
    <w:rsid w:val="007C1D9E"/>
    <w:rsid w:val="00802314"/>
    <w:rsid w:val="008150EC"/>
    <w:rsid w:val="008346F9"/>
    <w:rsid w:val="008409D0"/>
    <w:rsid w:val="008506B0"/>
    <w:rsid w:val="008622C2"/>
    <w:rsid w:val="008823AA"/>
    <w:rsid w:val="0089445B"/>
    <w:rsid w:val="008A42A5"/>
    <w:rsid w:val="008A59B9"/>
    <w:rsid w:val="008A7B45"/>
    <w:rsid w:val="008B5D98"/>
    <w:rsid w:val="008C24CB"/>
    <w:rsid w:val="008D2561"/>
    <w:rsid w:val="008D4DB2"/>
    <w:rsid w:val="008D7556"/>
    <w:rsid w:val="008E2D30"/>
    <w:rsid w:val="008E5259"/>
    <w:rsid w:val="008F065F"/>
    <w:rsid w:val="00902865"/>
    <w:rsid w:val="00913FDE"/>
    <w:rsid w:val="0091502E"/>
    <w:rsid w:val="00930446"/>
    <w:rsid w:val="00933BDB"/>
    <w:rsid w:val="00937E07"/>
    <w:rsid w:val="00951F2F"/>
    <w:rsid w:val="00954969"/>
    <w:rsid w:val="009A2FA8"/>
    <w:rsid w:val="009B1B6F"/>
    <w:rsid w:val="009B4DD3"/>
    <w:rsid w:val="009B7CCE"/>
    <w:rsid w:val="009C6A8B"/>
    <w:rsid w:val="009D6203"/>
    <w:rsid w:val="009E291D"/>
    <w:rsid w:val="009E6A42"/>
    <w:rsid w:val="009F3A31"/>
    <w:rsid w:val="00A0257B"/>
    <w:rsid w:val="00A2586A"/>
    <w:rsid w:val="00A27F2E"/>
    <w:rsid w:val="00A316DD"/>
    <w:rsid w:val="00A61C1B"/>
    <w:rsid w:val="00A67D83"/>
    <w:rsid w:val="00A81248"/>
    <w:rsid w:val="00A81388"/>
    <w:rsid w:val="00A87A33"/>
    <w:rsid w:val="00A95B85"/>
    <w:rsid w:val="00AA5D8E"/>
    <w:rsid w:val="00AA6870"/>
    <w:rsid w:val="00AC1412"/>
    <w:rsid w:val="00AC2AD1"/>
    <w:rsid w:val="00AC3065"/>
    <w:rsid w:val="00AD2BC4"/>
    <w:rsid w:val="00AF3111"/>
    <w:rsid w:val="00AF44A8"/>
    <w:rsid w:val="00B027D5"/>
    <w:rsid w:val="00B415E7"/>
    <w:rsid w:val="00B429E7"/>
    <w:rsid w:val="00B43B82"/>
    <w:rsid w:val="00B47546"/>
    <w:rsid w:val="00B633DB"/>
    <w:rsid w:val="00B64859"/>
    <w:rsid w:val="00B82C75"/>
    <w:rsid w:val="00B865B3"/>
    <w:rsid w:val="00B945F3"/>
    <w:rsid w:val="00B97918"/>
    <w:rsid w:val="00BA5D6F"/>
    <w:rsid w:val="00BC1995"/>
    <w:rsid w:val="00BC6A67"/>
    <w:rsid w:val="00BD19AF"/>
    <w:rsid w:val="00BD343F"/>
    <w:rsid w:val="00C12BF3"/>
    <w:rsid w:val="00C22796"/>
    <w:rsid w:val="00C248AD"/>
    <w:rsid w:val="00C2767E"/>
    <w:rsid w:val="00C32577"/>
    <w:rsid w:val="00C435BF"/>
    <w:rsid w:val="00C465D6"/>
    <w:rsid w:val="00C53FF7"/>
    <w:rsid w:val="00C620B1"/>
    <w:rsid w:val="00C6344B"/>
    <w:rsid w:val="00C72A28"/>
    <w:rsid w:val="00C72D79"/>
    <w:rsid w:val="00C81EC3"/>
    <w:rsid w:val="00C878CD"/>
    <w:rsid w:val="00C96D56"/>
    <w:rsid w:val="00C96DB4"/>
    <w:rsid w:val="00CA3B7A"/>
    <w:rsid w:val="00CB1479"/>
    <w:rsid w:val="00CB66AE"/>
    <w:rsid w:val="00CC0CC9"/>
    <w:rsid w:val="00CD1C55"/>
    <w:rsid w:val="00CF19E5"/>
    <w:rsid w:val="00CF5B81"/>
    <w:rsid w:val="00CF7AE1"/>
    <w:rsid w:val="00D00BD1"/>
    <w:rsid w:val="00D11054"/>
    <w:rsid w:val="00D21D0F"/>
    <w:rsid w:val="00D243E2"/>
    <w:rsid w:val="00D37927"/>
    <w:rsid w:val="00D40F26"/>
    <w:rsid w:val="00D613FC"/>
    <w:rsid w:val="00D62B3C"/>
    <w:rsid w:val="00D63AF8"/>
    <w:rsid w:val="00D71545"/>
    <w:rsid w:val="00D720F5"/>
    <w:rsid w:val="00D72768"/>
    <w:rsid w:val="00D9117E"/>
    <w:rsid w:val="00D9196B"/>
    <w:rsid w:val="00D96C33"/>
    <w:rsid w:val="00DC586A"/>
    <w:rsid w:val="00DC58EB"/>
    <w:rsid w:val="00DD2C9A"/>
    <w:rsid w:val="00DF5B9E"/>
    <w:rsid w:val="00E010B2"/>
    <w:rsid w:val="00E02CDF"/>
    <w:rsid w:val="00E106F8"/>
    <w:rsid w:val="00E1247A"/>
    <w:rsid w:val="00E136D8"/>
    <w:rsid w:val="00E17F74"/>
    <w:rsid w:val="00E36997"/>
    <w:rsid w:val="00E44E5F"/>
    <w:rsid w:val="00E52493"/>
    <w:rsid w:val="00E55689"/>
    <w:rsid w:val="00E72B33"/>
    <w:rsid w:val="00E80E7D"/>
    <w:rsid w:val="00E84AD3"/>
    <w:rsid w:val="00EB3D18"/>
    <w:rsid w:val="00EC55A3"/>
    <w:rsid w:val="00EC5D18"/>
    <w:rsid w:val="00EE21E0"/>
    <w:rsid w:val="00F0238F"/>
    <w:rsid w:val="00F0401C"/>
    <w:rsid w:val="00F07B72"/>
    <w:rsid w:val="00F275BE"/>
    <w:rsid w:val="00F312FB"/>
    <w:rsid w:val="00F33576"/>
    <w:rsid w:val="00F5551F"/>
    <w:rsid w:val="00F55F9F"/>
    <w:rsid w:val="00F56E46"/>
    <w:rsid w:val="00F657AD"/>
    <w:rsid w:val="00F77590"/>
    <w:rsid w:val="00F77E70"/>
    <w:rsid w:val="00F83FCE"/>
    <w:rsid w:val="00F84836"/>
    <w:rsid w:val="00F9341C"/>
    <w:rsid w:val="00FB19C7"/>
    <w:rsid w:val="00FB5712"/>
    <w:rsid w:val="00FE588F"/>
    <w:rsid w:val="00FE74A7"/>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FFB1D1-C486-4D97-A752-F17EFB5B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t.gov.au/en/Legislation/EDUCATION-AC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nt.gov.au/education/policies/registration-of-a-non-government-schoo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ADB1-1077-4C4B-8B00-DC40EAC3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 Non-government School Policy</dc:title>
  <dc:subject>Information Sheet</dc:subject>
  <dc:creator>Northern Territory Government</dc:creator>
  <cp:lastModifiedBy>Andrea Ruske</cp:lastModifiedBy>
  <cp:revision>6</cp:revision>
  <cp:lastPrinted>2017-11-23T05:20:00Z</cp:lastPrinted>
  <dcterms:created xsi:type="dcterms:W3CDTF">2017-11-23T01:06:00Z</dcterms:created>
  <dcterms:modified xsi:type="dcterms:W3CDTF">2017-11-23T06:31:00Z</dcterms:modified>
</cp:coreProperties>
</file>