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1D6A8" w14:textId="671C0841" w:rsidR="00953428" w:rsidRDefault="00953428" w:rsidP="00953428">
      <w:pPr>
        <w:rPr>
          <w:noProof/>
          <w:lang w:eastAsia="en-AU"/>
        </w:rPr>
      </w:pPr>
      <w:bookmarkStart w:id="0" w:name="_GoBack"/>
      <w:bookmarkEnd w:id="0"/>
      <w:r w:rsidRPr="00953428">
        <w:rPr>
          <w:noProof/>
          <w:lang w:eastAsia="en-AU"/>
        </w:rPr>
        <w:t xml:space="preserve">This document should be read in conjunction with Community </w:t>
      </w:r>
      <w:r w:rsidR="00C1472E" w:rsidRPr="00953428">
        <w:rPr>
          <w:noProof/>
          <w:lang w:eastAsia="en-AU"/>
        </w:rPr>
        <w:t xml:space="preserve">use of school facilities </w:t>
      </w:r>
      <w:r w:rsidRPr="00953428">
        <w:rPr>
          <w:noProof/>
          <w:lang w:eastAsia="en-AU"/>
        </w:rPr>
        <w:t>policy.</w:t>
      </w:r>
    </w:p>
    <w:p w14:paraId="65EC6383" w14:textId="715EE334" w:rsidR="003C4941" w:rsidRDefault="00953428" w:rsidP="003C4941">
      <w:pPr>
        <w:pStyle w:val="Heading1"/>
        <w:rPr>
          <w:noProof/>
          <w:lang w:eastAsia="en-AU"/>
        </w:rPr>
      </w:pPr>
      <w:r>
        <w:rPr>
          <w:noProof/>
          <w:lang w:eastAsia="en-AU"/>
        </w:rPr>
        <w:t>Introduction</w:t>
      </w:r>
    </w:p>
    <w:p w14:paraId="4A557DE1" w14:textId="0119D293" w:rsidR="00953428" w:rsidRDefault="00953428" w:rsidP="00953428">
      <w:pPr>
        <w:rPr>
          <w:lang w:eastAsia="en-AU"/>
        </w:rPr>
      </w:pPr>
      <w:r>
        <w:rPr>
          <w:lang w:eastAsia="en-AU"/>
        </w:rPr>
        <w:t>The primary function of Northern Territory</w:t>
      </w:r>
      <w:r w:rsidR="00365A0C">
        <w:rPr>
          <w:lang w:eastAsia="en-AU"/>
        </w:rPr>
        <w:t xml:space="preserve"> </w:t>
      </w:r>
      <w:r>
        <w:rPr>
          <w:lang w:eastAsia="en-AU"/>
        </w:rPr>
        <w:t>Government schools is to provide educational services for young people, yet there are many hours when school buildings and grounds are not in use. It is during these hours that schools can support the community by sharing school facilities and providing an opportunity for schools and their communities to strengthen relationships.</w:t>
      </w:r>
    </w:p>
    <w:p w14:paraId="7D882D45" w14:textId="77777777" w:rsidR="00953428" w:rsidRDefault="00953428" w:rsidP="00953428">
      <w:pPr>
        <w:rPr>
          <w:lang w:eastAsia="en-AU"/>
        </w:rPr>
      </w:pPr>
      <w:r>
        <w:rPr>
          <w:lang w:eastAsia="en-AU"/>
        </w:rPr>
        <w:t>Schools are encouraged to promote the use of their facilities and for this information to be available on the school’s website.</w:t>
      </w:r>
    </w:p>
    <w:p w14:paraId="0877E3A9" w14:textId="7616A1AF" w:rsidR="003C4941" w:rsidRDefault="00953428" w:rsidP="00953428">
      <w:pPr>
        <w:pStyle w:val="Heading1"/>
        <w:rPr>
          <w:lang w:eastAsia="en-AU"/>
        </w:rPr>
      </w:pPr>
      <w:r>
        <w:rPr>
          <w:lang w:eastAsia="en-AU"/>
        </w:rPr>
        <w:t>Guidelines</w:t>
      </w:r>
    </w:p>
    <w:p w14:paraId="473CBF85" w14:textId="5000FC59" w:rsidR="00953428" w:rsidRDefault="00953428" w:rsidP="00953428">
      <w:pPr>
        <w:pStyle w:val="Heading2"/>
        <w:rPr>
          <w:lang w:eastAsia="en-AU"/>
        </w:rPr>
      </w:pPr>
      <w:r>
        <w:rPr>
          <w:lang w:eastAsia="en-AU"/>
        </w:rPr>
        <w:t xml:space="preserve">Management of </w:t>
      </w:r>
      <w:r w:rsidR="004655FD">
        <w:rPr>
          <w:lang w:eastAsia="en-AU"/>
        </w:rPr>
        <w:t>c</w:t>
      </w:r>
      <w:r>
        <w:rPr>
          <w:lang w:eastAsia="en-AU"/>
        </w:rPr>
        <w:t xml:space="preserve">ommunity </w:t>
      </w:r>
      <w:r w:rsidR="004655FD">
        <w:rPr>
          <w:lang w:eastAsia="en-AU"/>
        </w:rPr>
        <w:t>u</w:t>
      </w:r>
      <w:r>
        <w:rPr>
          <w:lang w:eastAsia="en-AU"/>
        </w:rPr>
        <w:t>se</w:t>
      </w:r>
    </w:p>
    <w:p w14:paraId="1D40A51E" w14:textId="0FD51D44" w:rsidR="00953428" w:rsidRDefault="00953428" w:rsidP="00017A15">
      <w:pPr>
        <w:spacing w:after="120"/>
        <w:rPr>
          <w:lang w:eastAsia="en-AU"/>
        </w:rPr>
      </w:pPr>
      <w:r>
        <w:rPr>
          <w:lang w:eastAsia="en-AU"/>
        </w:rPr>
        <w:t>The following activities should be given priority for use:</w:t>
      </w:r>
    </w:p>
    <w:p w14:paraId="540B3AC1" w14:textId="555B14E2" w:rsidR="00953428" w:rsidRDefault="00953428" w:rsidP="00017A15">
      <w:pPr>
        <w:pStyle w:val="ListParagraph"/>
        <w:numPr>
          <w:ilvl w:val="0"/>
          <w:numId w:val="49"/>
        </w:numPr>
        <w:ind w:left="567" w:hanging="283"/>
        <w:rPr>
          <w:lang w:eastAsia="en-AU"/>
        </w:rPr>
      </w:pPr>
      <w:r>
        <w:rPr>
          <w:lang w:eastAsia="en-AU"/>
        </w:rPr>
        <w:t>educational purposes</w:t>
      </w:r>
      <w:r w:rsidR="00AC22F4">
        <w:rPr>
          <w:lang w:eastAsia="en-AU"/>
        </w:rPr>
        <w:t xml:space="preserve"> such as</w:t>
      </w:r>
      <w:r>
        <w:rPr>
          <w:lang w:eastAsia="en-AU"/>
        </w:rPr>
        <w:t xml:space="preserve"> adult literacy and numeracy programs</w:t>
      </w:r>
      <w:r w:rsidR="00AC22F4">
        <w:rPr>
          <w:lang w:eastAsia="en-AU"/>
        </w:rPr>
        <w:t xml:space="preserve"> or</w:t>
      </w:r>
      <w:r>
        <w:rPr>
          <w:lang w:eastAsia="en-AU"/>
        </w:rPr>
        <w:t xml:space="preserve"> tutoring for students</w:t>
      </w:r>
    </w:p>
    <w:p w14:paraId="4DD9CEB3" w14:textId="6A5C31DF" w:rsidR="00953428" w:rsidRDefault="00953428" w:rsidP="00017A15">
      <w:pPr>
        <w:pStyle w:val="ListParagraph"/>
        <w:numPr>
          <w:ilvl w:val="0"/>
          <w:numId w:val="49"/>
        </w:numPr>
        <w:ind w:left="567" w:hanging="283"/>
        <w:rPr>
          <w:lang w:eastAsia="en-AU"/>
        </w:rPr>
      </w:pPr>
      <w:r>
        <w:rPr>
          <w:lang w:eastAsia="en-AU"/>
        </w:rPr>
        <w:t>professional teaching association activities</w:t>
      </w:r>
    </w:p>
    <w:p w14:paraId="37DB7D3F" w14:textId="7DBBA099" w:rsidR="00953428" w:rsidRDefault="00953428" w:rsidP="00017A15">
      <w:pPr>
        <w:pStyle w:val="ListParagraph"/>
        <w:numPr>
          <w:ilvl w:val="0"/>
          <w:numId w:val="49"/>
        </w:numPr>
        <w:ind w:left="567" w:hanging="283"/>
        <w:rPr>
          <w:lang w:eastAsia="en-AU"/>
        </w:rPr>
      </w:pPr>
      <w:r>
        <w:rPr>
          <w:lang w:eastAsia="en-AU"/>
        </w:rPr>
        <w:t>local sporting organisations for use of basketball courts or ovals</w:t>
      </w:r>
    </w:p>
    <w:p w14:paraId="6BCD2D60" w14:textId="17E1570A" w:rsidR="00953428" w:rsidRDefault="00953428" w:rsidP="00017A15">
      <w:pPr>
        <w:pStyle w:val="ListParagraph"/>
        <w:numPr>
          <w:ilvl w:val="0"/>
          <w:numId w:val="49"/>
        </w:numPr>
        <w:spacing w:after="200"/>
        <w:ind w:left="567" w:hanging="283"/>
        <w:rPr>
          <w:lang w:eastAsia="en-AU"/>
        </w:rPr>
      </w:pPr>
      <w:r>
        <w:rPr>
          <w:lang w:eastAsia="en-AU"/>
        </w:rPr>
        <w:t>not</w:t>
      </w:r>
      <w:r w:rsidR="00017A15">
        <w:rPr>
          <w:lang w:eastAsia="en-AU"/>
        </w:rPr>
        <w:t xml:space="preserve"> </w:t>
      </w:r>
      <w:r>
        <w:rPr>
          <w:lang w:eastAsia="en-AU"/>
        </w:rPr>
        <w:t>for</w:t>
      </w:r>
      <w:r w:rsidR="00017A15">
        <w:rPr>
          <w:lang w:eastAsia="en-AU"/>
        </w:rPr>
        <w:t xml:space="preserve"> </w:t>
      </w:r>
      <w:r>
        <w:rPr>
          <w:lang w:eastAsia="en-AU"/>
        </w:rPr>
        <w:t>profit organisations.</w:t>
      </w:r>
    </w:p>
    <w:p w14:paraId="35D81F15" w14:textId="65B54DF4" w:rsidR="00953428" w:rsidRDefault="00953428" w:rsidP="00953428">
      <w:pPr>
        <w:rPr>
          <w:lang w:eastAsia="en-AU"/>
        </w:rPr>
      </w:pPr>
      <w:r>
        <w:rPr>
          <w:lang w:eastAsia="en-AU"/>
        </w:rPr>
        <w:t>Consideration should be given to the availability of similar services by existing private providers. Where there is already an appropriate standard of facility within the community</w:t>
      </w:r>
      <w:r w:rsidR="00AC22F4">
        <w:rPr>
          <w:lang w:eastAsia="en-AU"/>
        </w:rPr>
        <w:t>,</w:t>
      </w:r>
      <w:r>
        <w:rPr>
          <w:lang w:eastAsia="en-AU"/>
        </w:rPr>
        <w:t xml:space="preserve"> the school may not wish to approve uses that may compete and impact on the </w:t>
      </w:r>
      <w:r w:rsidR="00017A15">
        <w:rPr>
          <w:lang w:eastAsia="en-AU"/>
        </w:rPr>
        <w:t>long term</w:t>
      </w:r>
      <w:r>
        <w:rPr>
          <w:lang w:eastAsia="en-AU"/>
        </w:rPr>
        <w:t xml:space="preserve"> profitability of these providers, </w:t>
      </w:r>
      <w:r w:rsidR="00AC22F4">
        <w:rPr>
          <w:lang w:eastAsia="en-AU"/>
        </w:rPr>
        <w:t>such as the</w:t>
      </w:r>
      <w:r>
        <w:rPr>
          <w:lang w:eastAsia="en-AU"/>
        </w:rPr>
        <w:t xml:space="preserve"> local council hall.</w:t>
      </w:r>
    </w:p>
    <w:p w14:paraId="3F2D3E33" w14:textId="77777777" w:rsidR="00953428" w:rsidRDefault="00953428" w:rsidP="00953428">
      <w:pPr>
        <w:pStyle w:val="Heading2"/>
        <w:rPr>
          <w:lang w:eastAsia="en-AU"/>
        </w:rPr>
      </w:pPr>
      <w:r>
        <w:rPr>
          <w:lang w:eastAsia="en-AU"/>
        </w:rPr>
        <w:t>Public Shelters</w:t>
      </w:r>
    </w:p>
    <w:p w14:paraId="3C4AC153" w14:textId="5AA52A84" w:rsidR="00953428" w:rsidRDefault="00953428" w:rsidP="00953428">
      <w:pPr>
        <w:rPr>
          <w:lang w:eastAsia="en-AU"/>
        </w:rPr>
      </w:pPr>
      <w:r>
        <w:rPr>
          <w:lang w:eastAsia="en-AU"/>
        </w:rPr>
        <w:t xml:space="preserve">The use of school facilities as public shelters during disasters, such as cyclones or floods, should be in accordance with the Emergency </w:t>
      </w:r>
      <w:r w:rsidR="004655FD">
        <w:rPr>
          <w:lang w:eastAsia="en-AU"/>
        </w:rPr>
        <w:t>m</w:t>
      </w:r>
      <w:r>
        <w:rPr>
          <w:lang w:eastAsia="en-AU"/>
        </w:rPr>
        <w:t xml:space="preserve">anagement – Public </w:t>
      </w:r>
      <w:r w:rsidR="004655FD">
        <w:rPr>
          <w:lang w:eastAsia="en-AU"/>
        </w:rPr>
        <w:t>s</w:t>
      </w:r>
      <w:r>
        <w:rPr>
          <w:lang w:eastAsia="en-AU"/>
        </w:rPr>
        <w:t xml:space="preserve">helter </w:t>
      </w:r>
      <w:r w:rsidR="004655FD">
        <w:rPr>
          <w:lang w:eastAsia="en-AU"/>
        </w:rPr>
        <w:t>responsibilities</w:t>
      </w:r>
      <w:r>
        <w:rPr>
          <w:lang w:eastAsia="en-AU"/>
        </w:rPr>
        <w:t xml:space="preserve"> </w:t>
      </w:r>
      <w:r w:rsidR="004655FD">
        <w:rPr>
          <w:lang w:eastAsia="en-AU"/>
        </w:rPr>
        <w:t>p</w:t>
      </w:r>
      <w:r>
        <w:rPr>
          <w:lang w:eastAsia="en-AU"/>
        </w:rPr>
        <w:t xml:space="preserve">olicy and the All </w:t>
      </w:r>
      <w:r w:rsidR="004655FD">
        <w:rPr>
          <w:lang w:eastAsia="en-AU"/>
        </w:rPr>
        <w:t>h</w:t>
      </w:r>
      <w:r>
        <w:rPr>
          <w:lang w:eastAsia="en-AU"/>
        </w:rPr>
        <w:t xml:space="preserve">azards </w:t>
      </w:r>
      <w:r w:rsidR="004655FD">
        <w:rPr>
          <w:lang w:eastAsia="en-AU"/>
        </w:rPr>
        <w:t>e</w:t>
      </w:r>
      <w:r>
        <w:rPr>
          <w:lang w:eastAsia="en-AU"/>
        </w:rPr>
        <w:t xml:space="preserve">mergency </w:t>
      </w:r>
      <w:r w:rsidR="004655FD">
        <w:rPr>
          <w:lang w:eastAsia="en-AU"/>
        </w:rPr>
        <w:t>m</w:t>
      </w:r>
      <w:r>
        <w:rPr>
          <w:lang w:eastAsia="en-AU"/>
        </w:rPr>
        <w:t xml:space="preserve">anagement </w:t>
      </w:r>
      <w:r w:rsidR="004655FD">
        <w:rPr>
          <w:lang w:eastAsia="en-AU"/>
        </w:rPr>
        <w:t>a</w:t>
      </w:r>
      <w:r>
        <w:rPr>
          <w:lang w:eastAsia="en-AU"/>
        </w:rPr>
        <w:t xml:space="preserve">ction </w:t>
      </w:r>
      <w:r w:rsidR="004655FD">
        <w:rPr>
          <w:lang w:eastAsia="en-AU"/>
        </w:rPr>
        <w:t>l</w:t>
      </w:r>
      <w:r>
        <w:rPr>
          <w:lang w:eastAsia="en-AU"/>
        </w:rPr>
        <w:t>ist.</w:t>
      </w:r>
    </w:p>
    <w:p w14:paraId="3B35E6A2" w14:textId="7A910ADC" w:rsidR="00953428" w:rsidRDefault="00953428" w:rsidP="00953428">
      <w:pPr>
        <w:rPr>
          <w:lang w:eastAsia="en-AU"/>
        </w:rPr>
      </w:pPr>
      <w:r>
        <w:rPr>
          <w:lang w:eastAsia="en-AU"/>
        </w:rPr>
        <w:t>User agreements are not necessary for public shelter use.</w:t>
      </w:r>
    </w:p>
    <w:p w14:paraId="1DDDB86F" w14:textId="67D615C7" w:rsidR="00953428" w:rsidRDefault="008137AF" w:rsidP="00953428">
      <w:pPr>
        <w:pStyle w:val="Heading2"/>
        <w:rPr>
          <w:lang w:eastAsia="en-AU"/>
        </w:rPr>
      </w:pPr>
      <w:bookmarkStart w:id="1" w:name="_Hlk117163878"/>
      <w:r>
        <w:rPr>
          <w:lang w:eastAsia="en-AU"/>
        </w:rPr>
        <w:t>Reasonable access</w:t>
      </w:r>
    </w:p>
    <w:p w14:paraId="65A7615F" w14:textId="71639CCC" w:rsidR="008137AF" w:rsidRDefault="00953428" w:rsidP="00953428">
      <w:pPr>
        <w:rPr>
          <w:lang w:eastAsia="en-AU"/>
        </w:rPr>
      </w:pPr>
      <w:r>
        <w:rPr>
          <w:lang w:eastAsia="en-AU"/>
        </w:rPr>
        <w:t xml:space="preserve">The school must agree to provide access to libraries and multipurpose halls funded under </w:t>
      </w:r>
      <w:r w:rsidR="008137AF">
        <w:rPr>
          <w:lang w:eastAsia="en-AU"/>
        </w:rPr>
        <w:t>the former Building the Education Revolution</w:t>
      </w:r>
      <w:r>
        <w:rPr>
          <w:lang w:eastAsia="en-AU"/>
        </w:rPr>
        <w:t xml:space="preserve"> at no, or minimal, cost to the community.</w:t>
      </w:r>
    </w:p>
    <w:p w14:paraId="3DAC28A2" w14:textId="182F8241" w:rsidR="00953428" w:rsidRDefault="00953428" w:rsidP="00953428">
      <w:pPr>
        <w:rPr>
          <w:lang w:eastAsia="en-AU"/>
        </w:rPr>
      </w:pPr>
      <w:r>
        <w:rPr>
          <w:lang w:eastAsia="en-AU"/>
        </w:rPr>
        <w:t>This must include reasonable access by any community or not</w:t>
      </w:r>
      <w:r w:rsidR="00CF123E">
        <w:rPr>
          <w:lang w:eastAsia="en-AU"/>
        </w:rPr>
        <w:t xml:space="preserve"> </w:t>
      </w:r>
      <w:r>
        <w:rPr>
          <w:lang w:eastAsia="en-AU"/>
        </w:rPr>
        <w:t>for</w:t>
      </w:r>
      <w:r w:rsidR="00CF123E">
        <w:rPr>
          <w:lang w:eastAsia="en-AU"/>
        </w:rPr>
        <w:t xml:space="preserve"> </w:t>
      </w:r>
      <w:r>
        <w:rPr>
          <w:lang w:eastAsia="en-AU"/>
        </w:rPr>
        <w:t>profit groups in the local community. Schools shall charge a fee to cover utility and operational costs.</w:t>
      </w:r>
    </w:p>
    <w:bookmarkEnd w:id="1"/>
    <w:p w14:paraId="109FA76C" w14:textId="77777777" w:rsidR="00953428" w:rsidRDefault="00953428" w:rsidP="00953428">
      <w:pPr>
        <w:pStyle w:val="Heading2"/>
        <w:rPr>
          <w:lang w:eastAsia="en-AU"/>
        </w:rPr>
      </w:pPr>
      <w:r>
        <w:rPr>
          <w:lang w:eastAsia="en-AU"/>
        </w:rPr>
        <w:lastRenderedPageBreak/>
        <w:t>Determining the cost of use</w:t>
      </w:r>
    </w:p>
    <w:p w14:paraId="411CA4B5" w14:textId="1833913D" w:rsidR="00953428" w:rsidRDefault="00953428" w:rsidP="00CF123E">
      <w:pPr>
        <w:spacing w:after="120"/>
        <w:rPr>
          <w:lang w:eastAsia="en-AU"/>
        </w:rPr>
      </w:pPr>
      <w:r>
        <w:rPr>
          <w:lang w:eastAsia="en-AU"/>
        </w:rPr>
        <w:t xml:space="preserve">A schedule of fees should be determined in consultation with the </w:t>
      </w:r>
      <w:r w:rsidR="00845FD2">
        <w:rPr>
          <w:lang w:eastAsia="en-AU"/>
        </w:rPr>
        <w:t>S</w:t>
      </w:r>
      <w:r>
        <w:rPr>
          <w:lang w:eastAsia="en-AU"/>
        </w:rPr>
        <w:t xml:space="preserve">chool </w:t>
      </w:r>
      <w:r w:rsidR="004A5385">
        <w:rPr>
          <w:lang w:eastAsia="en-AU"/>
        </w:rPr>
        <w:t>r</w:t>
      </w:r>
      <w:r w:rsidR="00845FD2">
        <w:rPr>
          <w:lang w:eastAsia="en-AU"/>
        </w:rPr>
        <w:t xml:space="preserve">epresentative </w:t>
      </w:r>
      <w:r w:rsidR="004A5385">
        <w:rPr>
          <w:lang w:eastAsia="en-AU"/>
        </w:rPr>
        <w:t>b</w:t>
      </w:r>
      <w:r w:rsidR="00845FD2">
        <w:rPr>
          <w:lang w:eastAsia="en-AU"/>
        </w:rPr>
        <w:t xml:space="preserve">ody (SRB) </w:t>
      </w:r>
      <w:r>
        <w:rPr>
          <w:lang w:eastAsia="en-AU"/>
        </w:rPr>
        <w:t>for the use of facilities. Fees comprise the following:</w:t>
      </w:r>
    </w:p>
    <w:p w14:paraId="02E77B9D" w14:textId="5CC692AC" w:rsidR="00953428" w:rsidRDefault="00953428" w:rsidP="00CF123E">
      <w:pPr>
        <w:pStyle w:val="ListParagraph"/>
        <w:numPr>
          <w:ilvl w:val="0"/>
          <w:numId w:val="49"/>
        </w:numPr>
        <w:ind w:left="567" w:hanging="283"/>
        <w:rPr>
          <w:lang w:eastAsia="en-AU"/>
        </w:rPr>
      </w:pPr>
      <w:r>
        <w:rPr>
          <w:lang w:eastAsia="en-AU"/>
        </w:rPr>
        <w:t>bond – where required</w:t>
      </w:r>
    </w:p>
    <w:p w14:paraId="057DF0EF" w14:textId="7951BD42" w:rsidR="00953428" w:rsidRDefault="00953428" w:rsidP="00CF123E">
      <w:pPr>
        <w:pStyle w:val="ListParagraph"/>
        <w:numPr>
          <w:ilvl w:val="0"/>
          <w:numId w:val="49"/>
        </w:numPr>
        <w:ind w:left="567" w:hanging="283"/>
        <w:rPr>
          <w:lang w:eastAsia="en-AU"/>
        </w:rPr>
      </w:pPr>
      <w:r>
        <w:rPr>
          <w:lang w:eastAsia="en-AU"/>
        </w:rPr>
        <w:t xml:space="preserve">utilities fee – a non-refundable fee to cover utility and operational costs </w:t>
      </w:r>
      <w:r w:rsidR="00BC3762">
        <w:rPr>
          <w:lang w:eastAsia="en-AU"/>
        </w:rPr>
        <w:t>such as</w:t>
      </w:r>
      <w:r>
        <w:rPr>
          <w:lang w:eastAsia="en-AU"/>
        </w:rPr>
        <w:t xml:space="preserve"> power</w:t>
      </w:r>
    </w:p>
    <w:p w14:paraId="080EA5E7" w14:textId="0D5795DF" w:rsidR="00953428" w:rsidRDefault="00953428" w:rsidP="00CF123E">
      <w:pPr>
        <w:pStyle w:val="ListParagraph"/>
        <w:numPr>
          <w:ilvl w:val="0"/>
          <w:numId w:val="49"/>
        </w:numPr>
        <w:spacing w:after="200"/>
        <w:ind w:left="567" w:hanging="283"/>
        <w:rPr>
          <w:lang w:eastAsia="en-AU"/>
        </w:rPr>
      </w:pPr>
      <w:r>
        <w:rPr>
          <w:lang w:eastAsia="en-AU"/>
        </w:rPr>
        <w:t xml:space="preserve">hire fee – an additional fee may be charged to groups to assist with </w:t>
      </w:r>
      <w:r w:rsidR="00845FD2">
        <w:rPr>
          <w:lang w:eastAsia="en-AU"/>
        </w:rPr>
        <w:t>SRB</w:t>
      </w:r>
      <w:r>
        <w:rPr>
          <w:lang w:eastAsia="en-AU"/>
        </w:rPr>
        <w:t xml:space="preserve"> fundraising activities.</w:t>
      </w:r>
    </w:p>
    <w:p w14:paraId="3FCE0C6C" w14:textId="03ADF7E8" w:rsidR="00953428" w:rsidRDefault="00953428" w:rsidP="00953428">
      <w:pPr>
        <w:rPr>
          <w:lang w:eastAsia="en-AU"/>
        </w:rPr>
      </w:pPr>
      <w:r>
        <w:rPr>
          <w:lang w:eastAsia="en-AU"/>
        </w:rPr>
        <w:t>All fees must be paid in advance.</w:t>
      </w:r>
    </w:p>
    <w:p w14:paraId="71C0229D" w14:textId="233E7F29" w:rsidR="00953428" w:rsidRDefault="00953428" w:rsidP="00953428">
      <w:pPr>
        <w:rPr>
          <w:lang w:eastAsia="en-AU"/>
        </w:rPr>
      </w:pPr>
      <w:r>
        <w:rPr>
          <w:lang w:eastAsia="en-AU"/>
        </w:rPr>
        <w:t xml:space="preserve">In consultation with the </w:t>
      </w:r>
      <w:r w:rsidR="00845FD2">
        <w:rPr>
          <w:lang w:eastAsia="en-AU"/>
        </w:rPr>
        <w:t>SRB</w:t>
      </w:r>
      <w:r>
        <w:rPr>
          <w:lang w:eastAsia="en-AU"/>
        </w:rPr>
        <w:t>, principals have the discretion to waive or reduce fees in accordance with this policy. Any waiver or reduction should be applied consistently and fairly across comparable users and should only be applied to utilities fees in exceptional circumstances.</w:t>
      </w:r>
    </w:p>
    <w:p w14:paraId="66128441" w14:textId="306DE9D7" w:rsidR="00953428" w:rsidRDefault="00953428" w:rsidP="00953428">
      <w:pPr>
        <w:rPr>
          <w:lang w:eastAsia="en-AU"/>
        </w:rPr>
      </w:pPr>
      <w:r>
        <w:rPr>
          <w:lang w:eastAsia="en-AU"/>
        </w:rPr>
        <w:t xml:space="preserve">Principals and </w:t>
      </w:r>
      <w:r w:rsidR="00845FD2">
        <w:rPr>
          <w:lang w:eastAsia="en-AU"/>
        </w:rPr>
        <w:t>SRBs</w:t>
      </w:r>
      <w:r>
        <w:rPr>
          <w:lang w:eastAsia="en-AU"/>
        </w:rPr>
        <w:t xml:space="preserve"> must ensure that </w:t>
      </w:r>
      <w:r w:rsidR="007F13FD">
        <w:rPr>
          <w:lang w:eastAsia="en-AU"/>
        </w:rPr>
        <w:t xml:space="preserve">the Department of Education (the </w:t>
      </w:r>
      <w:r>
        <w:rPr>
          <w:lang w:eastAsia="en-AU"/>
        </w:rPr>
        <w:t>department</w:t>
      </w:r>
      <w:r w:rsidR="007F13FD">
        <w:rPr>
          <w:lang w:eastAsia="en-AU"/>
        </w:rPr>
        <w:t>)</w:t>
      </w:r>
      <w:r>
        <w:rPr>
          <w:lang w:eastAsia="en-AU"/>
        </w:rPr>
        <w:t xml:space="preserve"> funds provided to a</w:t>
      </w:r>
      <w:r w:rsidR="00845FD2">
        <w:rPr>
          <w:lang w:eastAsia="en-AU"/>
        </w:rPr>
        <w:t>n</w:t>
      </w:r>
      <w:r>
        <w:rPr>
          <w:lang w:eastAsia="en-AU"/>
        </w:rPr>
        <w:t xml:space="preserve"> </w:t>
      </w:r>
      <w:r w:rsidR="00845FD2">
        <w:rPr>
          <w:lang w:eastAsia="en-AU"/>
        </w:rPr>
        <w:t>SRB</w:t>
      </w:r>
      <w:r>
        <w:rPr>
          <w:lang w:eastAsia="en-AU"/>
        </w:rPr>
        <w:t xml:space="preserve"> for the provision of an educational program are not used to subsidise community use of school facilities.</w:t>
      </w:r>
    </w:p>
    <w:p w14:paraId="1A58A031" w14:textId="044BB3A4" w:rsidR="00953428" w:rsidRDefault="00845FD2" w:rsidP="00953428">
      <w:pPr>
        <w:rPr>
          <w:lang w:eastAsia="en-AU"/>
        </w:rPr>
      </w:pPr>
      <w:r>
        <w:rPr>
          <w:lang w:eastAsia="en-AU"/>
        </w:rPr>
        <w:t>S</w:t>
      </w:r>
      <w:r w:rsidR="00C52972">
        <w:rPr>
          <w:lang w:eastAsia="en-AU"/>
        </w:rPr>
        <w:t>chool representative bodies</w:t>
      </w:r>
      <w:r w:rsidR="00953428">
        <w:rPr>
          <w:lang w:eastAsia="en-AU"/>
        </w:rPr>
        <w:t xml:space="preserve"> may approve the use of school facilities to commercial operators at market rates. Fees should not be waived for commercial operators.</w:t>
      </w:r>
    </w:p>
    <w:p w14:paraId="55063F5B" w14:textId="77777777" w:rsidR="00953428" w:rsidRDefault="00953428" w:rsidP="00953428">
      <w:pPr>
        <w:pStyle w:val="Heading2"/>
        <w:rPr>
          <w:lang w:eastAsia="en-AU"/>
        </w:rPr>
      </w:pPr>
      <w:r>
        <w:rPr>
          <w:lang w:eastAsia="en-AU"/>
        </w:rPr>
        <w:t>Bond</w:t>
      </w:r>
    </w:p>
    <w:p w14:paraId="444FCD51" w14:textId="170000CD" w:rsidR="00953428" w:rsidRDefault="00953428" w:rsidP="00953428">
      <w:pPr>
        <w:rPr>
          <w:lang w:eastAsia="en-AU"/>
        </w:rPr>
      </w:pPr>
      <w:r>
        <w:rPr>
          <w:lang w:eastAsia="en-AU"/>
        </w:rPr>
        <w:t>Schools can request a</w:t>
      </w:r>
      <w:r w:rsidR="00BC3762">
        <w:rPr>
          <w:lang w:eastAsia="en-AU"/>
        </w:rPr>
        <w:t xml:space="preserve">n upfront </w:t>
      </w:r>
      <w:r>
        <w:rPr>
          <w:lang w:eastAsia="en-AU"/>
        </w:rPr>
        <w:t xml:space="preserve">bond payment from users as a way of encouraging users to take care of school facilities and to provide funds to cover replacement or repair of any damage caused by the user. The bond should be </w:t>
      </w:r>
      <w:r w:rsidR="00CF123E">
        <w:rPr>
          <w:lang w:eastAsia="en-AU"/>
        </w:rPr>
        <w:t>non-refundable</w:t>
      </w:r>
      <w:r>
        <w:rPr>
          <w:lang w:eastAsia="en-AU"/>
        </w:rPr>
        <w:t xml:space="preserve"> if the conditions of the agreement are not met. As a general rule of thumb a bond should be 5% of the value of the agreement.</w:t>
      </w:r>
    </w:p>
    <w:p w14:paraId="44848267" w14:textId="77777777" w:rsidR="00953428" w:rsidRDefault="00953428" w:rsidP="00953428">
      <w:pPr>
        <w:pStyle w:val="Heading2"/>
        <w:rPr>
          <w:lang w:eastAsia="en-AU"/>
        </w:rPr>
      </w:pPr>
      <w:r>
        <w:rPr>
          <w:lang w:eastAsia="en-AU"/>
        </w:rPr>
        <w:t>Insurance</w:t>
      </w:r>
    </w:p>
    <w:p w14:paraId="46709E8D" w14:textId="29E17C54" w:rsidR="00953428" w:rsidRDefault="00953428" w:rsidP="00953428">
      <w:pPr>
        <w:rPr>
          <w:lang w:eastAsia="en-AU"/>
        </w:rPr>
      </w:pPr>
      <w:r>
        <w:rPr>
          <w:lang w:eastAsia="en-AU"/>
        </w:rPr>
        <w:t>Users must produce evidence of their public liability insurance which provides appropriate coverage for the user of at least $10 million. In addition, if the user has employees, evidence of workers compensation insurance for the user’s workers must also be produced.</w:t>
      </w:r>
    </w:p>
    <w:p w14:paraId="585681FD" w14:textId="535A2B15" w:rsidR="00953428" w:rsidRDefault="00953428" w:rsidP="00953428">
      <w:pPr>
        <w:rPr>
          <w:lang w:eastAsia="en-AU"/>
        </w:rPr>
      </w:pPr>
      <w:r>
        <w:rPr>
          <w:lang w:eastAsia="en-AU"/>
        </w:rPr>
        <w:t xml:space="preserve">If a user does not have public liability insurance and is of a non-commercial nature and the </w:t>
      </w:r>
      <w:r w:rsidR="00845FD2">
        <w:rPr>
          <w:lang w:eastAsia="en-AU"/>
        </w:rPr>
        <w:t>SRB</w:t>
      </w:r>
      <w:r>
        <w:rPr>
          <w:lang w:eastAsia="en-AU"/>
        </w:rPr>
        <w:t xml:space="preserve"> is satisfied that the use is of a low risk nature, discretion may be exercised in deciding whether to permit use of the school’s facilities. This discretion should be exercised with great caution and only in rare circumstances. The basic requirement is for the community user to have public liability insurance. Activities involving physical activity</w:t>
      </w:r>
      <w:r w:rsidR="00BC3762">
        <w:rPr>
          <w:lang w:eastAsia="en-AU"/>
        </w:rPr>
        <w:t>,</w:t>
      </w:r>
      <w:r>
        <w:rPr>
          <w:lang w:eastAsia="en-AU"/>
        </w:rPr>
        <w:t xml:space="preserve"> </w:t>
      </w:r>
      <w:r w:rsidR="00BC3762">
        <w:rPr>
          <w:lang w:eastAsia="en-AU"/>
        </w:rPr>
        <w:t>such as</w:t>
      </w:r>
      <w:r>
        <w:rPr>
          <w:lang w:eastAsia="en-AU"/>
        </w:rPr>
        <w:t xml:space="preserve"> sports</w:t>
      </w:r>
      <w:r w:rsidR="00BC3762">
        <w:rPr>
          <w:lang w:eastAsia="en-AU"/>
        </w:rPr>
        <w:t xml:space="preserve"> or </w:t>
      </w:r>
      <w:r>
        <w:rPr>
          <w:lang w:eastAsia="en-AU"/>
        </w:rPr>
        <w:t>dancing</w:t>
      </w:r>
      <w:r w:rsidR="00BC3762">
        <w:rPr>
          <w:lang w:eastAsia="en-AU"/>
        </w:rPr>
        <w:t>,</w:t>
      </w:r>
      <w:r>
        <w:rPr>
          <w:lang w:eastAsia="en-AU"/>
        </w:rPr>
        <w:t xml:space="preserve"> must be covered by insurance. If the requirement to have public liability insurance is waived, the user is required to indemnify the </w:t>
      </w:r>
      <w:r w:rsidR="00D46178">
        <w:rPr>
          <w:lang w:eastAsia="en-AU"/>
        </w:rPr>
        <w:t>N</w:t>
      </w:r>
      <w:r w:rsidR="00951CBD">
        <w:rPr>
          <w:lang w:eastAsia="en-AU"/>
        </w:rPr>
        <w:t xml:space="preserve">orthern </w:t>
      </w:r>
      <w:r w:rsidR="00D46178">
        <w:rPr>
          <w:lang w:eastAsia="en-AU"/>
        </w:rPr>
        <w:t>T</w:t>
      </w:r>
      <w:r w:rsidR="00951CBD">
        <w:rPr>
          <w:lang w:eastAsia="en-AU"/>
        </w:rPr>
        <w:t>erritory</w:t>
      </w:r>
      <w:r>
        <w:rPr>
          <w:lang w:eastAsia="en-AU"/>
        </w:rPr>
        <w:t xml:space="preserve"> Government for any loss or damage to person or property as a consequence of using the school’s facilities. Note clause 9 of the Community </w:t>
      </w:r>
      <w:r w:rsidR="00951CBD">
        <w:rPr>
          <w:lang w:eastAsia="en-AU"/>
        </w:rPr>
        <w:t>use agreement</w:t>
      </w:r>
      <w:r>
        <w:rPr>
          <w:lang w:eastAsia="en-AU"/>
        </w:rPr>
        <w:t>.</w:t>
      </w:r>
    </w:p>
    <w:p w14:paraId="09C5B8CE" w14:textId="77777777" w:rsidR="00953428" w:rsidRDefault="00953428" w:rsidP="00953428">
      <w:pPr>
        <w:pStyle w:val="Heading2"/>
        <w:rPr>
          <w:lang w:eastAsia="en-AU"/>
        </w:rPr>
      </w:pPr>
      <w:r>
        <w:rPr>
          <w:lang w:eastAsia="en-AU"/>
        </w:rPr>
        <w:t>Use of school facilities for polling purposes</w:t>
      </w:r>
    </w:p>
    <w:p w14:paraId="5F384A86" w14:textId="427E4173" w:rsidR="00953428" w:rsidRDefault="00953428" w:rsidP="00953428">
      <w:pPr>
        <w:rPr>
          <w:lang w:eastAsia="en-AU"/>
        </w:rPr>
      </w:pPr>
      <w:r>
        <w:rPr>
          <w:lang w:eastAsia="en-AU"/>
        </w:rPr>
        <w:t xml:space="preserve">The department has entered into an </w:t>
      </w:r>
      <w:bookmarkStart w:id="2" w:name="_Hlk117164514"/>
      <w:r>
        <w:rPr>
          <w:lang w:eastAsia="en-AU"/>
        </w:rPr>
        <w:t>Agreement with the Australian</w:t>
      </w:r>
      <w:r w:rsidR="00951CBD">
        <w:rPr>
          <w:lang w:eastAsia="en-AU"/>
        </w:rPr>
        <w:t xml:space="preserve"> </w:t>
      </w:r>
      <w:r>
        <w:rPr>
          <w:lang w:eastAsia="en-AU"/>
        </w:rPr>
        <w:t xml:space="preserve">Electoral Commission and </w:t>
      </w:r>
      <w:r w:rsidR="00A64461">
        <w:rPr>
          <w:lang w:eastAsia="en-AU"/>
        </w:rPr>
        <w:t xml:space="preserve">has a Memorandum of Understanding </w:t>
      </w:r>
      <w:r w:rsidR="00365A0C">
        <w:rPr>
          <w:lang w:eastAsia="en-AU"/>
        </w:rPr>
        <w:t>NT</w:t>
      </w:r>
      <w:r>
        <w:rPr>
          <w:lang w:eastAsia="en-AU"/>
        </w:rPr>
        <w:t xml:space="preserve"> Electoral Commission</w:t>
      </w:r>
      <w:bookmarkEnd w:id="2"/>
      <w:r>
        <w:rPr>
          <w:lang w:eastAsia="en-AU"/>
        </w:rPr>
        <w:t xml:space="preserve"> which eliminates the need for schools to put in place user agreements when schools are being used as polling places</w:t>
      </w:r>
      <w:r w:rsidR="00BE6FE3">
        <w:rPr>
          <w:lang w:eastAsia="en-AU"/>
        </w:rPr>
        <w:t>.</w:t>
      </w:r>
    </w:p>
    <w:p w14:paraId="6607E45C" w14:textId="4533A7AF" w:rsidR="00953428" w:rsidRDefault="00953428" w:rsidP="00953428">
      <w:pPr>
        <w:rPr>
          <w:lang w:eastAsia="en-AU"/>
        </w:rPr>
      </w:pPr>
      <w:r>
        <w:rPr>
          <w:lang w:eastAsia="en-AU"/>
        </w:rPr>
        <w:t>Schools will negotiate operational details such as fees, availability and suitability of school facilities directly with the Electoral Commissions.</w:t>
      </w:r>
    </w:p>
    <w:p w14:paraId="7395F5D8" w14:textId="586F3DDB" w:rsidR="00953428" w:rsidRDefault="00953428" w:rsidP="00953428">
      <w:pPr>
        <w:rPr>
          <w:lang w:eastAsia="en-AU"/>
        </w:rPr>
      </w:pPr>
      <w:r>
        <w:rPr>
          <w:lang w:eastAsia="en-AU"/>
        </w:rPr>
        <w:lastRenderedPageBreak/>
        <w:t>It would be reasonable to expect that political candidates are able to set up signs and notices on school grounds at the conclusion of the school day on the Friday before election</w:t>
      </w:r>
      <w:r w:rsidR="00951CBD">
        <w:rPr>
          <w:lang w:eastAsia="en-AU"/>
        </w:rPr>
        <w:t xml:space="preserve"> </w:t>
      </w:r>
      <w:r>
        <w:rPr>
          <w:lang w:eastAsia="en-AU"/>
        </w:rPr>
        <w:t>day. For some schools this would not be until after school care finishes or when all or most students have vacated the premises. Principals must clearly define with political parties and candidates where promotional material can be erected</w:t>
      </w:r>
      <w:r w:rsidR="00BC3762">
        <w:rPr>
          <w:lang w:eastAsia="en-AU"/>
        </w:rPr>
        <w:t xml:space="preserve"> or </w:t>
      </w:r>
      <w:r>
        <w:rPr>
          <w:lang w:eastAsia="en-AU"/>
        </w:rPr>
        <w:t>displayed and when it is to be removed. This is to avoid the possibility of star pickets damaging underground services and communication lines.</w:t>
      </w:r>
    </w:p>
    <w:p w14:paraId="7853B9E1" w14:textId="3EA4E628" w:rsidR="00953428" w:rsidRDefault="00953428" w:rsidP="00953428">
      <w:pPr>
        <w:rPr>
          <w:lang w:eastAsia="en-AU"/>
        </w:rPr>
      </w:pPr>
      <w:r>
        <w:rPr>
          <w:lang w:eastAsia="en-AU"/>
        </w:rPr>
        <w:t>Principals who have any doubts as to whether an activity is allowed should contact their Director</w:t>
      </w:r>
      <w:r w:rsidR="00112AB2">
        <w:rPr>
          <w:lang w:eastAsia="en-AU"/>
        </w:rPr>
        <w:t xml:space="preserve"> School Operations </w:t>
      </w:r>
      <w:r>
        <w:rPr>
          <w:lang w:eastAsia="en-AU"/>
        </w:rPr>
        <w:t>for advice.</w:t>
      </w:r>
    </w:p>
    <w:p w14:paraId="3B9EC01F" w14:textId="4358A70C" w:rsidR="00953428" w:rsidRDefault="00953428" w:rsidP="00953428">
      <w:pPr>
        <w:pStyle w:val="Heading1"/>
        <w:rPr>
          <w:lang w:eastAsia="en-AU"/>
        </w:rPr>
      </w:pPr>
      <w:r>
        <w:rPr>
          <w:lang w:eastAsia="en-AU"/>
        </w:rPr>
        <w:t xml:space="preserve">Community </w:t>
      </w:r>
      <w:r w:rsidR="00951CBD">
        <w:rPr>
          <w:lang w:eastAsia="en-AU"/>
        </w:rPr>
        <w:t xml:space="preserve">use agreement </w:t>
      </w:r>
      <w:r w:rsidR="00E46119">
        <w:rPr>
          <w:lang w:eastAsia="en-AU"/>
        </w:rPr>
        <w:t>t</w:t>
      </w:r>
      <w:r>
        <w:rPr>
          <w:lang w:eastAsia="en-AU"/>
        </w:rPr>
        <w:t>emplate</w:t>
      </w:r>
    </w:p>
    <w:p w14:paraId="4268C9A9" w14:textId="2EC30EA4" w:rsidR="00893E00" w:rsidRDefault="00953428" w:rsidP="00C62A34">
      <w:pPr>
        <w:rPr>
          <w:lang w:eastAsia="en-AU"/>
        </w:rPr>
      </w:pPr>
      <w:r>
        <w:rPr>
          <w:lang w:eastAsia="en-AU"/>
        </w:rPr>
        <w:t xml:space="preserve">A </w:t>
      </w:r>
      <w:r w:rsidR="00951CBD">
        <w:rPr>
          <w:lang w:eastAsia="en-AU"/>
        </w:rPr>
        <w:t xml:space="preserve">community use of school facilities agreement and schedule </w:t>
      </w:r>
      <w:r>
        <w:rPr>
          <w:lang w:eastAsia="en-AU"/>
        </w:rPr>
        <w:t>has been developed for schools to use to appropriately manage the above processes.</w:t>
      </w:r>
    </w:p>
    <w:p w14:paraId="6B9C1321" w14:textId="7814E726" w:rsidR="00365A0C" w:rsidRDefault="00365A0C" w:rsidP="00365A0C">
      <w:pPr>
        <w:pStyle w:val="Heading1"/>
        <w:rPr>
          <w:lang w:eastAsia="en-AU"/>
        </w:rPr>
      </w:pPr>
      <w:r>
        <w:rPr>
          <w:lang w:eastAsia="en-AU"/>
        </w:rPr>
        <w:t>Related policy and documents</w:t>
      </w:r>
    </w:p>
    <w:p w14:paraId="54F4A121" w14:textId="654D07E5" w:rsidR="00951CBD" w:rsidRPr="00951CBD" w:rsidRDefault="00951CBD" w:rsidP="00951CBD">
      <w:pPr>
        <w:pStyle w:val="Heading2"/>
        <w:rPr>
          <w:lang w:eastAsia="en-AU"/>
        </w:rPr>
      </w:pPr>
      <w:r>
        <w:rPr>
          <w:lang w:eastAsia="en-AU"/>
        </w:rPr>
        <w:t>Policy</w:t>
      </w:r>
    </w:p>
    <w:p w14:paraId="6D6A1616" w14:textId="77E3A161" w:rsidR="00D46178" w:rsidRDefault="00D46178" w:rsidP="007366CA">
      <w:pPr>
        <w:pStyle w:val="ListParagraph"/>
        <w:numPr>
          <w:ilvl w:val="0"/>
          <w:numId w:val="55"/>
        </w:numPr>
        <w:ind w:left="567" w:hanging="283"/>
        <w:rPr>
          <w:lang w:eastAsia="en-AU"/>
        </w:rPr>
      </w:pPr>
      <w:r w:rsidRPr="009C5C8B">
        <w:rPr>
          <w:lang w:eastAsia="en-AU"/>
        </w:rPr>
        <w:t>Emergency management – public shelter responsibilities policy</w:t>
      </w:r>
      <w:r w:rsidR="009C5C8B">
        <w:rPr>
          <w:lang w:eastAsia="en-AU"/>
        </w:rPr>
        <w:t xml:space="preserve"> – </w:t>
      </w:r>
      <w:hyperlink r:id="rId9" w:anchor="public-emergency-shelter" w:history="1">
        <w:r w:rsidR="009C5C8B" w:rsidRPr="00AD6A36">
          <w:rPr>
            <w:rStyle w:val="Hyperlink"/>
            <w:lang w:eastAsia="en-AU"/>
          </w:rPr>
          <w:t>https://education.nt.gov.au/policies/school-operations#public-emergency-shelter</w:t>
        </w:r>
      </w:hyperlink>
    </w:p>
    <w:p w14:paraId="514DEECE" w14:textId="26894385" w:rsidR="00951CBD" w:rsidRDefault="00951CBD" w:rsidP="00951CBD">
      <w:pPr>
        <w:pStyle w:val="Heading2"/>
        <w:rPr>
          <w:lang w:eastAsia="en-AU"/>
        </w:rPr>
      </w:pPr>
      <w:r>
        <w:rPr>
          <w:lang w:eastAsia="en-AU"/>
        </w:rPr>
        <w:t>Documents</w:t>
      </w:r>
    </w:p>
    <w:p w14:paraId="3A46779D" w14:textId="77777777" w:rsidR="00951CBD" w:rsidRDefault="00951CBD" w:rsidP="00951CBD">
      <w:pPr>
        <w:pStyle w:val="ListParagraph"/>
        <w:numPr>
          <w:ilvl w:val="0"/>
          <w:numId w:val="53"/>
        </w:numPr>
        <w:ind w:left="567" w:hanging="283"/>
        <w:rPr>
          <w:lang w:eastAsia="en-AU"/>
        </w:rPr>
      </w:pPr>
      <w:r>
        <w:rPr>
          <w:lang w:eastAsia="en-AU"/>
        </w:rPr>
        <w:t xml:space="preserve">The following can be located on the Community use of school facilities page - </w:t>
      </w:r>
      <w:hyperlink r:id="rId10" w:anchor="community_use" w:history="1">
        <w:r w:rsidRPr="002C6009">
          <w:rPr>
            <w:rStyle w:val="Hyperlink"/>
            <w:lang w:eastAsia="en-AU"/>
          </w:rPr>
          <w:t>https://education.nt.gov.au/policies/resource-management#community_use</w:t>
        </w:r>
      </w:hyperlink>
    </w:p>
    <w:p w14:paraId="3C67A564" w14:textId="77777777" w:rsidR="00951CBD" w:rsidRDefault="00951CBD" w:rsidP="00951CBD">
      <w:pPr>
        <w:pStyle w:val="ListParagraph"/>
        <w:numPr>
          <w:ilvl w:val="0"/>
          <w:numId w:val="54"/>
        </w:numPr>
        <w:ind w:left="851" w:hanging="284"/>
        <w:rPr>
          <w:lang w:eastAsia="en-AU"/>
        </w:rPr>
      </w:pPr>
      <w:r>
        <w:rPr>
          <w:lang w:eastAsia="en-AU"/>
        </w:rPr>
        <w:t>Community use of school facilities agreement and schedule</w:t>
      </w:r>
    </w:p>
    <w:p w14:paraId="6F40C19F" w14:textId="77777777" w:rsidR="00951CBD" w:rsidRDefault="00951CBD" w:rsidP="00951CBD">
      <w:pPr>
        <w:pStyle w:val="ListParagraph"/>
        <w:numPr>
          <w:ilvl w:val="0"/>
          <w:numId w:val="54"/>
        </w:numPr>
        <w:ind w:left="851" w:hanging="284"/>
        <w:rPr>
          <w:lang w:eastAsia="en-AU"/>
        </w:rPr>
      </w:pPr>
      <w:r>
        <w:rPr>
          <w:lang w:eastAsia="en-AU"/>
        </w:rPr>
        <w:t>Community use of school facilities guidelines</w:t>
      </w:r>
    </w:p>
    <w:p w14:paraId="7AF012A4" w14:textId="10BC690B" w:rsidR="00951CBD" w:rsidRDefault="00951CBD" w:rsidP="00FF63EC">
      <w:pPr>
        <w:pStyle w:val="ListParagraph"/>
        <w:numPr>
          <w:ilvl w:val="0"/>
          <w:numId w:val="54"/>
        </w:numPr>
        <w:spacing w:after="200"/>
        <w:ind w:left="851" w:hanging="284"/>
        <w:rPr>
          <w:lang w:eastAsia="en-AU"/>
        </w:rPr>
      </w:pPr>
      <w:r>
        <w:rPr>
          <w:lang w:eastAsia="en-AU"/>
        </w:rPr>
        <w:t>Community use of school facilities school holiday user group registration form</w:t>
      </w:r>
    </w:p>
    <w:p w14:paraId="49B28AD0" w14:textId="61842A8C" w:rsidR="00951CBD" w:rsidRDefault="00951CBD">
      <w:pPr>
        <w:rPr>
          <w:lang w:eastAsia="en-AU"/>
        </w:rPr>
      </w:pPr>
      <w:r>
        <w:rPr>
          <w:lang w:eastAsia="en-AU"/>
        </w:rPr>
        <w:br w:type="page"/>
      </w:r>
    </w:p>
    <w:p w14:paraId="1B77EC05" w14:textId="77777777" w:rsidR="00893E00" w:rsidRDefault="00893E00" w:rsidP="00C52972">
      <w:pPr>
        <w:spacing w:after="0"/>
        <w:rPr>
          <w:lang w:eastAsia="en-AU"/>
        </w:rPr>
      </w:pPr>
    </w:p>
    <w:tbl>
      <w:tblPr>
        <w:tblStyle w:val="NTGtable1"/>
        <w:tblW w:w="10343" w:type="dxa"/>
        <w:tblBorders>
          <w:top w:val="single" w:sz="4" w:space="0" w:color="auto"/>
          <w:left w:val="single" w:sz="4" w:space="0" w:color="auto"/>
          <w:bottom w:val="single" w:sz="4" w:space="0" w:color="auto"/>
          <w:right w:val="single" w:sz="4" w:space="0" w:color="auto"/>
        </w:tblBorders>
        <w:tblLayout w:type="fixed"/>
        <w:tblLook w:val="0120" w:firstRow="1" w:lastRow="0" w:firstColumn="0" w:lastColumn="1" w:noHBand="0" w:noVBand="0"/>
      </w:tblPr>
      <w:tblGrid>
        <w:gridCol w:w="1980"/>
        <w:gridCol w:w="8363"/>
      </w:tblGrid>
      <w:tr w:rsidR="00830040" w:rsidRPr="00E87DE1" w14:paraId="4DFD23F3" w14:textId="77777777" w:rsidTr="00951CBD">
        <w:trPr>
          <w:cnfStyle w:val="100000000000" w:firstRow="1" w:lastRow="0" w:firstColumn="0" w:lastColumn="0" w:oddVBand="0" w:evenVBand="0" w:oddHBand="0" w:evenHBand="0" w:firstRowFirstColumn="0" w:firstRowLastColumn="0" w:lastRowFirstColumn="0" w:lastRowLastColumn="0"/>
          <w:trHeight w:val="227"/>
        </w:trPr>
        <w:tc>
          <w:tcPr>
            <w:tcW w:w="1980" w:type="dxa"/>
            <w:tcBorders>
              <w:top w:val="single" w:sz="4" w:space="0" w:color="auto"/>
              <w:bottom w:val="single" w:sz="4" w:space="0" w:color="auto"/>
            </w:tcBorders>
            <w:tcMar>
              <w:top w:w="57" w:type="dxa"/>
              <w:bottom w:w="57" w:type="dxa"/>
            </w:tcMar>
          </w:tcPr>
          <w:p w14:paraId="36F06238" w14:textId="77777777" w:rsidR="00830040" w:rsidRPr="00E87DE1" w:rsidRDefault="00830040" w:rsidP="00951CBD">
            <w:pPr>
              <w:spacing w:before="0" w:after="0"/>
            </w:pPr>
            <w:r w:rsidRPr="00E87DE1">
              <w:rPr>
                <w:w w:val="105"/>
              </w:rPr>
              <w:t>Acronyms</w:t>
            </w:r>
          </w:p>
        </w:tc>
        <w:tc>
          <w:tcPr>
            <w:tcW w:w="8363" w:type="dxa"/>
            <w:tcBorders>
              <w:top w:val="single" w:sz="4" w:space="0" w:color="auto"/>
              <w:bottom w:val="single" w:sz="4" w:space="0" w:color="auto"/>
            </w:tcBorders>
            <w:tcMar>
              <w:top w:w="57" w:type="dxa"/>
              <w:bottom w:w="57" w:type="dxa"/>
            </w:tcMar>
          </w:tcPr>
          <w:p w14:paraId="3EF4BCD6" w14:textId="77777777" w:rsidR="00830040" w:rsidRPr="00E87DE1" w:rsidRDefault="00830040" w:rsidP="00951CBD">
            <w:pPr>
              <w:spacing w:before="0" w:after="0"/>
            </w:pPr>
            <w:r w:rsidRPr="00E87DE1">
              <w:rPr>
                <w:w w:val="105"/>
              </w:rPr>
              <w:t>Full</w:t>
            </w:r>
            <w:r w:rsidRPr="00E87DE1">
              <w:rPr>
                <w:spacing w:val="-17"/>
                <w:w w:val="105"/>
              </w:rPr>
              <w:t xml:space="preserve"> </w:t>
            </w:r>
            <w:r w:rsidRPr="00E87DE1">
              <w:rPr>
                <w:w w:val="105"/>
              </w:rPr>
              <w:t>form</w:t>
            </w:r>
          </w:p>
        </w:tc>
      </w:tr>
      <w:tr w:rsidR="00845FD2" w:rsidRPr="00E87DE1" w14:paraId="30C3C835" w14:textId="77777777" w:rsidTr="00951CBD">
        <w:trPr>
          <w:trHeight w:val="227"/>
        </w:trPr>
        <w:tc>
          <w:tcPr>
            <w:tcW w:w="1980" w:type="dxa"/>
            <w:tcBorders>
              <w:top w:val="single" w:sz="4" w:space="0" w:color="auto"/>
            </w:tcBorders>
            <w:tcMar>
              <w:top w:w="57" w:type="dxa"/>
              <w:bottom w:w="57" w:type="dxa"/>
            </w:tcMar>
          </w:tcPr>
          <w:p w14:paraId="51038798" w14:textId="04DFC7F8" w:rsidR="00845FD2" w:rsidRPr="006145BB" w:rsidRDefault="00845FD2" w:rsidP="00951CBD">
            <w:pPr>
              <w:spacing w:before="0" w:after="0"/>
            </w:pPr>
            <w:r>
              <w:t>SRB</w:t>
            </w:r>
          </w:p>
        </w:tc>
        <w:tc>
          <w:tcPr>
            <w:tcW w:w="8363" w:type="dxa"/>
            <w:tcBorders>
              <w:top w:val="single" w:sz="4" w:space="0" w:color="auto"/>
            </w:tcBorders>
            <w:tcMar>
              <w:top w:w="57" w:type="dxa"/>
              <w:bottom w:w="57" w:type="dxa"/>
            </w:tcMar>
          </w:tcPr>
          <w:p w14:paraId="0F75AEE9" w14:textId="0A0F6B97" w:rsidR="00845FD2" w:rsidRPr="006145BB" w:rsidRDefault="00845FD2" w:rsidP="00951CBD">
            <w:pPr>
              <w:spacing w:before="0" w:after="0"/>
            </w:pPr>
            <w:r>
              <w:t xml:space="preserve">School </w:t>
            </w:r>
            <w:r w:rsidR="004A5385">
              <w:t>r</w:t>
            </w:r>
            <w:r>
              <w:t xml:space="preserve">epresentative </w:t>
            </w:r>
            <w:r w:rsidR="004A5385">
              <w:t>b</w:t>
            </w:r>
            <w:r>
              <w:t>ody</w:t>
            </w:r>
          </w:p>
        </w:tc>
      </w:tr>
    </w:tbl>
    <w:p w14:paraId="70171577" w14:textId="59775B3E" w:rsidR="00FE6961" w:rsidRPr="00C52972" w:rsidRDefault="00FE6961">
      <w:pPr>
        <w:rPr>
          <w:sz w:val="16"/>
          <w:szCs w:val="16"/>
          <w:lang w:eastAsia="en-AU"/>
        </w:rPr>
      </w:pPr>
    </w:p>
    <w:tbl>
      <w:tblPr>
        <w:tblStyle w:val="NTGtable1"/>
        <w:tblW w:w="10348" w:type="dxa"/>
        <w:tblLook w:val="0480" w:firstRow="0" w:lastRow="0" w:firstColumn="1" w:lastColumn="0" w:noHBand="0" w:noVBand="1"/>
      </w:tblPr>
      <w:tblGrid>
        <w:gridCol w:w="2410"/>
        <w:gridCol w:w="7938"/>
      </w:tblGrid>
      <w:tr w:rsidR="00FE6961" w14:paraId="6F3D6CB0" w14:textId="77777777" w:rsidTr="00951CBD">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7C5908BD" w14:textId="77777777" w:rsidR="00FE6961" w:rsidRPr="0054507C" w:rsidRDefault="00FE6961" w:rsidP="00951CBD">
            <w:pPr>
              <w:spacing w:before="0" w:after="0"/>
              <w:rPr>
                <w:b/>
              </w:rPr>
            </w:pPr>
            <w:r w:rsidRPr="0054507C">
              <w:rPr>
                <w:b/>
              </w:rPr>
              <w:t>Document title</w:t>
            </w:r>
          </w:p>
        </w:tc>
        <w:tc>
          <w:tcPr>
            <w:tcW w:w="7938" w:type="dxa"/>
            <w:tcMar>
              <w:top w:w="57" w:type="dxa"/>
              <w:bottom w:w="57" w:type="dxa"/>
            </w:tcMar>
          </w:tcPr>
          <w:p w14:paraId="7EB134A4" w14:textId="1E3B86CD" w:rsidR="00FE6961" w:rsidRPr="006145BB" w:rsidRDefault="00FF4ADE" w:rsidP="00951CBD">
            <w:pPr>
              <w:spacing w:before="0" w:after="0"/>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C80FD128FE394BF49084A20D3B17530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17A15">
                  <w:t>Community use of school facilities – guidelines</w:t>
                </w:r>
              </w:sdtContent>
            </w:sdt>
          </w:p>
        </w:tc>
      </w:tr>
      <w:tr w:rsidR="00FE6961" w14:paraId="27F7BE43" w14:textId="77777777" w:rsidTr="00951CB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227F988C" w14:textId="11AE759E" w:rsidR="00FE6961" w:rsidRPr="0054507C" w:rsidRDefault="00FE6961" w:rsidP="00951CBD">
            <w:pPr>
              <w:spacing w:before="0" w:after="0"/>
              <w:rPr>
                <w:b/>
              </w:rPr>
            </w:pPr>
            <w:r w:rsidRPr="0054507C">
              <w:rPr>
                <w:b/>
              </w:rPr>
              <w:t>Contact details</w:t>
            </w:r>
          </w:p>
        </w:tc>
        <w:tc>
          <w:tcPr>
            <w:tcW w:w="7938" w:type="dxa"/>
            <w:tcMar>
              <w:top w:w="57" w:type="dxa"/>
              <w:bottom w:w="57" w:type="dxa"/>
            </w:tcMar>
          </w:tcPr>
          <w:p w14:paraId="140BE909" w14:textId="5A825FA5" w:rsidR="00FE6961" w:rsidRPr="006145BB" w:rsidRDefault="00953428" w:rsidP="00951CBD">
            <w:pPr>
              <w:spacing w:before="0" w:after="0"/>
              <w:cnfStyle w:val="000000010000" w:firstRow="0" w:lastRow="0" w:firstColumn="0" w:lastColumn="0" w:oddVBand="0" w:evenVBand="0" w:oddHBand="0" w:evenHBand="1" w:firstRowFirstColumn="0" w:firstRowLastColumn="0" w:lastRowFirstColumn="0" w:lastRowLastColumn="0"/>
            </w:pPr>
            <w:r>
              <w:t>Regional Services, School Operations</w:t>
            </w:r>
            <w:r w:rsidR="00C52972">
              <w:t xml:space="preserve">, </w:t>
            </w:r>
            <w:hyperlink r:id="rId11" w:history="1">
              <w:r w:rsidR="00C52972" w:rsidRPr="009B3E9D">
                <w:rPr>
                  <w:rStyle w:val="Hyperlink"/>
                </w:rPr>
                <w:t>schoolops@education.nt.gov.au</w:t>
              </w:r>
            </w:hyperlink>
          </w:p>
        </w:tc>
      </w:tr>
      <w:tr w:rsidR="00FE6961" w14:paraId="3C163E31" w14:textId="77777777" w:rsidTr="00951CBD">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664AC876" w14:textId="77777777" w:rsidR="00FE6961" w:rsidRPr="0054507C" w:rsidRDefault="00FE6961" w:rsidP="00951CBD">
            <w:pPr>
              <w:spacing w:before="0" w:after="0"/>
              <w:rPr>
                <w:b/>
              </w:rPr>
            </w:pPr>
            <w:r w:rsidRPr="0054507C">
              <w:rPr>
                <w:b/>
              </w:rPr>
              <w:t>Approved by</w:t>
            </w:r>
          </w:p>
        </w:tc>
        <w:tc>
          <w:tcPr>
            <w:tcW w:w="7938" w:type="dxa"/>
            <w:tcMar>
              <w:top w:w="57" w:type="dxa"/>
              <w:bottom w:w="57" w:type="dxa"/>
            </w:tcMar>
          </w:tcPr>
          <w:p w14:paraId="5DF93294" w14:textId="191693D1" w:rsidR="00FE6961" w:rsidRPr="006145BB" w:rsidRDefault="00953428" w:rsidP="00951CBD">
            <w:pPr>
              <w:spacing w:before="0" w:after="0"/>
              <w:cnfStyle w:val="000000000000" w:firstRow="0" w:lastRow="0" w:firstColumn="0" w:lastColumn="0" w:oddVBand="0" w:evenVBand="0" w:oddHBand="0" w:evenHBand="0" w:firstRowFirstColumn="0" w:firstRowLastColumn="0" w:lastRowFirstColumn="0" w:lastRowLastColumn="0"/>
            </w:pPr>
            <w:r>
              <w:t>Deputy Chief Executive Regional Services</w:t>
            </w:r>
          </w:p>
        </w:tc>
      </w:tr>
      <w:tr w:rsidR="00FE6961" w14:paraId="2A32EDB2" w14:textId="77777777" w:rsidTr="00951CB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3C5CC341" w14:textId="77777777" w:rsidR="00FE6961" w:rsidRPr="0054507C" w:rsidRDefault="00FE6961" w:rsidP="00951CBD">
            <w:pPr>
              <w:spacing w:before="0" w:after="0"/>
              <w:rPr>
                <w:b/>
              </w:rPr>
            </w:pPr>
            <w:r w:rsidRPr="0054507C">
              <w:rPr>
                <w:b/>
              </w:rPr>
              <w:t>Date approved</w:t>
            </w:r>
          </w:p>
        </w:tc>
        <w:tc>
          <w:tcPr>
            <w:tcW w:w="7938" w:type="dxa"/>
            <w:tcMar>
              <w:top w:w="57" w:type="dxa"/>
              <w:bottom w:w="57" w:type="dxa"/>
            </w:tcMar>
          </w:tcPr>
          <w:p w14:paraId="4DBB6C34" w14:textId="0B4996EE" w:rsidR="00FE6961" w:rsidRPr="006145BB" w:rsidRDefault="00951CBD" w:rsidP="00951CBD">
            <w:pPr>
              <w:spacing w:before="0" w:after="0"/>
              <w:cnfStyle w:val="000000010000" w:firstRow="0" w:lastRow="0" w:firstColumn="0" w:lastColumn="0" w:oddVBand="0" w:evenVBand="0" w:oddHBand="0" w:evenHBand="1" w:firstRowFirstColumn="0" w:firstRowLastColumn="0" w:lastRowFirstColumn="0" w:lastRowLastColumn="0"/>
            </w:pPr>
            <w:r>
              <w:t>6 April 2023</w:t>
            </w:r>
          </w:p>
        </w:tc>
      </w:tr>
      <w:tr w:rsidR="00FE6961" w14:paraId="1A2865A3" w14:textId="77777777" w:rsidTr="00951CBD">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03E04EF3" w14:textId="77777777" w:rsidR="00FE6961" w:rsidRPr="0054507C" w:rsidRDefault="00FE6961" w:rsidP="00951CBD">
            <w:pPr>
              <w:spacing w:before="0" w:after="0"/>
              <w:rPr>
                <w:b/>
              </w:rPr>
            </w:pPr>
            <w:r w:rsidRPr="0054507C">
              <w:rPr>
                <w:b/>
              </w:rPr>
              <w:t>TRM number</w:t>
            </w:r>
          </w:p>
        </w:tc>
        <w:tc>
          <w:tcPr>
            <w:tcW w:w="7938" w:type="dxa"/>
            <w:tcMar>
              <w:top w:w="57" w:type="dxa"/>
              <w:bottom w:w="57" w:type="dxa"/>
            </w:tcMar>
          </w:tcPr>
          <w:p w14:paraId="4F4160B8" w14:textId="3190F4CA" w:rsidR="00FE6961" w:rsidRPr="006145BB" w:rsidRDefault="00953428" w:rsidP="00951CBD">
            <w:pPr>
              <w:spacing w:before="0" w:after="0"/>
              <w:cnfStyle w:val="000000000000" w:firstRow="0" w:lastRow="0" w:firstColumn="0" w:lastColumn="0" w:oddVBand="0" w:evenVBand="0" w:oddHBand="0" w:evenHBand="0" w:firstRowFirstColumn="0" w:firstRowLastColumn="0" w:lastRowFirstColumn="0" w:lastRowLastColumn="0"/>
            </w:pPr>
            <w:r>
              <w:t>50:D22:88420</w:t>
            </w:r>
          </w:p>
        </w:tc>
      </w:tr>
    </w:tbl>
    <w:p w14:paraId="3CD4FD02" w14:textId="63B499DB" w:rsidR="00FE6961" w:rsidRPr="00C52972" w:rsidRDefault="00FE6961" w:rsidP="00FE6961">
      <w:pPr>
        <w:rPr>
          <w:sz w:val="16"/>
          <w:szCs w:val="16"/>
          <w:lang w:eastAsia="en-AU"/>
        </w:rPr>
      </w:pPr>
    </w:p>
    <w:tbl>
      <w:tblPr>
        <w:tblStyle w:val="NTGtable1"/>
        <w:tblW w:w="10343" w:type="dxa"/>
        <w:tblBorders>
          <w:top w:val="single" w:sz="4" w:space="0" w:color="auto"/>
          <w:left w:val="single" w:sz="4" w:space="0" w:color="auto"/>
          <w:bottom w:val="single" w:sz="4" w:space="0" w:color="auto"/>
          <w:right w:val="single" w:sz="4" w:space="0" w:color="auto"/>
        </w:tblBorders>
        <w:tblLayout w:type="fixed"/>
        <w:tblLook w:val="0120" w:firstRow="1" w:lastRow="0" w:firstColumn="0" w:lastColumn="1" w:noHBand="0" w:noVBand="0"/>
      </w:tblPr>
      <w:tblGrid>
        <w:gridCol w:w="1129"/>
        <w:gridCol w:w="2268"/>
        <w:gridCol w:w="2552"/>
        <w:gridCol w:w="4394"/>
      </w:tblGrid>
      <w:tr w:rsidR="00FE6961" w:rsidRPr="00E87DE1" w14:paraId="6DD0CB40" w14:textId="77777777" w:rsidTr="00951CBD">
        <w:trPr>
          <w:cnfStyle w:val="100000000000" w:firstRow="1" w:lastRow="0" w:firstColumn="0" w:lastColumn="0" w:oddVBand="0" w:evenVBand="0" w:oddHBand="0" w:evenHBand="0" w:firstRowFirstColumn="0" w:firstRowLastColumn="0" w:lastRowFirstColumn="0" w:lastRowLastColumn="0"/>
          <w:trHeight w:val="227"/>
        </w:trPr>
        <w:tc>
          <w:tcPr>
            <w:tcW w:w="1129" w:type="dxa"/>
            <w:tcBorders>
              <w:top w:val="single" w:sz="4" w:space="0" w:color="auto"/>
              <w:bottom w:val="single" w:sz="4" w:space="0" w:color="auto"/>
            </w:tcBorders>
            <w:tcMar>
              <w:top w:w="57" w:type="dxa"/>
              <w:bottom w:w="57" w:type="dxa"/>
            </w:tcMar>
          </w:tcPr>
          <w:p w14:paraId="6CE2E95D" w14:textId="77777777" w:rsidR="00FE6961" w:rsidRPr="00E87DE1" w:rsidRDefault="00FE6961" w:rsidP="00951CBD">
            <w:pPr>
              <w:spacing w:before="0" w:after="0"/>
            </w:pPr>
            <w:r w:rsidRPr="00E87DE1">
              <w:rPr>
                <w:w w:val="105"/>
              </w:rPr>
              <w:t>Version</w:t>
            </w:r>
          </w:p>
        </w:tc>
        <w:tc>
          <w:tcPr>
            <w:tcW w:w="2268" w:type="dxa"/>
            <w:tcBorders>
              <w:top w:val="single" w:sz="4" w:space="0" w:color="auto"/>
              <w:bottom w:val="single" w:sz="4" w:space="0" w:color="auto"/>
            </w:tcBorders>
            <w:tcMar>
              <w:top w:w="57" w:type="dxa"/>
              <w:bottom w:w="57" w:type="dxa"/>
            </w:tcMar>
          </w:tcPr>
          <w:p w14:paraId="581F931D" w14:textId="77777777" w:rsidR="00FE6961" w:rsidRPr="00E87DE1" w:rsidRDefault="00FE6961" w:rsidP="00951CBD">
            <w:pPr>
              <w:spacing w:before="0" w:after="0"/>
            </w:pPr>
            <w:r w:rsidRPr="00E87DE1">
              <w:rPr>
                <w:w w:val="105"/>
              </w:rPr>
              <w:t>Date</w:t>
            </w:r>
          </w:p>
        </w:tc>
        <w:tc>
          <w:tcPr>
            <w:tcW w:w="2552" w:type="dxa"/>
            <w:tcBorders>
              <w:top w:val="single" w:sz="4" w:space="0" w:color="auto"/>
              <w:bottom w:val="single" w:sz="4" w:space="0" w:color="auto"/>
            </w:tcBorders>
            <w:tcMar>
              <w:top w:w="57" w:type="dxa"/>
              <w:bottom w:w="57" w:type="dxa"/>
            </w:tcMar>
          </w:tcPr>
          <w:p w14:paraId="4E5BA2F7" w14:textId="77777777" w:rsidR="00FE6961" w:rsidRPr="00E87DE1" w:rsidRDefault="00FE6961" w:rsidP="00951CBD">
            <w:pPr>
              <w:spacing w:before="0" w:after="0"/>
            </w:pPr>
            <w:r w:rsidRPr="00E87DE1">
              <w:rPr>
                <w:w w:val="105"/>
              </w:rPr>
              <w:t>Author</w:t>
            </w:r>
          </w:p>
        </w:tc>
        <w:tc>
          <w:tcPr>
            <w:tcW w:w="4394" w:type="dxa"/>
            <w:tcBorders>
              <w:top w:val="single" w:sz="4" w:space="0" w:color="auto"/>
              <w:bottom w:val="single" w:sz="4" w:space="0" w:color="auto"/>
            </w:tcBorders>
            <w:tcMar>
              <w:top w:w="57" w:type="dxa"/>
              <w:bottom w:w="57" w:type="dxa"/>
            </w:tcMar>
          </w:tcPr>
          <w:p w14:paraId="2C87B8FF" w14:textId="77777777" w:rsidR="00FE6961" w:rsidRPr="00E87DE1" w:rsidRDefault="00FE6961" w:rsidP="00951CBD">
            <w:pPr>
              <w:spacing w:before="0" w:after="0"/>
            </w:pPr>
            <w:r w:rsidRPr="00E87DE1">
              <w:t>Changes made</w:t>
            </w:r>
          </w:p>
        </w:tc>
      </w:tr>
      <w:tr w:rsidR="00FE6961" w:rsidRPr="00E87DE1" w14:paraId="11E5427B" w14:textId="77777777" w:rsidTr="00951CBD">
        <w:trPr>
          <w:trHeight w:val="227"/>
        </w:trPr>
        <w:tc>
          <w:tcPr>
            <w:tcW w:w="1129" w:type="dxa"/>
            <w:tcBorders>
              <w:top w:val="single" w:sz="4" w:space="0" w:color="auto"/>
            </w:tcBorders>
            <w:tcMar>
              <w:top w:w="57" w:type="dxa"/>
              <w:bottom w:w="57" w:type="dxa"/>
            </w:tcMar>
          </w:tcPr>
          <w:p w14:paraId="7E12546D" w14:textId="70F43BE9" w:rsidR="00FE6961" w:rsidRPr="006145BB" w:rsidRDefault="00953428" w:rsidP="00951CBD">
            <w:pPr>
              <w:spacing w:before="0" w:after="0"/>
            </w:pPr>
            <w:r>
              <w:t>2</w:t>
            </w:r>
          </w:p>
        </w:tc>
        <w:tc>
          <w:tcPr>
            <w:tcW w:w="2268" w:type="dxa"/>
            <w:tcBorders>
              <w:top w:val="single" w:sz="4" w:space="0" w:color="auto"/>
            </w:tcBorders>
            <w:tcMar>
              <w:top w:w="57" w:type="dxa"/>
              <w:bottom w:w="57" w:type="dxa"/>
            </w:tcMar>
          </w:tcPr>
          <w:p w14:paraId="203DD54E" w14:textId="79CAAF13" w:rsidR="00FE6961" w:rsidRPr="006145BB" w:rsidRDefault="00953428" w:rsidP="00951CBD">
            <w:pPr>
              <w:spacing w:before="0" w:after="0"/>
            </w:pPr>
            <w:r>
              <w:t xml:space="preserve">February </w:t>
            </w:r>
            <w:r w:rsidR="008C4184">
              <w:t>2013</w:t>
            </w:r>
          </w:p>
        </w:tc>
        <w:tc>
          <w:tcPr>
            <w:tcW w:w="2552" w:type="dxa"/>
            <w:tcBorders>
              <w:top w:val="single" w:sz="4" w:space="0" w:color="auto"/>
            </w:tcBorders>
            <w:tcMar>
              <w:top w:w="57" w:type="dxa"/>
              <w:bottom w:w="57" w:type="dxa"/>
            </w:tcMar>
          </w:tcPr>
          <w:p w14:paraId="7F2CE6FA" w14:textId="6CD190E6" w:rsidR="00FE6961" w:rsidRPr="006145BB" w:rsidRDefault="00953428" w:rsidP="00951CBD">
            <w:pPr>
              <w:spacing w:before="0" w:after="0"/>
            </w:pPr>
            <w:r>
              <w:t>School Support Services</w:t>
            </w:r>
          </w:p>
        </w:tc>
        <w:tc>
          <w:tcPr>
            <w:tcW w:w="4394" w:type="dxa"/>
            <w:tcBorders>
              <w:top w:val="single" w:sz="4" w:space="0" w:color="auto"/>
            </w:tcBorders>
            <w:tcMar>
              <w:top w:w="57" w:type="dxa"/>
              <w:bottom w:w="57" w:type="dxa"/>
            </w:tcMar>
          </w:tcPr>
          <w:p w14:paraId="78A5F642" w14:textId="35ABF8E8" w:rsidR="00FE6961" w:rsidRPr="006145BB" w:rsidRDefault="009C5C8B" w:rsidP="00951CBD">
            <w:pPr>
              <w:spacing w:before="0" w:after="0"/>
            </w:pPr>
            <w:r>
              <w:t>EDOC2015/12317</w:t>
            </w:r>
          </w:p>
        </w:tc>
      </w:tr>
      <w:tr w:rsidR="00953428" w:rsidRPr="00E87DE1" w14:paraId="1CB1E496" w14:textId="77777777" w:rsidTr="00951CBD">
        <w:trPr>
          <w:cnfStyle w:val="000000010000" w:firstRow="0" w:lastRow="0" w:firstColumn="0" w:lastColumn="0" w:oddVBand="0" w:evenVBand="0" w:oddHBand="0" w:evenHBand="1" w:firstRowFirstColumn="0" w:firstRowLastColumn="0" w:lastRowFirstColumn="0" w:lastRowLastColumn="0"/>
          <w:trHeight w:val="227"/>
        </w:trPr>
        <w:tc>
          <w:tcPr>
            <w:tcW w:w="1129" w:type="dxa"/>
            <w:tcMar>
              <w:top w:w="57" w:type="dxa"/>
              <w:bottom w:w="57" w:type="dxa"/>
            </w:tcMar>
          </w:tcPr>
          <w:p w14:paraId="23342FF1" w14:textId="1BBBD3F4" w:rsidR="00953428" w:rsidRPr="006145BB" w:rsidRDefault="00953428" w:rsidP="00951CBD">
            <w:pPr>
              <w:spacing w:before="0" w:after="0"/>
            </w:pPr>
            <w:r>
              <w:t>3</w:t>
            </w:r>
          </w:p>
        </w:tc>
        <w:tc>
          <w:tcPr>
            <w:tcW w:w="2268" w:type="dxa"/>
            <w:tcMar>
              <w:top w:w="57" w:type="dxa"/>
              <w:bottom w:w="57" w:type="dxa"/>
            </w:tcMar>
          </w:tcPr>
          <w:p w14:paraId="2420006D" w14:textId="3FC3A3EC" w:rsidR="00953428" w:rsidRPr="006145BB" w:rsidRDefault="00951CBD" w:rsidP="00951CBD">
            <w:pPr>
              <w:spacing w:before="0" w:after="0"/>
            </w:pPr>
            <w:r>
              <w:t>April</w:t>
            </w:r>
            <w:r w:rsidR="009C5C8B">
              <w:t xml:space="preserve"> 2023</w:t>
            </w:r>
          </w:p>
        </w:tc>
        <w:tc>
          <w:tcPr>
            <w:tcW w:w="2552" w:type="dxa"/>
            <w:tcMar>
              <w:top w:w="57" w:type="dxa"/>
              <w:bottom w:w="57" w:type="dxa"/>
            </w:tcMar>
          </w:tcPr>
          <w:p w14:paraId="7ABD2132" w14:textId="5CCF4F9B" w:rsidR="00953428" w:rsidRPr="006145BB" w:rsidRDefault="00953428" w:rsidP="00951CBD">
            <w:pPr>
              <w:spacing w:before="0" w:after="0"/>
            </w:pPr>
            <w:r>
              <w:t>Quality Standards and Regulation – Operational Policy</w:t>
            </w:r>
          </w:p>
        </w:tc>
        <w:tc>
          <w:tcPr>
            <w:tcW w:w="4394" w:type="dxa"/>
            <w:tcMar>
              <w:top w:w="57" w:type="dxa"/>
              <w:bottom w:w="57" w:type="dxa"/>
            </w:tcMar>
          </w:tcPr>
          <w:p w14:paraId="44AF85EE" w14:textId="182DCFC4" w:rsidR="00953428" w:rsidRPr="006145BB" w:rsidRDefault="00953428" w:rsidP="00951CBD">
            <w:pPr>
              <w:spacing w:before="0" w:after="0"/>
            </w:pPr>
            <w:r>
              <w:t>Administrative amendments to align roles and responsibilities to the structural alignment in effect from 1 July 2022, including NTG template and minor formatting</w:t>
            </w:r>
          </w:p>
        </w:tc>
      </w:tr>
    </w:tbl>
    <w:p w14:paraId="6FD1F932" w14:textId="77777777" w:rsidR="00FE6961" w:rsidRPr="00FE6961" w:rsidRDefault="00FE6961" w:rsidP="00FE6961">
      <w:pPr>
        <w:rPr>
          <w:lang w:eastAsia="en-AU"/>
        </w:rPr>
      </w:pPr>
    </w:p>
    <w:sectPr w:rsidR="00FE6961" w:rsidRPr="00FE6961" w:rsidSect="00017A15">
      <w:headerReference w:type="default" r:id="rId12"/>
      <w:footerReference w:type="default" r:id="rId13"/>
      <w:headerReference w:type="first" r:id="rId14"/>
      <w:footerReference w:type="first" r:id="rId15"/>
      <w:pgSz w:w="11906" w:h="16838" w:code="9"/>
      <w:pgMar w:top="794" w:right="794" w:bottom="794"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1367F" w14:textId="77777777" w:rsidR="004C5F0D" w:rsidRDefault="004C5F0D" w:rsidP="007332FF">
      <w:r>
        <w:separator/>
      </w:r>
    </w:p>
  </w:endnote>
  <w:endnote w:type="continuationSeparator" w:id="0">
    <w:p w14:paraId="1E428ED7" w14:textId="77777777" w:rsidR="004C5F0D" w:rsidRDefault="004C5F0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B079"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3B595795" w14:textId="77777777" w:rsidTr="00D47DC7">
      <w:trPr>
        <w:cantSplit/>
        <w:trHeight w:hRule="exact" w:val="850"/>
      </w:trPr>
      <w:tc>
        <w:tcPr>
          <w:tcW w:w="10318" w:type="dxa"/>
          <w:vAlign w:val="bottom"/>
        </w:tcPr>
        <w:p w14:paraId="6FC7F815" w14:textId="07E331E5" w:rsidR="00D47DC7" w:rsidRPr="00017A15" w:rsidRDefault="00D47DC7" w:rsidP="00D47DC7">
          <w:pPr>
            <w:spacing w:after="0"/>
            <w:rPr>
              <w:rStyle w:val="PageNumber"/>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E15A0">
                <w:rPr>
                  <w:rStyle w:val="PageNumber"/>
                  <w:b/>
                </w:rPr>
                <w:t>Education</w:t>
              </w:r>
            </w:sdtContent>
          </w:sdt>
          <w:r w:rsidR="00017A15">
            <w:rPr>
              <w:rStyle w:val="PageNumber"/>
              <w:b/>
            </w:rPr>
            <w:t xml:space="preserve"> </w:t>
          </w:r>
          <w:r w:rsidR="00017A15" w:rsidRPr="00017A15">
            <w:rPr>
              <w:rStyle w:val="PageNumber"/>
            </w:rPr>
            <w:t>– Community use of school facilities</w:t>
          </w:r>
        </w:p>
        <w:p w14:paraId="7E9B4F64" w14:textId="47689032" w:rsidR="004655FD" w:rsidRDefault="004655FD" w:rsidP="004655FD">
          <w:pPr>
            <w:spacing w:after="0"/>
            <w:rPr>
              <w:rStyle w:val="PageNumber"/>
            </w:rPr>
          </w:pPr>
          <w:r>
            <w:rPr>
              <w:rStyle w:val="PageNumber"/>
            </w:rPr>
            <w:t xml:space="preserve">Published </w:t>
          </w:r>
          <w:r w:rsidR="00017A15">
            <w:rPr>
              <w:rStyle w:val="PageNumber"/>
            </w:rPr>
            <w:t>April</w:t>
          </w:r>
          <w:r>
            <w:rPr>
              <w:rStyle w:val="PageNumber"/>
            </w:rPr>
            <w:t xml:space="preserve"> 2023</w:t>
          </w:r>
        </w:p>
        <w:p w14:paraId="41322244" w14:textId="77777777"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75EA9">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75EA9">
            <w:rPr>
              <w:rStyle w:val="PageNumber"/>
              <w:noProof/>
            </w:rPr>
            <w:t>2</w:t>
          </w:r>
          <w:r w:rsidRPr="00AC4488">
            <w:rPr>
              <w:rStyle w:val="PageNumber"/>
            </w:rPr>
            <w:fldChar w:fldCharType="end"/>
          </w:r>
        </w:p>
      </w:tc>
    </w:tr>
  </w:tbl>
  <w:p w14:paraId="6D81B08A"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E707"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148F63B3" w14:textId="77777777" w:rsidTr="008921B4">
      <w:trPr>
        <w:cantSplit/>
        <w:trHeight w:hRule="exact" w:val="1134"/>
      </w:trPr>
      <w:tc>
        <w:tcPr>
          <w:tcW w:w="7767" w:type="dxa"/>
          <w:vAlign w:val="bottom"/>
        </w:tcPr>
        <w:p w14:paraId="6C75AEEA" w14:textId="2528B9AA" w:rsidR="00D47DC7" w:rsidRPr="00017A15" w:rsidRDefault="00D47DC7" w:rsidP="00D47DC7">
          <w:pPr>
            <w:spacing w:after="0"/>
            <w:rPr>
              <w:rStyle w:val="PageNumber"/>
            </w:rPr>
          </w:pPr>
          <w:r>
            <w:rPr>
              <w:rStyle w:val="PageNumber"/>
            </w:rPr>
            <w:t xml:space="preserve">Department of </w:t>
          </w:r>
          <w:sdt>
            <w:sdtPr>
              <w:rPr>
                <w:rStyle w:val="PageNumber"/>
                <w:b/>
              </w:rPr>
              <w:alias w:val="Company"/>
              <w:tag w:val=""/>
              <w:id w:val="-1550452142"/>
              <w:placeholder>
                <w:docPart w:val="C80FD128FE394BF49084A20D3B17530B"/>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E15A0">
                <w:rPr>
                  <w:rStyle w:val="PageNumber"/>
                  <w:b/>
                </w:rPr>
                <w:t>Education</w:t>
              </w:r>
            </w:sdtContent>
          </w:sdt>
          <w:r w:rsidR="00017A15">
            <w:rPr>
              <w:rStyle w:val="PageNumber"/>
              <w:b/>
            </w:rPr>
            <w:t xml:space="preserve"> </w:t>
          </w:r>
          <w:r w:rsidR="00017A15" w:rsidRPr="00017A15">
            <w:rPr>
              <w:rStyle w:val="PageNumber"/>
            </w:rPr>
            <w:t>– Community use of school facilities</w:t>
          </w:r>
        </w:p>
        <w:p w14:paraId="55C7AA12" w14:textId="2E9862BD" w:rsidR="004655FD" w:rsidRDefault="004655FD" w:rsidP="00D47DC7">
          <w:pPr>
            <w:spacing w:after="0"/>
            <w:rPr>
              <w:rStyle w:val="PageNumber"/>
            </w:rPr>
          </w:pPr>
          <w:r>
            <w:rPr>
              <w:rStyle w:val="PageNumber"/>
            </w:rPr>
            <w:t xml:space="preserve">Published </w:t>
          </w:r>
          <w:r w:rsidR="00017A15">
            <w:rPr>
              <w:rStyle w:val="PageNumber"/>
            </w:rPr>
            <w:t>April</w:t>
          </w:r>
          <w:r>
            <w:rPr>
              <w:rStyle w:val="PageNumber"/>
            </w:rPr>
            <w:t xml:space="preserve"> 2023</w:t>
          </w:r>
        </w:p>
        <w:p w14:paraId="75830743" w14:textId="4279CD59"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D464A">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D464A">
            <w:rPr>
              <w:rStyle w:val="PageNumber"/>
              <w:noProof/>
            </w:rPr>
            <w:t>1</w:t>
          </w:r>
          <w:r w:rsidRPr="00AC4488">
            <w:rPr>
              <w:rStyle w:val="PageNumber"/>
            </w:rPr>
            <w:fldChar w:fldCharType="end"/>
          </w:r>
        </w:p>
      </w:tc>
      <w:tc>
        <w:tcPr>
          <w:tcW w:w="2551" w:type="dxa"/>
          <w:vAlign w:val="bottom"/>
        </w:tcPr>
        <w:p w14:paraId="3EBA850F" w14:textId="77777777" w:rsidR="0071700C" w:rsidRPr="001E14EB" w:rsidRDefault="0071700C" w:rsidP="0071700C">
          <w:pPr>
            <w:spacing w:after="0"/>
            <w:jc w:val="right"/>
          </w:pPr>
          <w:r>
            <w:rPr>
              <w:noProof/>
              <w:lang w:eastAsia="en-AU"/>
            </w:rPr>
            <w:drawing>
              <wp:inline distT="0" distB="0" distL="0" distR="0" wp14:anchorId="3423D2A4" wp14:editId="5D54B3BF">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5BF075EF"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F26C2" w14:textId="77777777" w:rsidR="004C5F0D" w:rsidRDefault="004C5F0D" w:rsidP="007332FF">
      <w:r>
        <w:separator/>
      </w:r>
    </w:p>
  </w:footnote>
  <w:footnote w:type="continuationSeparator" w:id="0">
    <w:p w14:paraId="1949905B" w14:textId="77777777" w:rsidR="004C5F0D" w:rsidRDefault="004C5F0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1FBD" w14:textId="50EDE91B" w:rsidR="00983000" w:rsidRPr="00162207" w:rsidRDefault="00FF4ADE"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017A15">
          <w:t>Community use of school facilities – guidelines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D77973C" w14:textId="39585D08" w:rsidR="00E54F9E" w:rsidRDefault="00953428" w:rsidP="00435082">
        <w:pPr>
          <w:pStyle w:val="Title"/>
        </w:pPr>
        <w:r>
          <w:rPr>
            <w:rStyle w:val="TitleChar"/>
          </w:rPr>
          <w:t xml:space="preserve">Community use of school facilities </w:t>
        </w:r>
        <w:r w:rsidR="00017A15">
          <w:rPr>
            <w:rStyle w:val="TitleChar"/>
          </w:rPr>
          <w:t>–</w:t>
        </w:r>
        <w:r>
          <w:rPr>
            <w:rStyle w:val="TitleChar"/>
          </w:rPr>
          <w:t xml:space="preserve"> guidelines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0701B5E"/>
    <w:multiLevelType w:val="hybridMultilevel"/>
    <w:tmpl w:val="22267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3" w15:restartNumberingAfterBreak="0">
    <w:nsid w:val="272E3F76"/>
    <w:multiLevelType w:val="multilevel"/>
    <w:tmpl w:val="3E5E177A"/>
    <w:name w:val="NTG Table Bullet List3322"/>
    <w:numStyleLink w:val="Tablenumberlist"/>
  </w:abstractNum>
  <w:abstractNum w:abstractNumId="24" w15:restartNumberingAfterBreak="0">
    <w:nsid w:val="27CE4608"/>
    <w:multiLevelType w:val="multilevel"/>
    <w:tmpl w:val="3E5E177A"/>
    <w:name w:val="NTG Table Bullet List33222"/>
    <w:numStyleLink w:val="Tablenumberlist"/>
  </w:abstractNum>
  <w:abstractNum w:abstractNumId="25" w15:restartNumberingAfterBreak="0">
    <w:nsid w:val="27D83E4D"/>
    <w:multiLevelType w:val="multilevel"/>
    <w:tmpl w:val="3928FD02"/>
    <w:numStyleLink w:val="Bulletlist"/>
  </w:abstractNum>
  <w:abstractNum w:abstractNumId="26"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1520E7"/>
    <w:multiLevelType w:val="multilevel"/>
    <w:tmpl w:val="4E6AC8F6"/>
    <w:numStyleLink w:val="Numberlist"/>
  </w:abstractNum>
  <w:abstractNum w:abstractNumId="2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9"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693641"/>
    <w:multiLevelType w:val="multilevel"/>
    <w:tmpl w:val="3E5E177A"/>
    <w:name w:val="NTG Table Bullet List33"/>
    <w:numStyleLink w:val="Tablenumberlist"/>
  </w:abstractNum>
  <w:abstractNum w:abstractNumId="31" w15:restartNumberingAfterBreak="0">
    <w:nsid w:val="2EF077BC"/>
    <w:multiLevelType w:val="multilevel"/>
    <w:tmpl w:val="0C78A7AC"/>
    <w:name w:val="NTG Table Bullet List33222222222222222222"/>
    <w:numStyleLink w:val="Tablebulletlist"/>
  </w:abstractNum>
  <w:abstractNum w:abstractNumId="32"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3" w15:restartNumberingAfterBreak="0">
    <w:nsid w:val="32DF44DA"/>
    <w:multiLevelType w:val="multilevel"/>
    <w:tmpl w:val="3E5E177A"/>
    <w:name w:val="NTG Table Bullet List3222323"/>
    <w:numStyleLink w:val="Tablenumberlist"/>
  </w:abstractNum>
  <w:abstractNum w:abstractNumId="3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5"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7"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8" w15:restartNumberingAfterBreak="0">
    <w:nsid w:val="3BE61945"/>
    <w:multiLevelType w:val="multilevel"/>
    <w:tmpl w:val="3928FD02"/>
    <w:name w:val="NTG Table Bullet List332222222222222222"/>
    <w:numStyleLink w:val="Bulletlist"/>
  </w:abstractNum>
  <w:abstractNum w:abstractNumId="39"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1477707"/>
    <w:multiLevelType w:val="hybridMultilevel"/>
    <w:tmpl w:val="44D89854"/>
    <w:lvl w:ilvl="0" w:tplc="836A0942">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3"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FD3A20"/>
    <w:multiLevelType w:val="multilevel"/>
    <w:tmpl w:val="3E5E177A"/>
    <w:name w:val="NTG Table Bullet List3322222222222"/>
    <w:numStyleLink w:val="Tablenumberlist"/>
  </w:abstractNum>
  <w:abstractNum w:abstractNumId="4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8"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3842BC6"/>
    <w:multiLevelType w:val="multilevel"/>
    <w:tmpl w:val="0C78A7AC"/>
    <w:numStyleLink w:val="Tablebulletlist"/>
  </w:abstractNum>
  <w:abstractNum w:abstractNumId="5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2"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3" w15:restartNumberingAfterBreak="0">
    <w:nsid w:val="56DA2CAE"/>
    <w:multiLevelType w:val="multilevel"/>
    <w:tmpl w:val="3E5E177A"/>
    <w:name w:val="NTG Table Bullet List332222222222222"/>
    <w:numStyleLink w:val="Tablenumberlist"/>
  </w:abstractNum>
  <w:abstractNum w:abstractNumId="54" w15:restartNumberingAfterBreak="0">
    <w:nsid w:val="57BB60A9"/>
    <w:multiLevelType w:val="hybridMultilevel"/>
    <w:tmpl w:val="DEDC3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3359D9"/>
    <w:multiLevelType w:val="multilevel"/>
    <w:tmpl w:val="3E5E177A"/>
    <w:name w:val="NTG Table Bullet List332222222"/>
    <w:numStyleLink w:val="Tablenumberlist"/>
  </w:abstractNum>
  <w:abstractNum w:abstractNumId="56"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7"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8E21323"/>
    <w:multiLevelType w:val="multilevel"/>
    <w:tmpl w:val="4E6AC8F6"/>
    <w:numStyleLink w:val="Numberlist"/>
  </w:abstractNum>
  <w:abstractNum w:abstractNumId="59" w15:restartNumberingAfterBreak="0">
    <w:nsid w:val="5B9A5FFE"/>
    <w:multiLevelType w:val="multilevel"/>
    <w:tmpl w:val="0C78A7AC"/>
    <w:name w:val="NTG Table Bullet List33222222222222"/>
    <w:numStyleLink w:val="Tablebulletlist"/>
  </w:abstractNum>
  <w:abstractNum w:abstractNumId="60" w15:restartNumberingAfterBreak="0">
    <w:nsid w:val="5C3934DE"/>
    <w:multiLevelType w:val="hybridMultilevel"/>
    <w:tmpl w:val="D9947D64"/>
    <w:lvl w:ilvl="0" w:tplc="855EC5C4">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D444259"/>
    <w:multiLevelType w:val="multilevel"/>
    <w:tmpl w:val="0C78A7AC"/>
    <w:name w:val="NTG Table Bullet List332222"/>
    <w:numStyleLink w:val="Tablebulletlist"/>
  </w:abstractNum>
  <w:abstractNum w:abstractNumId="62"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3" w15:restartNumberingAfterBreak="0">
    <w:nsid w:val="61722B06"/>
    <w:multiLevelType w:val="hybridMultilevel"/>
    <w:tmpl w:val="8FB46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6"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8"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9262556"/>
    <w:multiLevelType w:val="multilevel"/>
    <w:tmpl w:val="3E5E177A"/>
    <w:name w:val="NTG Table Bullet List3322222222222222"/>
    <w:numStyleLink w:val="Tablenumberlist"/>
  </w:abstractNum>
  <w:abstractNum w:abstractNumId="70" w15:restartNumberingAfterBreak="0">
    <w:nsid w:val="6C1C4FCD"/>
    <w:multiLevelType w:val="hybridMultilevel"/>
    <w:tmpl w:val="AE2E96C8"/>
    <w:lvl w:ilvl="0" w:tplc="836A0942">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453664D"/>
    <w:multiLevelType w:val="multilevel"/>
    <w:tmpl w:val="0C78A7AC"/>
    <w:name w:val="NTG Table Bullet List3322222222222222222"/>
    <w:numStyleLink w:val="Tablebulletlist"/>
  </w:abstractNum>
  <w:abstractNum w:abstractNumId="74" w15:restartNumberingAfterBreak="0">
    <w:nsid w:val="75D426A5"/>
    <w:multiLevelType w:val="hybridMultilevel"/>
    <w:tmpl w:val="A14A3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6141D1E"/>
    <w:multiLevelType w:val="multilevel"/>
    <w:tmpl w:val="0C78A7AC"/>
    <w:name w:val="NTG Table Bullet List332222222222"/>
    <w:numStyleLink w:val="Tablebulletlist"/>
  </w:abstractNum>
  <w:abstractNum w:abstractNumId="76" w15:restartNumberingAfterBreak="0">
    <w:nsid w:val="765A32D4"/>
    <w:multiLevelType w:val="multilevel"/>
    <w:tmpl w:val="4E6AC8F6"/>
    <w:numStyleLink w:val="Numberlist"/>
  </w:abstractNum>
  <w:abstractNum w:abstractNumId="77"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9" w15:restartNumberingAfterBreak="0">
    <w:nsid w:val="7C6623A0"/>
    <w:multiLevelType w:val="hybridMultilevel"/>
    <w:tmpl w:val="C00C2840"/>
    <w:lvl w:ilvl="0" w:tplc="964C912C">
      <w:numFmt w:val="bullet"/>
      <w:lvlText w:val="•"/>
      <w:lvlJc w:val="left"/>
      <w:pPr>
        <w:ind w:left="720" w:hanging="360"/>
      </w:pPr>
      <w:rPr>
        <w:rFonts w:ascii="Lato" w:eastAsia="Calibri" w:hAnsi="Lat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4"/>
  </w:num>
  <w:num w:numId="2">
    <w:abstractNumId w:val="22"/>
  </w:num>
  <w:num w:numId="3">
    <w:abstractNumId w:val="78"/>
  </w:num>
  <w:num w:numId="4">
    <w:abstractNumId w:val="45"/>
  </w:num>
  <w:num w:numId="5">
    <w:abstractNumId w:val="28"/>
  </w:num>
  <w:num w:numId="6">
    <w:abstractNumId w:val="15"/>
  </w:num>
  <w:num w:numId="7">
    <w:abstractNumId w:val="50"/>
  </w:num>
  <w:num w:numId="8">
    <w:abstractNumId w:val="25"/>
  </w:num>
  <w:num w:numId="9">
    <w:abstractNumId w:val="58"/>
  </w:num>
  <w:num w:numId="10">
    <w:abstractNumId w:val="20"/>
  </w:num>
  <w:num w:numId="11">
    <w:abstractNumId w:val="66"/>
  </w:num>
  <w:num w:numId="12">
    <w:abstractNumId w:val="17"/>
  </w:num>
  <w:num w:numId="13">
    <w:abstractNumId w:val="1"/>
  </w:num>
  <w:num w:numId="14">
    <w:abstractNumId w:val="64"/>
  </w:num>
  <w:num w:numId="15">
    <w:abstractNumId w:val="27"/>
  </w:num>
  <w:num w:numId="16">
    <w:abstractNumId w:val="65"/>
  </w:num>
  <w:num w:numId="17">
    <w:abstractNumId w:val="76"/>
  </w:num>
  <w:num w:numId="18">
    <w:abstractNumId w:val="57"/>
  </w:num>
  <w:num w:numId="19">
    <w:abstractNumId w:val="48"/>
  </w:num>
  <w:num w:numId="20">
    <w:abstractNumId w:val="52"/>
  </w:num>
  <w:num w:numId="21">
    <w:abstractNumId w:val="39"/>
  </w:num>
  <w:num w:numId="22">
    <w:abstractNumId w:val="56"/>
  </w:num>
  <w:num w:numId="23">
    <w:abstractNumId w:val="47"/>
  </w:num>
  <w:num w:numId="24">
    <w:abstractNumId w:val="42"/>
  </w:num>
  <w:num w:numId="25">
    <w:abstractNumId w:val="37"/>
  </w:num>
  <w:num w:numId="26">
    <w:abstractNumId w:val="10"/>
  </w:num>
  <w:num w:numId="27">
    <w:abstractNumId w:val="77"/>
  </w:num>
  <w:num w:numId="28">
    <w:abstractNumId w:val="36"/>
  </w:num>
  <w:num w:numId="29">
    <w:abstractNumId w:val="29"/>
  </w:num>
  <w:num w:numId="30">
    <w:abstractNumId w:val="0"/>
  </w:num>
  <w:num w:numId="31">
    <w:abstractNumId w:val="41"/>
  </w:num>
  <w:num w:numId="32">
    <w:abstractNumId w:val="9"/>
  </w:num>
  <w:num w:numId="33">
    <w:abstractNumId w:val="67"/>
  </w:num>
  <w:num w:numId="34">
    <w:abstractNumId w:val="32"/>
  </w:num>
  <w:num w:numId="35">
    <w:abstractNumId w:val="49"/>
  </w:num>
  <w:num w:numId="36">
    <w:abstractNumId w:val="68"/>
  </w:num>
  <w:num w:numId="37">
    <w:abstractNumId w:val="71"/>
  </w:num>
  <w:num w:numId="38">
    <w:abstractNumId w:val="14"/>
  </w:num>
  <w:num w:numId="39">
    <w:abstractNumId w:val="26"/>
  </w:num>
  <w:num w:numId="40">
    <w:abstractNumId w:val="72"/>
  </w:num>
  <w:num w:numId="41">
    <w:abstractNumId w:val="2"/>
  </w:num>
  <w:num w:numId="42">
    <w:abstractNumId w:val="62"/>
  </w:num>
  <w:num w:numId="43">
    <w:abstractNumId w:val="11"/>
  </w:num>
  <w:num w:numId="44">
    <w:abstractNumId w:val="35"/>
  </w:num>
  <w:num w:numId="45">
    <w:abstractNumId w:val="43"/>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74"/>
  </w:num>
  <w:num w:numId="49">
    <w:abstractNumId w:val="70"/>
  </w:num>
  <w:num w:numId="50">
    <w:abstractNumId w:val="40"/>
  </w:num>
  <w:num w:numId="51">
    <w:abstractNumId w:val="54"/>
  </w:num>
  <w:num w:numId="52">
    <w:abstractNumId w:val="79"/>
  </w:num>
  <w:num w:numId="53">
    <w:abstractNumId w:val="63"/>
  </w:num>
  <w:num w:numId="54">
    <w:abstractNumId w:val="60"/>
  </w:num>
  <w:num w:numId="55">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61"/>
    <w:rsid w:val="00001DDF"/>
    <w:rsid w:val="0000322D"/>
    <w:rsid w:val="000068F8"/>
    <w:rsid w:val="00007670"/>
    <w:rsid w:val="00010665"/>
    <w:rsid w:val="00014DDE"/>
    <w:rsid w:val="00017A1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2AB2"/>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4CC"/>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E15A0"/>
    <w:rsid w:val="001F59E6"/>
    <w:rsid w:val="00203F1C"/>
    <w:rsid w:val="00206936"/>
    <w:rsid w:val="00206C6F"/>
    <w:rsid w:val="00206FBD"/>
    <w:rsid w:val="00207746"/>
    <w:rsid w:val="00230031"/>
    <w:rsid w:val="00235C01"/>
    <w:rsid w:val="00247343"/>
    <w:rsid w:val="00254EAF"/>
    <w:rsid w:val="00265C56"/>
    <w:rsid w:val="002716CD"/>
    <w:rsid w:val="00274D4B"/>
    <w:rsid w:val="002806F5"/>
    <w:rsid w:val="00281577"/>
    <w:rsid w:val="00287D73"/>
    <w:rsid w:val="002926BC"/>
    <w:rsid w:val="00293A72"/>
    <w:rsid w:val="002A0160"/>
    <w:rsid w:val="002A30C3"/>
    <w:rsid w:val="002A6F6A"/>
    <w:rsid w:val="002A7712"/>
    <w:rsid w:val="002B03F1"/>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1B4D"/>
    <w:rsid w:val="0031340C"/>
    <w:rsid w:val="003164BA"/>
    <w:rsid w:val="003258E6"/>
    <w:rsid w:val="003401FD"/>
    <w:rsid w:val="00342283"/>
    <w:rsid w:val="00343A87"/>
    <w:rsid w:val="00344A36"/>
    <w:rsid w:val="003456F4"/>
    <w:rsid w:val="00347FB6"/>
    <w:rsid w:val="003504FD"/>
    <w:rsid w:val="00350881"/>
    <w:rsid w:val="003526AB"/>
    <w:rsid w:val="00356F27"/>
    <w:rsid w:val="00357D55"/>
    <w:rsid w:val="00363513"/>
    <w:rsid w:val="003657E5"/>
    <w:rsid w:val="0036589C"/>
    <w:rsid w:val="00365A0C"/>
    <w:rsid w:val="00371312"/>
    <w:rsid w:val="00371DC7"/>
    <w:rsid w:val="00377B21"/>
    <w:rsid w:val="00382A7F"/>
    <w:rsid w:val="00390862"/>
    <w:rsid w:val="00390CE3"/>
    <w:rsid w:val="00394876"/>
    <w:rsid w:val="00394AAF"/>
    <w:rsid w:val="00394CE5"/>
    <w:rsid w:val="003A11C1"/>
    <w:rsid w:val="003A6341"/>
    <w:rsid w:val="003B67FD"/>
    <w:rsid w:val="003B6A61"/>
    <w:rsid w:val="003C2198"/>
    <w:rsid w:val="003C4941"/>
    <w:rsid w:val="003D0F63"/>
    <w:rsid w:val="003D42C0"/>
    <w:rsid w:val="003D4A8F"/>
    <w:rsid w:val="003D5B29"/>
    <w:rsid w:val="003D7818"/>
    <w:rsid w:val="003E2445"/>
    <w:rsid w:val="003E3BB2"/>
    <w:rsid w:val="003F1F6D"/>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55FD"/>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A5385"/>
    <w:rsid w:val="004B0C15"/>
    <w:rsid w:val="004B35EA"/>
    <w:rsid w:val="004B69E4"/>
    <w:rsid w:val="004C5F0D"/>
    <w:rsid w:val="004C6C39"/>
    <w:rsid w:val="004D075F"/>
    <w:rsid w:val="004D1B76"/>
    <w:rsid w:val="004D344E"/>
    <w:rsid w:val="004D464A"/>
    <w:rsid w:val="004E019E"/>
    <w:rsid w:val="004E06EC"/>
    <w:rsid w:val="004E0A3F"/>
    <w:rsid w:val="004E2CB7"/>
    <w:rsid w:val="004E65A2"/>
    <w:rsid w:val="004F016A"/>
    <w:rsid w:val="00500F94"/>
    <w:rsid w:val="00502FB3"/>
    <w:rsid w:val="00503DE9"/>
    <w:rsid w:val="0050530C"/>
    <w:rsid w:val="00505DEA"/>
    <w:rsid w:val="00507782"/>
    <w:rsid w:val="00512A04"/>
    <w:rsid w:val="00520499"/>
    <w:rsid w:val="005249F5"/>
    <w:rsid w:val="005260F7"/>
    <w:rsid w:val="00543BD1"/>
    <w:rsid w:val="00556113"/>
    <w:rsid w:val="00560D6F"/>
    <w:rsid w:val="00564C12"/>
    <w:rsid w:val="005654B8"/>
    <w:rsid w:val="00570D94"/>
    <w:rsid w:val="005762CC"/>
    <w:rsid w:val="00582D3D"/>
    <w:rsid w:val="00590040"/>
    <w:rsid w:val="00593629"/>
    <w:rsid w:val="00595386"/>
    <w:rsid w:val="00597234"/>
    <w:rsid w:val="005A4AC0"/>
    <w:rsid w:val="005A539B"/>
    <w:rsid w:val="005A5FDF"/>
    <w:rsid w:val="005B0FB7"/>
    <w:rsid w:val="005B122A"/>
    <w:rsid w:val="005B1FCB"/>
    <w:rsid w:val="005B5AC2"/>
    <w:rsid w:val="005B5BB4"/>
    <w:rsid w:val="005C2833"/>
    <w:rsid w:val="005E144D"/>
    <w:rsid w:val="005E1500"/>
    <w:rsid w:val="005E3A43"/>
    <w:rsid w:val="005F0B17"/>
    <w:rsid w:val="005F6602"/>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C0EC2"/>
    <w:rsid w:val="006C4A21"/>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366CA"/>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70CF"/>
    <w:rsid w:val="007E74A4"/>
    <w:rsid w:val="007F13FD"/>
    <w:rsid w:val="007F1B6F"/>
    <w:rsid w:val="007F263F"/>
    <w:rsid w:val="008015A8"/>
    <w:rsid w:val="0080766E"/>
    <w:rsid w:val="00810A7C"/>
    <w:rsid w:val="00811169"/>
    <w:rsid w:val="008137AF"/>
    <w:rsid w:val="00815297"/>
    <w:rsid w:val="008170DB"/>
    <w:rsid w:val="00817BA1"/>
    <w:rsid w:val="00823022"/>
    <w:rsid w:val="0082634E"/>
    <w:rsid w:val="00830040"/>
    <w:rsid w:val="008313C4"/>
    <w:rsid w:val="00835434"/>
    <w:rsid w:val="008358C0"/>
    <w:rsid w:val="00842838"/>
    <w:rsid w:val="00845FD2"/>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3E00"/>
    <w:rsid w:val="0089500A"/>
    <w:rsid w:val="00897C94"/>
    <w:rsid w:val="008A4B30"/>
    <w:rsid w:val="008A7C12"/>
    <w:rsid w:val="008B03CE"/>
    <w:rsid w:val="008B529E"/>
    <w:rsid w:val="008C17FB"/>
    <w:rsid w:val="008C4184"/>
    <w:rsid w:val="008C70BB"/>
    <w:rsid w:val="008D1B00"/>
    <w:rsid w:val="008D57B8"/>
    <w:rsid w:val="008E03FC"/>
    <w:rsid w:val="008E510B"/>
    <w:rsid w:val="00902B13"/>
    <w:rsid w:val="00911941"/>
    <w:rsid w:val="0092024D"/>
    <w:rsid w:val="00925146"/>
    <w:rsid w:val="00925F0F"/>
    <w:rsid w:val="00926001"/>
    <w:rsid w:val="00932F6B"/>
    <w:rsid w:val="00936703"/>
    <w:rsid w:val="009444F0"/>
    <w:rsid w:val="009468BC"/>
    <w:rsid w:val="00947FAE"/>
    <w:rsid w:val="00951CBD"/>
    <w:rsid w:val="00953428"/>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C5C8B"/>
    <w:rsid w:val="009D0EB5"/>
    <w:rsid w:val="009D14F9"/>
    <w:rsid w:val="009D2B74"/>
    <w:rsid w:val="009D63FF"/>
    <w:rsid w:val="009E175D"/>
    <w:rsid w:val="009E272C"/>
    <w:rsid w:val="009E3CC2"/>
    <w:rsid w:val="009F06BD"/>
    <w:rsid w:val="009F2A4D"/>
    <w:rsid w:val="00A00828"/>
    <w:rsid w:val="00A03290"/>
    <w:rsid w:val="00A0387E"/>
    <w:rsid w:val="00A03BA7"/>
    <w:rsid w:val="00A05BFD"/>
    <w:rsid w:val="00A07490"/>
    <w:rsid w:val="00A10655"/>
    <w:rsid w:val="00A12B64"/>
    <w:rsid w:val="00A22C38"/>
    <w:rsid w:val="00A25193"/>
    <w:rsid w:val="00A26E80"/>
    <w:rsid w:val="00A31AE8"/>
    <w:rsid w:val="00A3739D"/>
    <w:rsid w:val="00A37DDA"/>
    <w:rsid w:val="00A45005"/>
    <w:rsid w:val="00A567EE"/>
    <w:rsid w:val="00A64461"/>
    <w:rsid w:val="00A70DD8"/>
    <w:rsid w:val="00A76790"/>
    <w:rsid w:val="00A85D0C"/>
    <w:rsid w:val="00A925EC"/>
    <w:rsid w:val="00A929AA"/>
    <w:rsid w:val="00A92B6B"/>
    <w:rsid w:val="00AA541E"/>
    <w:rsid w:val="00AB2C5A"/>
    <w:rsid w:val="00AC22F4"/>
    <w:rsid w:val="00AD0DA4"/>
    <w:rsid w:val="00AD4169"/>
    <w:rsid w:val="00AE25C6"/>
    <w:rsid w:val="00AE306C"/>
    <w:rsid w:val="00AF28C1"/>
    <w:rsid w:val="00B02082"/>
    <w:rsid w:val="00B02EF1"/>
    <w:rsid w:val="00B07C97"/>
    <w:rsid w:val="00B11C67"/>
    <w:rsid w:val="00B14257"/>
    <w:rsid w:val="00B15754"/>
    <w:rsid w:val="00B16002"/>
    <w:rsid w:val="00B2046E"/>
    <w:rsid w:val="00B20E8B"/>
    <w:rsid w:val="00B257E1"/>
    <w:rsid w:val="00B2599A"/>
    <w:rsid w:val="00B27AC4"/>
    <w:rsid w:val="00B343CC"/>
    <w:rsid w:val="00B5084A"/>
    <w:rsid w:val="00B52045"/>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C3762"/>
    <w:rsid w:val="00BD7FE1"/>
    <w:rsid w:val="00BE37CA"/>
    <w:rsid w:val="00BE6144"/>
    <w:rsid w:val="00BE635A"/>
    <w:rsid w:val="00BE6FE3"/>
    <w:rsid w:val="00BF17E9"/>
    <w:rsid w:val="00BF2ABB"/>
    <w:rsid w:val="00BF5099"/>
    <w:rsid w:val="00C10B5E"/>
    <w:rsid w:val="00C10F10"/>
    <w:rsid w:val="00C1472E"/>
    <w:rsid w:val="00C15D4D"/>
    <w:rsid w:val="00C175DC"/>
    <w:rsid w:val="00C30171"/>
    <w:rsid w:val="00C309D8"/>
    <w:rsid w:val="00C43519"/>
    <w:rsid w:val="00C45263"/>
    <w:rsid w:val="00C51537"/>
    <w:rsid w:val="00C52972"/>
    <w:rsid w:val="00C52BC3"/>
    <w:rsid w:val="00C61AFA"/>
    <w:rsid w:val="00C61D64"/>
    <w:rsid w:val="00C62099"/>
    <w:rsid w:val="00C62A34"/>
    <w:rsid w:val="00C64EA3"/>
    <w:rsid w:val="00C72867"/>
    <w:rsid w:val="00C75E81"/>
    <w:rsid w:val="00C83BB6"/>
    <w:rsid w:val="00C86609"/>
    <w:rsid w:val="00C8795C"/>
    <w:rsid w:val="00C92B4C"/>
    <w:rsid w:val="00C954F6"/>
    <w:rsid w:val="00CA36A0"/>
    <w:rsid w:val="00CA6BC5"/>
    <w:rsid w:val="00CC571B"/>
    <w:rsid w:val="00CC61CD"/>
    <w:rsid w:val="00CC6C02"/>
    <w:rsid w:val="00CC737B"/>
    <w:rsid w:val="00CD5011"/>
    <w:rsid w:val="00CE640F"/>
    <w:rsid w:val="00CE76BC"/>
    <w:rsid w:val="00CF0163"/>
    <w:rsid w:val="00CF123E"/>
    <w:rsid w:val="00CF540E"/>
    <w:rsid w:val="00D02F07"/>
    <w:rsid w:val="00D15D88"/>
    <w:rsid w:val="00D27D49"/>
    <w:rsid w:val="00D27EBE"/>
    <w:rsid w:val="00D347DE"/>
    <w:rsid w:val="00D36A49"/>
    <w:rsid w:val="00D46178"/>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E6810"/>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46119"/>
    <w:rsid w:val="00E54F9E"/>
    <w:rsid w:val="00E61BA2"/>
    <w:rsid w:val="00E63864"/>
    <w:rsid w:val="00E6403F"/>
    <w:rsid w:val="00E75451"/>
    <w:rsid w:val="00E75EA9"/>
    <w:rsid w:val="00E76AD6"/>
    <w:rsid w:val="00E770C4"/>
    <w:rsid w:val="00E84C5A"/>
    <w:rsid w:val="00E85212"/>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1F7E"/>
    <w:rsid w:val="00EE38FA"/>
    <w:rsid w:val="00EE3E2C"/>
    <w:rsid w:val="00EE5D23"/>
    <w:rsid w:val="00EE750D"/>
    <w:rsid w:val="00EF3CA4"/>
    <w:rsid w:val="00EF49A8"/>
    <w:rsid w:val="00EF7859"/>
    <w:rsid w:val="00F014DA"/>
    <w:rsid w:val="00F02591"/>
    <w:rsid w:val="00F10051"/>
    <w:rsid w:val="00F30AE1"/>
    <w:rsid w:val="00F5696E"/>
    <w:rsid w:val="00F60EFF"/>
    <w:rsid w:val="00F67D2D"/>
    <w:rsid w:val="00F858F2"/>
    <w:rsid w:val="00F860CC"/>
    <w:rsid w:val="00F94398"/>
    <w:rsid w:val="00FB2B56"/>
    <w:rsid w:val="00FB55D5"/>
    <w:rsid w:val="00FC12BF"/>
    <w:rsid w:val="00FC2C60"/>
    <w:rsid w:val="00FC585D"/>
    <w:rsid w:val="00FD3E6F"/>
    <w:rsid w:val="00FD51B9"/>
    <w:rsid w:val="00FD5849"/>
    <w:rsid w:val="00FE03E4"/>
    <w:rsid w:val="00FE2A39"/>
    <w:rsid w:val="00FE6961"/>
    <w:rsid w:val="00FF39CF"/>
    <w:rsid w:val="00FF4ADE"/>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D4A3D"/>
  <w15:docId w15:val="{EBC8147E-BD42-473C-8220-2D09E22E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 1"/>
    <w:basedOn w:val="TableNormal"/>
    <w:uiPriority w:val="99"/>
    <w:rsid w:val="00FE6961"/>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830040"/>
    <w:rPr>
      <w:color w:val="8C4799" w:themeColor="followedHyperlink"/>
      <w:u w:val="single"/>
    </w:rPr>
  </w:style>
  <w:style w:type="character" w:styleId="UnresolvedMention">
    <w:name w:val="Unresolved Mention"/>
    <w:basedOn w:val="DefaultParagraphFont"/>
    <w:uiPriority w:val="99"/>
    <w:semiHidden/>
    <w:unhideWhenUsed/>
    <w:rsid w:val="00953428"/>
    <w:rPr>
      <w:color w:val="605E5C"/>
      <w:shd w:val="clear" w:color="auto" w:fill="E1DFDD"/>
    </w:rPr>
  </w:style>
  <w:style w:type="character" w:styleId="CommentReference">
    <w:name w:val="annotation reference"/>
    <w:basedOn w:val="DefaultParagraphFont"/>
    <w:uiPriority w:val="99"/>
    <w:semiHidden/>
    <w:unhideWhenUsed/>
    <w:rsid w:val="00365A0C"/>
    <w:rPr>
      <w:sz w:val="16"/>
      <w:szCs w:val="16"/>
    </w:rPr>
  </w:style>
  <w:style w:type="paragraph" w:styleId="CommentText">
    <w:name w:val="annotation text"/>
    <w:basedOn w:val="Normal"/>
    <w:link w:val="CommentTextChar"/>
    <w:uiPriority w:val="99"/>
    <w:unhideWhenUsed/>
    <w:rsid w:val="00365A0C"/>
    <w:rPr>
      <w:sz w:val="20"/>
      <w:szCs w:val="20"/>
    </w:rPr>
  </w:style>
  <w:style w:type="character" w:customStyle="1" w:styleId="CommentTextChar">
    <w:name w:val="Comment Text Char"/>
    <w:basedOn w:val="DefaultParagraphFont"/>
    <w:link w:val="CommentText"/>
    <w:uiPriority w:val="99"/>
    <w:rsid w:val="00365A0C"/>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365A0C"/>
    <w:rPr>
      <w:b/>
      <w:bCs/>
    </w:rPr>
  </w:style>
  <w:style w:type="character" w:customStyle="1" w:styleId="CommentSubjectChar">
    <w:name w:val="Comment Subject Char"/>
    <w:basedOn w:val="CommentTextChar"/>
    <w:link w:val="CommentSubject"/>
    <w:uiPriority w:val="99"/>
    <w:semiHidden/>
    <w:rsid w:val="00365A0C"/>
    <w:rPr>
      <w:rFonts w:ascii="Lato" w:hAnsi="Lato"/>
      <w:b/>
      <w:bCs/>
      <w:sz w:val="20"/>
      <w:szCs w:val="20"/>
    </w:rPr>
  </w:style>
  <w:style w:type="paragraph" w:styleId="Revision">
    <w:name w:val="Revision"/>
    <w:hidden/>
    <w:uiPriority w:val="99"/>
    <w:semiHidden/>
    <w:rsid w:val="00CF0163"/>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olops@education.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ducation.nt.gov.au/policies/resource-management" TargetMode="External"/><Relationship Id="rId4" Type="http://schemas.openxmlformats.org/officeDocument/2006/relationships/styles" Target="styles.xml"/><Relationship Id="rId9" Type="http://schemas.openxmlformats.org/officeDocument/2006/relationships/hyperlink" Target="https://education.nt.gov.au/policies/school-operation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finn\Downloads\ntg-short-portrai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0FD128FE394BF49084A20D3B17530B"/>
        <w:category>
          <w:name w:val="General"/>
          <w:gallery w:val="placeholder"/>
        </w:category>
        <w:types>
          <w:type w:val="bbPlcHdr"/>
        </w:types>
        <w:behaviors>
          <w:behavior w:val="content"/>
        </w:behaviors>
        <w:guid w:val="{C1042DC3-ADC5-4D6E-9631-83DB0DC4D385}"/>
      </w:docPartPr>
      <w:docPartBody>
        <w:p w:rsidR="00695AF6" w:rsidRDefault="00F870CB" w:rsidP="00F870CB">
          <w:pPr>
            <w:pStyle w:val="C80FD128FE394BF49084A20D3B17530B"/>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CB"/>
    <w:rsid w:val="00011883"/>
    <w:rsid w:val="00182F6F"/>
    <w:rsid w:val="004A2623"/>
    <w:rsid w:val="00515120"/>
    <w:rsid w:val="005F3398"/>
    <w:rsid w:val="00695AF6"/>
    <w:rsid w:val="006D7FEA"/>
    <w:rsid w:val="0081266E"/>
    <w:rsid w:val="008871A3"/>
    <w:rsid w:val="009223A3"/>
    <w:rsid w:val="0094465A"/>
    <w:rsid w:val="00AC519D"/>
    <w:rsid w:val="00E95E8D"/>
    <w:rsid w:val="00F87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0CB"/>
    <w:rPr>
      <w:color w:val="808080"/>
    </w:rPr>
  </w:style>
  <w:style w:type="paragraph" w:customStyle="1" w:styleId="C80FD128FE394BF49084A20D3B17530B">
    <w:name w:val="C80FD128FE394BF49084A20D3B17530B"/>
    <w:rsid w:val="00F87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69C164-7744-41D8-8F1B-5963C01F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ntg-short-portrait-template.dotx</Template>
  <TotalTime>29</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Community use of school facilities – guidelines</vt:lpstr>
    </vt:vector>
  </TitlesOfParts>
  <Company>Education</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use of school facilities – guidelines</dc:title>
  <dc:creator>Northern Territory Government</dc:creator>
  <cp:lastModifiedBy>Missy Frey</cp:lastModifiedBy>
  <cp:revision>11</cp:revision>
  <cp:lastPrinted>2023-04-26T00:00:00Z</cp:lastPrinted>
  <dcterms:created xsi:type="dcterms:W3CDTF">2023-04-24T04:13:00Z</dcterms:created>
  <dcterms:modified xsi:type="dcterms:W3CDTF">2023-04-26T00:01:00Z</dcterms:modified>
</cp:coreProperties>
</file>