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5EB29" w14:textId="4C4AA669" w:rsidR="00BF235F" w:rsidRDefault="00F473F0" w:rsidP="00BF235F">
      <w:pPr>
        <w:pStyle w:val="Heading1"/>
        <w:rPr>
          <w:noProof/>
          <w:lang w:eastAsia="en-AU"/>
        </w:rPr>
      </w:pPr>
      <w:r>
        <w:rPr>
          <w:noProof/>
          <w:lang w:eastAsia="en-AU"/>
        </w:rPr>
        <w:t>Policy statement</w:t>
      </w:r>
    </w:p>
    <w:p w14:paraId="1CEC6FC0" w14:textId="2ABC6432" w:rsidR="003E4985" w:rsidRDefault="00346102" w:rsidP="002873B8">
      <w:pPr>
        <w:rPr>
          <w:lang w:eastAsia="en-AU"/>
        </w:rPr>
      </w:pPr>
      <w:r>
        <w:rPr>
          <w:lang w:eastAsia="en-AU"/>
        </w:rPr>
        <w:t xml:space="preserve">Quality education </w:t>
      </w:r>
      <w:r w:rsidR="00221F86">
        <w:rPr>
          <w:lang w:eastAsia="en-AU"/>
        </w:rPr>
        <w:t xml:space="preserve">is fundamental to the development of individuals. Through education, people develop the knowledge, skills and attributes that they need to participate and thrive in </w:t>
      </w:r>
      <w:r w:rsidR="00177FBC">
        <w:rPr>
          <w:lang w:eastAsia="en-AU"/>
        </w:rPr>
        <w:t>a complex society. Success in education leads to self-esteem</w:t>
      </w:r>
      <w:r w:rsidR="00A027DF">
        <w:rPr>
          <w:lang w:eastAsia="en-AU"/>
        </w:rPr>
        <w:t xml:space="preserve"> and personal empowerment</w:t>
      </w:r>
      <w:r w:rsidR="00177FBC">
        <w:rPr>
          <w:lang w:eastAsia="en-AU"/>
        </w:rPr>
        <w:t xml:space="preserve">, </w:t>
      </w:r>
      <w:r w:rsidR="00D61622">
        <w:rPr>
          <w:lang w:eastAsia="en-AU"/>
        </w:rPr>
        <w:t>better health and wellbeing, better employment, and more choices in life. To achieve this end, ensuring enrolment and attendance is the first step.</w:t>
      </w:r>
    </w:p>
    <w:p w14:paraId="3E47802F" w14:textId="77777777" w:rsidR="004D0080" w:rsidRDefault="008A370B" w:rsidP="00805A90">
      <w:pPr>
        <w:rPr>
          <w:rFonts w:asciiTheme="minorHAnsi" w:hAnsiTheme="minorHAnsi"/>
          <w:lang w:eastAsia="en-AU"/>
        </w:rPr>
      </w:pPr>
      <w:r>
        <w:rPr>
          <w:lang w:eastAsia="en-AU"/>
        </w:rPr>
        <w:t xml:space="preserve">Education begins at birth. </w:t>
      </w:r>
      <w:r w:rsidR="00A027DF">
        <w:rPr>
          <w:lang w:eastAsia="en-AU"/>
        </w:rPr>
        <w:t xml:space="preserve">The </w:t>
      </w:r>
      <w:r w:rsidR="00805C9C">
        <w:rPr>
          <w:lang w:eastAsia="en-AU"/>
        </w:rPr>
        <w:t>Northern Territory (NT) Department of Education (</w:t>
      </w:r>
      <w:r w:rsidR="00A027DF">
        <w:rPr>
          <w:lang w:eastAsia="en-AU"/>
        </w:rPr>
        <w:t>department</w:t>
      </w:r>
      <w:r w:rsidR="00805C9C">
        <w:rPr>
          <w:lang w:eastAsia="en-AU"/>
        </w:rPr>
        <w:t>)</w:t>
      </w:r>
      <w:r w:rsidR="00A027DF">
        <w:rPr>
          <w:lang w:eastAsia="en-AU"/>
        </w:rPr>
        <w:t xml:space="preserve"> encourages families to engage their children </w:t>
      </w:r>
      <w:r w:rsidR="00805A90">
        <w:rPr>
          <w:lang w:eastAsia="en-AU"/>
        </w:rPr>
        <w:t xml:space="preserve">in early learning, which lays the foundation for children’s development and learning. </w:t>
      </w:r>
      <w:r w:rsidR="004D0080">
        <w:rPr>
          <w:rFonts w:asciiTheme="minorHAnsi" w:hAnsiTheme="minorHAnsi"/>
          <w:lang w:eastAsia="en-AU"/>
        </w:rPr>
        <w:t xml:space="preserve">Quality early childhood education gives children the best start in life. Preschool helps provide children with important opportunities to learn and develop, make friends, develop independence and learn new routines. Research shows that children who regularly participate in a quality preschool program are more likely to arrive at school equipped with the social, cognitive and emotional skills they need to help them continue to learn. </w:t>
      </w:r>
    </w:p>
    <w:p w14:paraId="10DC174B" w14:textId="207E05EF" w:rsidR="00805A90" w:rsidRDefault="00805A90" w:rsidP="00805A90">
      <w:pPr>
        <w:rPr>
          <w:lang w:eastAsia="en-AU"/>
        </w:rPr>
      </w:pPr>
      <w:r>
        <w:rPr>
          <w:lang w:eastAsia="en-AU"/>
        </w:rPr>
        <w:t xml:space="preserve">Once a child turns six years of age on or before 30 June, they become of compulsory school age. </w:t>
      </w:r>
      <w:r w:rsidR="00C530F0">
        <w:t xml:space="preserve">Pursuant to the </w:t>
      </w:r>
      <w:bookmarkStart w:id="0" w:name="_Hlk126065635"/>
      <w:r w:rsidR="00C530F0" w:rsidRPr="002D62BE">
        <w:rPr>
          <w:i/>
        </w:rPr>
        <w:t>Education</w:t>
      </w:r>
      <w:hyperlink r:id="rId9">
        <w:r w:rsidR="00C530F0" w:rsidRPr="002D62BE">
          <w:rPr>
            <w:i/>
          </w:rPr>
          <w:t xml:space="preserve"> </w:t>
        </w:r>
      </w:hyperlink>
      <w:hyperlink r:id="rId10">
        <w:r w:rsidR="00C530F0" w:rsidRPr="002D62BE">
          <w:rPr>
            <w:i/>
          </w:rPr>
          <w:t>Act</w:t>
        </w:r>
      </w:hyperlink>
      <w:r w:rsidR="00C530F0" w:rsidRPr="002D62BE">
        <w:rPr>
          <w:i/>
        </w:rPr>
        <w:t xml:space="preserve"> 2015</w:t>
      </w:r>
      <w:hyperlink r:id="rId11">
        <w:r w:rsidR="00C530F0" w:rsidRPr="002D62BE">
          <w:t xml:space="preserve"> </w:t>
        </w:r>
      </w:hyperlink>
      <w:bookmarkEnd w:id="0"/>
      <w:r w:rsidR="00C530F0">
        <w:t xml:space="preserve">(the </w:t>
      </w:r>
      <w:r w:rsidR="00C530F0" w:rsidRPr="005A310E">
        <w:t>Act</w:t>
      </w:r>
      <w:r w:rsidR="00C530F0">
        <w:t xml:space="preserve">), </w:t>
      </w:r>
      <w:r w:rsidR="00CF6F4E">
        <w:rPr>
          <w:lang w:eastAsia="en-AU"/>
        </w:rPr>
        <w:t>t</w:t>
      </w:r>
      <w:r>
        <w:rPr>
          <w:lang w:eastAsia="en-AU"/>
        </w:rPr>
        <w:t xml:space="preserve">hey must be enrolled in an NT Government school or a registered non-government school and attend the school each school day, or each part of a school day, on which the school is open for instruction. When they </w:t>
      </w:r>
      <w:r w:rsidR="00342C43">
        <w:rPr>
          <w:lang w:eastAsia="en-AU"/>
        </w:rPr>
        <w:t xml:space="preserve">have completed </w:t>
      </w:r>
      <w:r w:rsidR="00EF7314">
        <w:rPr>
          <w:lang w:eastAsia="en-AU"/>
        </w:rPr>
        <w:t>y</w:t>
      </w:r>
      <w:r w:rsidR="00342C43">
        <w:rPr>
          <w:lang w:eastAsia="en-AU"/>
        </w:rPr>
        <w:t xml:space="preserve">ear 10 and </w:t>
      </w:r>
      <w:r w:rsidR="00E554E4">
        <w:rPr>
          <w:lang w:eastAsia="en-AU"/>
        </w:rPr>
        <w:t>have not yet turned 17 years of age, they can choose to enter a compulsory participation phase and participate in an external eligible option.</w:t>
      </w:r>
    </w:p>
    <w:p w14:paraId="4FE597E0" w14:textId="1288D593" w:rsidR="00346102" w:rsidRDefault="00371767" w:rsidP="002873B8">
      <w:pPr>
        <w:rPr>
          <w:lang w:eastAsia="en-AU"/>
        </w:rPr>
      </w:pPr>
      <w:r>
        <w:rPr>
          <w:lang w:eastAsia="en-AU"/>
        </w:rPr>
        <w:t xml:space="preserve">The department recognises the diverse needs of children and young people and provides different options to meet individuals’ specific needs, including distance education, special schools and special centres, and home education. The department also provides education opportunities for eligible interstate, international, and mature age students. </w:t>
      </w:r>
      <w:r w:rsidR="00C530F0">
        <w:rPr>
          <w:lang w:eastAsia="en-AU"/>
        </w:rPr>
        <w:t>Where there are special circumstances and flexible education is not suitable, a formal approval for exemption from attendance must be sought from the department.</w:t>
      </w:r>
    </w:p>
    <w:p w14:paraId="0F0E6F09" w14:textId="348BF45C" w:rsidR="00C530F0" w:rsidRDefault="00C530F0" w:rsidP="002873B8">
      <w:pPr>
        <w:rPr>
          <w:lang w:eastAsia="en-AU"/>
        </w:rPr>
      </w:pPr>
      <w:r>
        <w:rPr>
          <w:lang w:eastAsia="en-AU"/>
        </w:rPr>
        <w:t>The department actively promotes and works in partnership with families, children and young people to ensure enrolment and attendance. Where reasonable</w:t>
      </w:r>
      <w:r w:rsidR="008F4F54">
        <w:rPr>
          <w:lang w:eastAsia="en-AU"/>
        </w:rPr>
        <w:t xml:space="preserve"> and</w:t>
      </w:r>
      <w:r>
        <w:rPr>
          <w:lang w:eastAsia="en-AU"/>
        </w:rPr>
        <w:t xml:space="preserve"> sustained efforts have been exhausted to satisfactorily achieve compulsory enrolment and attendance, enforcement powers provided for under the </w:t>
      </w:r>
      <w:r w:rsidRPr="005A310E">
        <w:rPr>
          <w:lang w:eastAsia="en-AU"/>
        </w:rPr>
        <w:t>Act</w:t>
      </w:r>
      <w:r>
        <w:rPr>
          <w:lang w:eastAsia="en-AU"/>
        </w:rPr>
        <w:t xml:space="preserve"> may be undertaken.</w:t>
      </w:r>
    </w:p>
    <w:p w14:paraId="445B8DDB" w14:textId="0118ECA0" w:rsidR="00A12C99" w:rsidRDefault="00C530F0" w:rsidP="002D153D">
      <w:pPr>
        <w:rPr>
          <w:lang w:eastAsia="en-AU"/>
        </w:rPr>
      </w:pPr>
      <w:r>
        <w:rPr>
          <w:lang w:eastAsia="en-AU"/>
        </w:rPr>
        <w:t xml:space="preserve">The Enrolment and </w:t>
      </w:r>
      <w:r w:rsidR="000845A2">
        <w:rPr>
          <w:lang w:eastAsia="en-AU"/>
        </w:rPr>
        <w:t>a</w:t>
      </w:r>
      <w:r>
        <w:rPr>
          <w:lang w:eastAsia="en-AU"/>
        </w:rPr>
        <w:t xml:space="preserve">ttendance </w:t>
      </w:r>
      <w:r w:rsidR="000845A2">
        <w:rPr>
          <w:lang w:eastAsia="en-AU"/>
        </w:rPr>
        <w:t>p</w:t>
      </w:r>
      <w:r>
        <w:rPr>
          <w:lang w:eastAsia="en-AU"/>
        </w:rPr>
        <w:t xml:space="preserve">olicy </w:t>
      </w:r>
      <w:r w:rsidR="000845A2">
        <w:rPr>
          <w:lang w:eastAsia="en-AU"/>
        </w:rPr>
        <w:t>s</w:t>
      </w:r>
      <w:r>
        <w:rPr>
          <w:lang w:eastAsia="en-AU"/>
        </w:rPr>
        <w:t xml:space="preserve">uite </w:t>
      </w:r>
      <w:r w:rsidR="009567E9">
        <w:rPr>
          <w:lang w:eastAsia="en-AU"/>
        </w:rPr>
        <w:t>consists of four topics:</w:t>
      </w:r>
    </w:p>
    <w:p w14:paraId="0B4932B0" w14:textId="343A5C57" w:rsidR="00A12C99" w:rsidRDefault="009567E9" w:rsidP="00A12C99">
      <w:pPr>
        <w:pStyle w:val="ListParagraph"/>
        <w:numPr>
          <w:ilvl w:val="0"/>
          <w:numId w:val="39"/>
        </w:numPr>
        <w:rPr>
          <w:lang w:eastAsia="en-AU"/>
        </w:rPr>
      </w:pPr>
      <w:r>
        <w:rPr>
          <w:lang w:eastAsia="en-AU"/>
        </w:rPr>
        <w:t>Enrolment</w:t>
      </w:r>
    </w:p>
    <w:p w14:paraId="3F5B157E" w14:textId="3DF54182" w:rsidR="00A12C99" w:rsidRDefault="009567E9" w:rsidP="00A12C99">
      <w:pPr>
        <w:pStyle w:val="ListParagraph"/>
        <w:numPr>
          <w:ilvl w:val="0"/>
          <w:numId w:val="39"/>
        </w:numPr>
        <w:rPr>
          <w:lang w:eastAsia="en-AU"/>
        </w:rPr>
      </w:pPr>
      <w:r>
        <w:rPr>
          <w:lang w:eastAsia="en-AU"/>
        </w:rPr>
        <w:t>Attendance</w:t>
      </w:r>
    </w:p>
    <w:p w14:paraId="262F477C" w14:textId="79B563D3" w:rsidR="00A12C99" w:rsidRDefault="009567E9" w:rsidP="00A12C99">
      <w:pPr>
        <w:pStyle w:val="ListParagraph"/>
        <w:numPr>
          <w:ilvl w:val="0"/>
          <w:numId w:val="39"/>
        </w:numPr>
        <w:rPr>
          <w:lang w:eastAsia="en-AU"/>
        </w:rPr>
      </w:pPr>
      <w:r>
        <w:rPr>
          <w:lang w:eastAsia="en-AU"/>
        </w:rPr>
        <w:t>Distance education enrolment</w:t>
      </w:r>
    </w:p>
    <w:p w14:paraId="08E2F503" w14:textId="3EC3A165" w:rsidR="00A12C99" w:rsidRDefault="009567E9" w:rsidP="00D22BC2">
      <w:pPr>
        <w:pStyle w:val="ListParagraph"/>
        <w:numPr>
          <w:ilvl w:val="0"/>
          <w:numId w:val="39"/>
        </w:numPr>
        <w:spacing w:after="200"/>
        <w:ind w:left="714" w:hanging="357"/>
        <w:rPr>
          <w:lang w:eastAsia="en-AU"/>
        </w:rPr>
      </w:pPr>
      <w:r>
        <w:rPr>
          <w:lang w:eastAsia="en-AU"/>
        </w:rPr>
        <w:t>Mature age student enrolment.</w:t>
      </w:r>
    </w:p>
    <w:p w14:paraId="76076755" w14:textId="6ECB77DA" w:rsidR="00E13A83" w:rsidRDefault="007949BF" w:rsidP="00A12C99">
      <w:pPr>
        <w:rPr>
          <w:lang w:eastAsia="en-AU"/>
        </w:rPr>
      </w:pPr>
      <w:r>
        <w:rPr>
          <w:lang w:eastAsia="en-AU"/>
        </w:rPr>
        <w:t>Each topic contains procedures and templates that articulate stakeholder roles and responsibilities, requirements, and processes to be undertaken to achieve enrolment and attendance.</w:t>
      </w:r>
    </w:p>
    <w:p w14:paraId="09846834" w14:textId="3A0E5F72" w:rsidR="00BF235F" w:rsidRDefault="007A66DE" w:rsidP="00133394">
      <w:pPr>
        <w:pStyle w:val="Heading1"/>
        <w:rPr>
          <w:lang w:eastAsia="en-AU"/>
        </w:rPr>
      </w:pPr>
      <w:r>
        <w:rPr>
          <w:lang w:eastAsia="en-AU"/>
        </w:rPr>
        <w:lastRenderedPageBreak/>
        <w:t>Purpose</w:t>
      </w:r>
    </w:p>
    <w:p w14:paraId="1F819BEE" w14:textId="358A969C" w:rsidR="00D32297" w:rsidRDefault="00FC19BA" w:rsidP="00D32297">
      <w:pPr>
        <w:rPr>
          <w:rFonts w:cs="Arial"/>
        </w:rPr>
      </w:pPr>
      <w:r>
        <w:rPr>
          <w:rFonts w:cs="Arial"/>
        </w:rPr>
        <w:t>The</w:t>
      </w:r>
      <w:r w:rsidRPr="00813982">
        <w:rPr>
          <w:rFonts w:cs="Arial"/>
        </w:rPr>
        <w:t xml:space="preserve"> </w:t>
      </w:r>
      <w:r w:rsidRPr="005A310E">
        <w:rPr>
          <w:rFonts w:cs="Arial"/>
        </w:rPr>
        <w:t>Act</w:t>
      </w:r>
      <w:r w:rsidRPr="00813982">
        <w:rPr>
          <w:rFonts w:cs="Arial"/>
          <w:i/>
          <w:iCs/>
        </w:rPr>
        <w:t xml:space="preserve"> </w:t>
      </w:r>
      <w:r>
        <w:rPr>
          <w:rFonts w:cs="Arial"/>
        </w:rPr>
        <w:t>stipulates specific requirements for departmental staff, parents, and children and young people to ensure compulsory enrolment and attendance.</w:t>
      </w:r>
    </w:p>
    <w:p w14:paraId="3D2C490E" w14:textId="6C26F083" w:rsidR="00D32297" w:rsidRPr="00FC19BA" w:rsidRDefault="00FC19BA" w:rsidP="00D32297">
      <w:pPr>
        <w:rPr>
          <w:rFonts w:cs="Arial"/>
        </w:rPr>
      </w:pPr>
      <w:r>
        <w:rPr>
          <w:rFonts w:cs="Arial"/>
        </w:rPr>
        <w:t xml:space="preserve">Departmental staff, including principals and school staff, also have specific responsibilities under the </w:t>
      </w:r>
      <w:bookmarkStart w:id="1" w:name="_Hlk126065652"/>
      <w:r w:rsidRPr="00813982">
        <w:rPr>
          <w:rFonts w:cs="Arial"/>
          <w:i/>
          <w:iCs/>
        </w:rPr>
        <w:t>Public Sector Employment Management Act</w:t>
      </w:r>
      <w:r w:rsidRPr="00813982">
        <w:rPr>
          <w:rFonts w:cs="Arial"/>
        </w:rPr>
        <w:t xml:space="preserve"> </w:t>
      </w:r>
      <w:r w:rsidRPr="00813982">
        <w:rPr>
          <w:rFonts w:cs="Arial"/>
          <w:i/>
          <w:iCs/>
        </w:rPr>
        <w:t>1993</w:t>
      </w:r>
      <w:r w:rsidRPr="00813982">
        <w:rPr>
          <w:rFonts w:cs="Arial"/>
        </w:rPr>
        <w:t xml:space="preserve">, the </w:t>
      </w:r>
      <w:r w:rsidRPr="00813982">
        <w:rPr>
          <w:rFonts w:cs="Arial"/>
          <w:i/>
          <w:iCs/>
        </w:rPr>
        <w:t>Financial Management Act 1995</w:t>
      </w:r>
      <w:r>
        <w:rPr>
          <w:rFonts w:cs="Arial"/>
        </w:rPr>
        <w:t xml:space="preserve">, the </w:t>
      </w:r>
      <w:r w:rsidRPr="00F17F81">
        <w:rPr>
          <w:rFonts w:cs="Arial"/>
          <w:i/>
          <w:iCs/>
        </w:rPr>
        <w:t>Information Act 2002</w:t>
      </w:r>
      <w:r>
        <w:rPr>
          <w:rFonts w:cs="Arial"/>
        </w:rPr>
        <w:t xml:space="preserve">, the </w:t>
      </w:r>
      <w:r w:rsidRPr="00F17F81">
        <w:rPr>
          <w:rFonts w:cs="Arial"/>
          <w:i/>
          <w:iCs/>
        </w:rPr>
        <w:t>Care and Protection of Children Act 2007</w:t>
      </w:r>
      <w:r>
        <w:rPr>
          <w:rFonts w:cs="Arial"/>
        </w:rPr>
        <w:t xml:space="preserve"> and the </w:t>
      </w:r>
      <w:r w:rsidRPr="00F17F81">
        <w:rPr>
          <w:rFonts w:cs="Arial"/>
          <w:i/>
          <w:iCs/>
        </w:rPr>
        <w:t>Domestic and Family Violence Act 2007</w:t>
      </w:r>
      <w:bookmarkEnd w:id="1"/>
      <w:r>
        <w:rPr>
          <w:rFonts w:cs="Arial"/>
        </w:rPr>
        <w:t>, relevant to</w:t>
      </w:r>
      <w:r w:rsidRPr="00813982">
        <w:rPr>
          <w:rFonts w:cs="Arial"/>
        </w:rPr>
        <w:t xml:space="preserve"> studen</w:t>
      </w:r>
      <w:r>
        <w:rPr>
          <w:rFonts w:cs="Arial"/>
        </w:rPr>
        <w:t>t enrolment and attendance</w:t>
      </w:r>
      <w:r w:rsidRPr="00813982">
        <w:rPr>
          <w:rFonts w:cs="Arial"/>
        </w:rPr>
        <w:t>.</w:t>
      </w:r>
    </w:p>
    <w:p w14:paraId="58E66B83" w14:textId="77777777" w:rsidR="00D32297" w:rsidRDefault="00D32297" w:rsidP="00D32297">
      <w:pPr>
        <w:pStyle w:val="Heading1"/>
        <w:rPr>
          <w:lang w:eastAsia="en-AU"/>
        </w:rPr>
      </w:pPr>
      <w:r>
        <w:rPr>
          <w:lang w:eastAsia="en-AU"/>
        </w:rPr>
        <w:t>Scope</w:t>
      </w:r>
    </w:p>
    <w:p w14:paraId="7CEA6AEA" w14:textId="77777777" w:rsidR="00154BEA" w:rsidRPr="00813982" w:rsidRDefault="00154BEA" w:rsidP="00154BEA">
      <w:pPr>
        <w:rPr>
          <w:rFonts w:cs="Arial"/>
        </w:rPr>
      </w:pPr>
      <w:r w:rsidRPr="00813982">
        <w:rPr>
          <w:rFonts w:cs="Arial"/>
        </w:rPr>
        <w:t>The policy suite applies to all:</w:t>
      </w:r>
    </w:p>
    <w:p w14:paraId="58EA4A28" w14:textId="77777777" w:rsidR="00154BEA" w:rsidRPr="00154BEA" w:rsidRDefault="00154BEA" w:rsidP="00154BEA">
      <w:pPr>
        <w:pStyle w:val="ListParagraph"/>
        <w:numPr>
          <w:ilvl w:val="0"/>
          <w:numId w:val="27"/>
        </w:numPr>
        <w:ind w:left="714" w:hanging="357"/>
      </w:pPr>
      <w:r w:rsidRPr="00154BEA">
        <w:t xml:space="preserve">school-aged children and young people who live with their parents or who live </w:t>
      </w:r>
      <w:proofErr w:type="gramStart"/>
      <w:r w:rsidRPr="00154BEA">
        <w:t>independently</w:t>
      </w:r>
      <w:proofErr w:type="gramEnd"/>
    </w:p>
    <w:p w14:paraId="2F2BBAE5" w14:textId="77777777" w:rsidR="00154BEA" w:rsidRPr="00154BEA" w:rsidRDefault="00154BEA" w:rsidP="00154BEA">
      <w:pPr>
        <w:pStyle w:val="ListParagraph"/>
        <w:numPr>
          <w:ilvl w:val="0"/>
          <w:numId w:val="27"/>
        </w:numPr>
        <w:ind w:left="714" w:hanging="357"/>
      </w:pPr>
      <w:r w:rsidRPr="00154BEA">
        <w:t>interstate and international school-aged children and young people</w:t>
      </w:r>
    </w:p>
    <w:p w14:paraId="3BADBF47" w14:textId="18F23F24" w:rsidR="00154BEA" w:rsidRDefault="00154BEA" w:rsidP="0085152D">
      <w:pPr>
        <w:pStyle w:val="ListParagraph"/>
        <w:numPr>
          <w:ilvl w:val="0"/>
          <w:numId w:val="27"/>
        </w:numPr>
        <w:spacing w:after="200"/>
        <w:ind w:left="714" w:hanging="357"/>
      </w:pPr>
      <w:r w:rsidRPr="00154BEA">
        <w:t>eligible mature</w:t>
      </w:r>
      <w:r w:rsidR="006E257F">
        <w:t xml:space="preserve"> </w:t>
      </w:r>
      <w:r w:rsidRPr="00154BEA">
        <w:t>age students</w:t>
      </w:r>
    </w:p>
    <w:p w14:paraId="4D76D772" w14:textId="77777777" w:rsidR="00ED2431" w:rsidRDefault="00685843" w:rsidP="005A310E">
      <w:r>
        <w:t>who are enrolled in, or wish to enrol in</w:t>
      </w:r>
      <w:r w:rsidR="001350F4">
        <w:t>,</w:t>
      </w:r>
      <w:r>
        <w:t xml:space="preserve"> </w:t>
      </w:r>
      <w:r w:rsidR="00C177A4" w:rsidRPr="00154BEA" w:rsidDel="00685843">
        <w:t>NT Government schools</w:t>
      </w:r>
      <w:r w:rsidR="00C177A4" w:rsidDel="00685843">
        <w:t>,</w:t>
      </w:r>
      <w:r w:rsidR="00C177A4" w:rsidRPr="00154BEA" w:rsidDel="00685843">
        <w:t xml:space="preserve"> including distance education </w:t>
      </w:r>
      <w:r w:rsidR="00C177A4" w:rsidDel="00685843">
        <w:t>centres</w:t>
      </w:r>
      <w:r w:rsidR="00C177A4" w:rsidRPr="00154BEA" w:rsidDel="00685843">
        <w:t>, eligible options</w:t>
      </w:r>
      <w:r w:rsidR="00C177A4" w:rsidDel="00685843">
        <w:t>,</w:t>
      </w:r>
      <w:r w:rsidR="00C177A4" w:rsidRPr="00154BEA" w:rsidDel="00685843">
        <w:t xml:space="preserve"> and flexible education programs</w:t>
      </w:r>
      <w:r w:rsidR="00ED2431">
        <w:t xml:space="preserve">. </w:t>
      </w:r>
    </w:p>
    <w:p w14:paraId="4728ED91" w14:textId="77777777" w:rsidR="00ED2431" w:rsidRDefault="00ED2431" w:rsidP="005A310E">
      <w:r>
        <w:t>The policy suite also applies to:</w:t>
      </w:r>
    </w:p>
    <w:p w14:paraId="667F8297" w14:textId="44C1C21B" w:rsidR="00ED2431" w:rsidRDefault="00ED2431" w:rsidP="00ED2431">
      <w:pPr>
        <w:pStyle w:val="ListParagraph"/>
        <w:numPr>
          <w:ilvl w:val="0"/>
          <w:numId w:val="27"/>
        </w:numPr>
        <w:ind w:left="714" w:hanging="357"/>
      </w:pPr>
      <w:r w:rsidRPr="00154BEA">
        <w:t>parents or those with parental responsibility of school-aged children and young people</w:t>
      </w:r>
    </w:p>
    <w:p w14:paraId="2E789B06" w14:textId="0D8AA95B" w:rsidR="00685843" w:rsidRPr="00154BEA" w:rsidRDefault="00C177A4" w:rsidP="005A310E">
      <w:pPr>
        <w:pStyle w:val="ListParagraph"/>
        <w:numPr>
          <w:ilvl w:val="0"/>
          <w:numId w:val="27"/>
        </w:numPr>
        <w:spacing w:after="200"/>
        <w:ind w:left="714" w:hanging="357"/>
      </w:pPr>
      <w:r>
        <w:t xml:space="preserve">relevant department staff. </w:t>
      </w:r>
    </w:p>
    <w:p w14:paraId="6888E8CE" w14:textId="77777777" w:rsidR="007A66DE" w:rsidRPr="0099232B" w:rsidRDefault="007A66DE" w:rsidP="005A310E">
      <w:pPr>
        <w:pStyle w:val="Heading1"/>
        <w:keepNext w:val="0"/>
        <w:keepLines w:val="0"/>
        <w:rPr>
          <w:lang w:val="en-US"/>
        </w:rPr>
      </w:pPr>
      <w:bookmarkStart w:id="2" w:name="_Toc50618654"/>
      <w:r>
        <w:rPr>
          <w:lang w:val="en-US"/>
        </w:rPr>
        <w:t>Age of entry requirements</w:t>
      </w:r>
      <w:bookmarkEnd w:id="2"/>
    </w:p>
    <w:p w14:paraId="3C1239FA" w14:textId="56DC76AC" w:rsidR="007A66DE" w:rsidRDefault="007A66DE" w:rsidP="007A66DE">
      <w:pPr>
        <w:rPr>
          <w:lang w:eastAsia="en-AU"/>
        </w:rPr>
      </w:pPr>
      <w:r>
        <w:rPr>
          <w:lang w:eastAsia="en-AU"/>
        </w:rPr>
        <w:t xml:space="preserve">The department delivers education to children from birth to </w:t>
      </w:r>
      <w:r w:rsidR="007F38B5">
        <w:rPr>
          <w:lang w:eastAsia="en-AU"/>
        </w:rPr>
        <w:t>y</w:t>
      </w:r>
      <w:r>
        <w:rPr>
          <w:lang w:eastAsia="en-AU"/>
        </w:rPr>
        <w:t xml:space="preserve">ear 12 with specific age of entry requirements applied to ensure that children are engaged in </w:t>
      </w:r>
      <w:r w:rsidR="00D93972">
        <w:rPr>
          <w:lang w:eastAsia="en-AU"/>
        </w:rPr>
        <w:t>age-appropriate</w:t>
      </w:r>
      <w:r>
        <w:rPr>
          <w:lang w:eastAsia="en-AU"/>
        </w:rPr>
        <w:t xml:space="preserve"> teaching and learning programs.</w:t>
      </w:r>
      <w:r w:rsidR="00726981">
        <w:rPr>
          <w:lang w:eastAsia="en-AU"/>
        </w:rPr>
        <w:t xml:space="preserve"> The table below</w:t>
      </w:r>
      <w:r w:rsidRPr="0076237B">
        <w:rPr>
          <w:lang w:eastAsia="en-AU"/>
        </w:rPr>
        <w:t xml:space="preserve"> provides an outline of the phases of schooling and minimum age requirements for entry into programs and year levels.</w:t>
      </w:r>
    </w:p>
    <w:tbl>
      <w:tblPr>
        <w:tblStyle w:val="NTGtable1"/>
        <w:tblW w:w="0" w:type="auto"/>
        <w:tblLook w:val="04A0" w:firstRow="1" w:lastRow="0" w:firstColumn="1" w:lastColumn="0" w:noHBand="0" w:noVBand="1"/>
        <w:tblCaption w:val="Guide to age of entry and year level requirements "/>
        <w:tblDescription w:val="Pre-compulsory school age FAFT 0-3&#10; Preschool 4&#10; Transition 5&#10;Compulsory school age Year 1 6&#10; Year 2 7&#10; Year 3 8&#10; Year 4 9&#10; Year 5 10&#10; Year 6 11&#10; Year 7 12&#10; Year 8 13&#10; Year 9 14&#10; Year 10 15&#10;Compulsory participation phase&#10;&#10; &#10;16&#10;  17&#10;"/>
      </w:tblPr>
      <w:tblGrid>
        <w:gridCol w:w="3436"/>
        <w:gridCol w:w="3436"/>
        <w:gridCol w:w="3436"/>
      </w:tblGrid>
      <w:tr w:rsidR="00726981" w14:paraId="1E7CFEEF" w14:textId="77777777" w:rsidTr="00517F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5C8E9348" w14:textId="77777777" w:rsidR="00726981" w:rsidRDefault="00726981" w:rsidP="00517FEF">
            <w:pPr>
              <w:jc w:val="center"/>
              <w:rPr>
                <w:lang w:val="en-US"/>
              </w:rPr>
            </w:pPr>
            <w:r>
              <w:rPr>
                <w:lang w:val="en-US"/>
              </w:rPr>
              <w:t>Phase of schooling</w:t>
            </w:r>
          </w:p>
        </w:tc>
        <w:tc>
          <w:tcPr>
            <w:tcW w:w="3436" w:type="dxa"/>
          </w:tcPr>
          <w:p w14:paraId="64B52A2A" w14:textId="77777777" w:rsidR="00726981" w:rsidRDefault="00726981" w:rsidP="00517FEF">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Year level/program</w:t>
            </w:r>
          </w:p>
        </w:tc>
        <w:tc>
          <w:tcPr>
            <w:tcW w:w="3436" w:type="dxa"/>
          </w:tcPr>
          <w:p w14:paraId="151F7483" w14:textId="77777777" w:rsidR="00726981" w:rsidRDefault="00726981" w:rsidP="00517FEF">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Minimum age*</w:t>
            </w:r>
          </w:p>
          <w:p w14:paraId="72C5849A" w14:textId="77777777" w:rsidR="00726981" w:rsidRDefault="00726981" w:rsidP="00517FEF">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By 30 June of the year of enrolment</w:t>
            </w:r>
          </w:p>
        </w:tc>
      </w:tr>
      <w:tr w:rsidR="00726981" w14:paraId="4B27C569" w14:textId="77777777" w:rsidTr="00517FEF">
        <w:tc>
          <w:tcPr>
            <w:cnfStyle w:val="001000000000" w:firstRow="0" w:lastRow="0" w:firstColumn="1" w:lastColumn="0" w:oddVBand="0" w:evenVBand="0" w:oddHBand="0" w:evenHBand="0" w:firstRowFirstColumn="0" w:firstRowLastColumn="0" w:lastRowFirstColumn="0" w:lastRowLastColumn="0"/>
            <w:tcW w:w="3436" w:type="dxa"/>
            <w:vMerge w:val="restart"/>
            <w:shd w:val="clear" w:color="auto" w:fill="FFFFFF" w:themeFill="background1"/>
          </w:tcPr>
          <w:p w14:paraId="3C4CDB62" w14:textId="77777777" w:rsidR="00726981" w:rsidRDefault="00726981" w:rsidP="00517FEF">
            <w:pPr>
              <w:rPr>
                <w:lang w:val="en-US"/>
              </w:rPr>
            </w:pPr>
            <w:r w:rsidRPr="00206B40">
              <w:t>Early childhood</w:t>
            </w:r>
          </w:p>
        </w:tc>
        <w:tc>
          <w:tcPr>
            <w:tcW w:w="3436" w:type="dxa"/>
          </w:tcPr>
          <w:p w14:paraId="6B892028" w14:textId="77777777" w:rsidR="00726981" w:rsidRPr="00206B40" w:rsidRDefault="00726981" w:rsidP="00517FEF">
            <w:pPr>
              <w:jc w:val="center"/>
              <w:cnfStyle w:val="000000000000" w:firstRow="0" w:lastRow="0" w:firstColumn="0" w:lastColumn="0" w:oddVBand="0" w:evenVBand="0" w:oddHBand="0" w:evenHBand="0" w:firstRowFirstColumn="0" w:firstRowLastColumn="0" w:lastRowFirstColumn="0" w:lastRowLastColumn="0"/>
            </w:pPr>
            <w:r w:rsidRPr="00206B40">
              <w:t>FAFT</w:t>
            </w:r>
          </w:p>
        </w:tc>
        <w:tc>
          <w:tcPr>
            <w:tcW w:w="3436" w:type="dxa"/>
          </w:tcPr>
          <w:p w14:paraId="06A38B68" w14:textId="77777777" w:rsidR="00726981" w:rsidRPr="00206B40" w:rsidRDefault="00726981" w:rsidP="00517FEF">
            <w:pPr>
              <w:jc w:val="center"/>
              <w:cnfStyle w:val="000000000000" w:firstRow="0" w:lastRow="0" w:firstColumn="0" w:lastColumn="0" w:oddVBand="0" w:evenVBand="0" w:oddHBand="0" w:evenHBand="0" w:firstRowFirstColumn="0" w:firstRowLastColumn="0" w:lastRowFirstColumn="0" w:lastRowLastColumn="0"/>
            </w:pPr>
            <w:r w:rsidRPr="00206B40">
              <w:t>0-4</w:t>
            </w:r>
          </w:p>
        </w:tc>
      </w:tr>
      <w:tr w:rsidR="00726981" w14:paraId="5AC1628F" w14:textId="77777777" w:rsidTr="00517F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vMerge/>
            <w:shd w:val="clear" w:color="auto" w:fill="FFFFFF" w:themeFill="background1"/>
          </w:tcPr>
          <w:p w14:paraId="4FCD2290" w14:textId="77777777" w:rsidR="00726981" w:rsidRPr="00043FE2" w:rsidRDefault="00726981" w:rsidP="00517FEF">
            <w:pPr>
              <w:rPr>
                <w:highlight w:val="yellow"/>
              </w:rPr>
            </w:pPr>
          </w:p>
        </w:tc>
        <w:tc>
          <w:tcPr>
            <w:tcW w:w="3436" w:type="dxa"/>
          </w:tcPr>
          <w:p w14:paraId="0BB3CADA" w14:textId="77777777" w:rsidR="00726981" w:rsidRPr="00206B40" w:rsidRDefault="00726981" w:rsidP="00517FEF">
            <w:pPr>
              <w:jc w:val="center"/>
              <w:cnfStyle w:val="000000010000" w:firstRow="0" w:lastRow="0" w:firstColumn="0" w:lastColumn="0" w:oddVBand="0" w:evenVBand="0" w:oddHBand="0" w:evenHBand="1" w:firstRowFirstColumn="0" w:firstRowLastColumn="0" w:lastRowFirstColumn="0" w:lastRowLastColumn="0"/>
            </w:pPr>
            <w:r w:rsidRPr="00206B40">
              <w:t>Very remote preschool</w:t>
            </w:r>
          </w:p>
        </w:tc>
        <w:tc>
          <w:tcPr>
            <w:tcW w:w="3436" w:type="dxa"/>
          </w:tcPr>
          <w:p w14:paraId="0B79CD30" w14:textId="77777777" w:rsidR="00726981" w:rsidRPr="00206B40" w:rsidRDefault="00726981" w:rsidP="00517FEF">
            <w:pPr>
              <w:jc w:val="center"/>
              <w:cnfStyle w:val="000000010000" w:firstRow="0" w:lastRow="0" w:firstColumn="0" w:lastColumn="0" w:oddVBand="0" w:evenVBand="0" w:oddHBand="0" w:evenHBand="1" w:firstRowFirstColumn="0" w:firstRowLastColumn="0" w:lastRowFirstColumn="0" w:lastRowLastColumn="0"/>
            </w:pPr>
            <w:r w:rsidRPr="00206B40">
              <w:t>3</w:t>
            </w:r>
          </w:p>
        </w:tc>
      </w:tr>
      <w:tr w:rsidR="00726981" w14:paraId="422F499D" w14:textId="77777777" w:rsidTr="00517FEF">
        <w:tc>
          <w:tcPr>
            <w:cnfStyle w:val="001000000000" w:firstRow="0" w:lastRow="0" w:firstColumn="1" w:lastColumn="0" w:oddVBand="0" w:evenVBand="0" w:oddHBand="0" w:evenHBand="0" w:firstRowFirstColumn="0" w:firstRowLastColumn="0" w:lastRowFirstColumn="0" w:lastRowLastColumn="0"/>
            <w:tcW w:w="3436" w:type="dxa"/>
            <w:vMerge/>
            <w:shd w:val="clear" w:color="auto" w:fill="FFFFFF" w:themeFill="background1"/>
          </w:tcPr>
          <w:p w14:paraId="47EEE3A9" w14:textId="77777777" w:rsidR="00726981" w:rsidRDefault="00726981" w:rsidP="00517FEF">
            <w:pPr>
              <w:rPr>
                <w:lang w:val="en-US"/>
              </w:rPr>
            </w:pPr>
          </w:p>
        </w:tc>
        <w:tc>
          <w:tcPr>
            <w:tcW w:w="3436" w:type="dxa"/>
          </w:tcPr>
          <w:p w14:paraId="32A0B0D3" w14:textId="458374FD" w:rsidR="00726981" w:rsidRPr="00206B40" w:rsidRDefault="00726981" w:rsidP="00517FEF">
            <w:pPr>
              <w:jc w:val="center"/>
              <w:cnfStyle w:val="000000000000" w:firstRow="0" w:lastRow="0" w:firstColumn="0" w:lastColumn="0" w:oddVBand="0" w:evenVBand="0" w:oddHBand="0" w:evenHBand="0" w:firstRowFirstColumn="0" w:firstRowLastColumn="0" w:lastRowFirstColumn="0" w:lastRowLastColumn="0"/>
            </w:pPr>
            <w:r w:rsidRPr="00206B40">
              <w:t>Preschool</w:t>
            </w:r>
          </w:p>
        </w:tc>
        <w:tc>
          <w:tcPr>
            <w:tcW w:w="3436" w:type="dxa"/>
          </w:tcPr>
          <w:p w14:paraId="59AC4DBE" w14:textId="77777777" w:rsidR="00726981" w:rsidRPr="00206B40" w:rsidRDefault="00726981" w:rsidP="00517FEF">
            <w:pPr>
              <w:jc w:val="center"/>
              <w:cnfStyle w:val="000000000000" w:firstRow="0" w:lastRow="0" w:firstColumn="0" w:lastColumn="0" w:oddVBand="0" w:evenVBand="0" w:oddHBand="0" w:evenHBand="0" w:firstRowFirstColumn="0" w:firstRowLastColumn="0" w:lastRowFirstColumn="0" w:lastRowLastColumn="0"/>
            </w:pPr>
            <w:r w:rsidRPr="00206B40">
              <w:t>4</w:t>
            </w:r>
          </w:p>
        </w:tc>
      </w:tr>
      <w:tr w:rsidR="00726981" w14:paraId="0BBDEC0F" w14:textId="77777777" w:rsidTr="00517F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vMerge/>
            <w:tcBorders>
              <w:bottom w:val="single" w:sz="4" w:space="0" w:color="auto"/>
            </w:tcBorders>
            <w:shd w:val="clear" w:color="auto" w:fill="FFFFFF" w:themeFill="background1"/>
          </w:tcPr>
          <w:p w14:paraId="2B27F2D7" w14:textId="77777777" w:rsidR="00726981" w:rsidRDefault="00726981" w:rsidP="00517FEF">
            <w:pPr>
              <w:rPr>
                <w:lang w:val="en-US"/>
              </w:rPr>
            </w:pPr>
          </w:p>
        </w:tc>
        <w:tc>
          <w:tcPr>
            <w:tcW w:w="3436" w:type="dxa"/>
            <w:tcBorders>
              <w:bottom w:val="single" w:sz="4" w:space="0" w:color="auto"/>
            </w:tcBorders>
          </w:tcPr>
          <w:p w14:paraId="369BDDAD" w14:textId="77777777" w:rsidR="00726981" w:rsidRPr="00206B40" w:rsidRDefault="00726981" w:rsidP="00517FEF">
            <w:pPr>
              <w:jc w:val="center"/>
              <w:cnfStyle w:val="000000010000" w:firstRow="0" w:lastRow="0" w:firstColumn="0" w:lastColumn="0" w:oddVBand="0" w:evenVBand="0" w:oddHBand="0" w:evenHBand="1" w:firstRowFirstColumn="0" w:firstRowLastColumn="0" w:lastRowFirstColumn="0" w:lastRowLastColumn="0"/>
            </w:pPr>
            <w:r w:rsidRPr="00206B40">
              <w:t>Transition</w:t>
            </w:r>
          </w:p>
        </w:tc>
        <w:tc>
          <w:tcPr>
            <w:tcW w:w="3436" w:type="dxa"/>
            <w:tcBorders>
              <w:bottom w:val="single" w:sz="4" w:space="0" w:color="auto"/>
            </w:tcBorders>
          </w:tcPr>
          <w:p w14:paraId="1493F8D6" w14:textId="77777777" w:rsidR="00726981" w:rsidRPr="00206B40" w:rsidRDefault="00726981" w:rsidP="00517FEF">
            <w:pPr>
              <w:jc w:val="center"/>
              <w:cnfStyle w:val="000000010000" w:firstRow="0" w:lastRow="0" w:firstColumn="0" w:lastColumn="0" w:oddVBand="0" w:evenVBand="0" w:oddHBand="0" w:evenHBand="1" w:firstRowFirstColumn="0" w:firstRowLastColumn="0" w:lastRowFirstColumn="0" w:lastRowLastColumn="0"/>
            </w:pPr>
            <w:r w:rsidRPr="00206B40">
              <w:t>5</w:t>
            </w:r>
          </w:p>
        </w:tc>
      </w:tr>
      <w:tr w:rsidR="00726981" w14:paraId="3DBE047A" w14:textId="77777777" w:rsidTr="00517FEF">
        <w:tc>
          <w:tcPr>
            <w:cnfStyle w:val="001000000000" w:firstRow="0" w:lastRow="0" w:firstColumn="1" w:lastColumn="0" w:oddVBand="0" w:evenVBand="0" w:oddHBand="0" w:evenHBand="0" w:firstRowFirstColumn="0" w:firstRowLastColumn="0" w:lastRowFirstColumn="0" w:lastRowLastColumn="0"/>
            <w:tcW w:w="3436" w:type="dxa"/>
            <w:tcBorders>
              <w:top w:val="single" w:sz="4" w:space="0" w:color="auto"/>
              <w:bottom w:val="nil"/>
            </w:tcBorders>
            <w:shd w:val="clear" w:color="auto" w:fill="FFFFFF" w:themeFill="background1"/>
          </w:tcPr>
          <w:p w14:paraId="1015A56A" w14:textId="77777777" w:rsidR="00726981" w:rsidRDefault="00726981" w:rsidP="00517FEF">
            <w:pPr>
              <w:rPr>
                <w:lang w:val="en-US"/>
              </w:rPr>
            </w:pPr>
          </w:p>
        </w:tc>
        <w:tc>
          <w:tcPr>
            <w:tcW w:w="3436" w:type="dxa"/>
            <w:tcBorders>
              <w:top w:val="single" w:sz="4" w:space="0" w:color="auto"/>
              <w:bottom w:val="nil"/>
            </w:tcBorders>
          </w:tcPr>
          <w:p w14:paraId="29777C32" w14:textId="77777777" w:rsidR="00726981" w:rsidRPr="00FD172C" w:rsidRDefault="00726981" w:rsidP="00517FEF">
            <w:pPr>
              <w:jc w:val="center"/>
              <w:cnfStyle w:val="000000000000" w:firstRow="0" w:lastRow="0" w:firstColumn="0" w:lastColumn="0" w:oddVBand="0" w:evenVBand="0" w:oddHBand="0" w:evenHBand="0" w:firstRowFirstColumn="0" w:firstRowLastColumn="0" w:lastRowFirstColumn="0" w:lastRowLastColumn="0"/>
            </w:pPr>
            <w:r w:rsidRPr="00FD172C">
              <w:t>Year 1</w:t>
            </w:r>
          </w:p>
        </w:tc>
        <w:tc>
          <w:tcPr>
            <w:tcW w:w="3436" w:type="dxa"/>
            <w:tcBorders>
              <w:top w:val="single" w:sz="4" w:space="0" w:color="auto"/>
              <w:bottom w:val="nil"/>
            </w:tcBorders>
          </w:tcPr>
          <w:p w14:paraId="67E455D7" w14:textId="77777777" w:rsidR="00726981" w:rsidRPr="00FD172C" w:rsidRDefault="00726981" w:rsidP="00517FEF">
            <w:pPr>
              <w:jc w:val="center"/>
              <w:cnfStyle w:val="000000000000" w:firstRow="0" w:lastRow="0" w:firstColumn="0" w:lastColumn="0" w:oddVBand="0" w:evenVBand="0" w:oddHBand="0" w:evenHBand="0" w:firstRowFirstColumn="0" w:firstRowLastColumn="0" w:lastRowFirstColumn="0" w:lastRowLastColumn="0"/>
            </w:pPr>
            <w:r w:rsidRPr="00FD172C">
              <w:t>6</w:t>
            </w:r>
          </w:p>
        </w:tc>
      </w:tr>
      <w:tr w:rsidR="00726981" w14:paraId="0B6BE09E" w14:textId="77777777" w:rsidTr="00517F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Borders>
              <w:top w:val="nil"/>
              <w:bottom w:val="nil"/>
            </w:tcBorders>
            <w:shd w:val="clear" w:color="auto" w:fill="FFFFFF" w:themeFill="background1"/>
          </w:tcPr>
          <w:p w14:paraId="3DBEA153" w14:textId="77777777" w:rsidR="00726981" w:rsidRDefault="00726981" w:rsidP="00517FEF">
            <w:pPr>
              <w:rPr>
                <w:lang w:val="en-US"/>
              </w:rPr>
            </w:pPr>
          </w:p>
        </w:tc>
        <w:tc>
          <w:tcPr>
            <w:tcW w:w="3436" w:type="dxa"/>
            <w:tcBorders>
              <w:top w:val="nil"/>
              <w:bottom w:val="nil"/>
            </w:tcBorders>
          </w:tcPr>
          <w:p w14:paraId="553FC14C" w14:textId="77777777" w:rsidR="00726981" w:rsidRPr="00FD172C" w:rsidRDefault="00726981" w:rsidP="00517FEF">
            <w:pPr>
              <w:jc w:val="center"/>
              <w:cnfStyle w:val="000000010000" w:firstRow="0" w:lastRow="0" w:firstColumn="0" w:lastColumn="0" w:oddVBand="0" w:evenVBand="0" w:oddHBand="0" w:evenHBand="1" w:firstRowFirstColumn="0" w:firstRowLastColumn="0" w:lastRowFirstColumn="0" w:lastRowLastColumn="0"/>
            </w:pPr>
            <w:r w:rsidRPr="00FD172C">
              <w:t>Year 2</w:t>
            </w:r>
          </w:p>
        </w:tc>
        <w:tc>
          <w:tcPr>
            <w:tcW w:w="3436" w:type="dxa"/>
            <w:tcBorders>
              <w:top w:val="nil"/>
              <w:bottom w:val="nil"/>
            </w:tcBorders>
          </w:tcPr>
          <w:p w14:paraId="09E759C7" w14:textId="77777777" w:rsidR="00726981" w:rsidRPr="00FD172C" w:rsidRDefault="00726981" w:rsidP="00517FEF">
            <w:pPr>
              <w:jc w:val="center"/>
              <w:cnfStyle w:val="000000010000" w:firstRow="0" w:lastRow="0" w:firstColumn="0" w:lastColumn="0" w:oddVBand="0" w:evenVBand="0" w:oddHBand="0" w:evenHBand="1" w:firstRowFirstColumn="0" w:firstRowLastColumn="0" w:lastRowFirstColumn="0" w:lastRowLastColumn="0"/>
            </w:pPr>
            <w:r w:rsidRPr="00FD172C">
              <w:t>7</w:t>
            </w:r>
          </w:p>
        </w:tc>
      </w:tr>
      <w:tr w:rsidR="00726981" w14:paraId="1088CB51" w14:textId="77777777" w:rsidTr="00517FEF">
        <w:tc>
          <w:tcPr>
            <w:cnfStyle w:val="001000000000" w:firstRow="0" w:lastRow="0" w:firstColumn="1" w:lastColumn="0" w:oddVBand="0" w:evenVBand="0" w:oddHBand="0" w:evenHBand="0" w:firstRowFirstColumn="0" w:firstRowLastColumn="0" w:lastRowFirstColumn="0" w:lastRowLastColumn="0"/>
            <w:tcW w:w="3436" w:type="dxa"/>
            <w:tcBorders>
              <w:top w:val="nil"/>
              <w:bottom w:val="nil"/>
            </w:tcBorders>
            <w:shd w:val="clear" w:color="auto" w:fill="FFFFFF" w:themeFill="background1"/>
          </w:tcPr>
          <w:p w14:paraId="4494BF27" w14:textId="77777777" w:rsidR="00726981" w:rsidRDefault="00726981" w:rsidP="00517FEF">
            <w:pPr>
              <w:rPr>
                <w:lang w:val="en-US"/>
              </w:rPr>
            </w:pPr>
          </w:p>
        </w:tc>
        <w:tc>
          <w:tcPr>
            <w:tcW w:w="3436" w:type="dxa"/>
            <w:tcBorders>
              <w:top w:val="nil"/>
              <w:bottom w:val="nil"/>
            </w:tcBorders>
          </w:tcPr>
          <w:p w14:paraId="19760606" w14:textId="77777777" w:rsidR="00726981" w:rsidRPr="00FD172C" w:rsidRDefault="00726981" w:rsidP="00517FEF">
            <w:pPr>
              <w:jc w:val="center"/>
              <w:cnfStyle w:val="000000000000" w:firstRow="0" w:lastRow="0" w:firstColumn="0" w:lastColumn="0" w:oddVBand="0" w:evenVBand="0" w:oddHBand="0" w:evenHBand="0" w:firstRowFirstColumn="0" w:firstRowLastColumn="0" w:lastRowFirstColumn="0" w:lastRowLastColumn="0"/>
            </w:pPr>
            <w:r w:rsidRPr="00FD172C">
              <w:t>Year 3</w:t>
            </w:r>
          </w:p>
        </w:tc>
        <w:tc>
          <w:tcPr>
            <w:tcW w:w="3436" w:type="dxa"/>
            <w:tcBorders>
              <w:top w:val="nil"/>
              <w:bottom w:val="nil"/>
            </w:tcBorders>
          </w:tcPr>
          <w:p w14:paraId="5FD1D943" w14:textId="77777777" w:rsidR="00726981" w:rsidRPr="00FD172C" w:rsidRDefault="00726981" w:rsidP="00517FEF">
            <w:pPr>
              <w:jc w:val="center"/>
              <w:cnfStyle w:val="000000000000" w:firstRow="0" w:lastRow="0" w:firstColumn="0" w:lastColumn="0" w:oddVBand="0" w:evenVBand="0" w:oddHBand="0" w:evenHBand="0" w:firstRowFirstColumn="0" w:firstRowLastColumn="0" w:lastRowFirstColumn="0" w:lastRowLastColumn="0"/>
            </w:pPr>
            <w:r w:rsidRPr="00FD172C">
              <w:t>8</w:t>
            </w:r>
          </w:p>
        </w:tc>
      </w:tr>
      <w:tr w:rsidR="00726981" w14:paraId="7343766B" w14:textId="77777777" w:rsidTr="00517F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Borders>
              <w:top w:val="nil"/>
              <w:bottom w:val="nil"/>
            </w:tcBorders>
            <w:shd w:val="clear" w:color="auto" w:fill="FFFFFF" w:themeFill="background1"/>
          </w:tcPr>
          <w:p w14:paraId="6AEC8C15" w14:textId="77777777" w:rsidR="00726981" w:rsidRDefault="00726981" w:rsidP="00517FEF">
            <w:pPr>
              <w:rPr>
                <w:lang w:val="en-US"/>
              </w:rPr>
            </w:pPr>
          </w:p>
        </w:tc>
        <w:tc>
          <w:tcPr>
            <w:tcW w:w="3436" w:type="dxa"/>
            <w:tcBorders>
              <w:top w:val="nil"/>
              <w:bottom w:val="nil"/>
            </w:tcBorders>
          </w:tcPr>
          <w:p w14:paraId="0FC70189" w14:textId="77777777" w:rsidR="00726981" w:rsidRPr="00FD172C" w:rsidRDefault="00726981" w:rsidP="00517FEF">
            <w:pPr>
              <w:jc w:val="center"/>
              <w:cnfStyle w:val="000000010000" w:firstRow="0" w:lastRow="0" w:firstColumn="0" w:lastColumn="0" w:oddVBand="0" w:evenVBand="0" w:oddHBand="0" w:evenHBand="1" w:firstRowFirstColumn="0" w:firstRowLastColumn="0" w:lastRowFirstColumn="0" w:lastRowLastColumn="0"/>
            </w:pPr>
            <w:r w:rsidRPr="00FD172C">
              <w:t>Year 4</w:t>
            </w:r>
          </w:p>
        </w:tc>
        <w:tc>
          <w:tcPr>
            <w:tcW w:w="3436" w:type="dxa"/>
            <w:tcBorders>
              <w:top w:val="nil"/>
              <w:bottom w:val="nil"/>
            </w:tcBorders>
          </w:tcPr>
          <w:p w14:paraId="60929AA4" w14:textId="77777777" w:rsidR="00726981" w:rsidRPr="00FD172C" w:rsidRDefault="00726981" w:rsidP="00517FEF">
            <w:pPr>
              <w:jc w:val="center"/>
              <w:cnfStyle w:val="000000010000" w:firstRow="0" w:lastRow="0" w:firstColumn="0" w:lastColumn="0" w:oddVBand="0" w:evenVBand="0" w:oddHBand="0" w:evenHBand="1" w:firstRowFirstColumn="0" w:firstRowLastColumn="0" w:lastRowFirstColumn="0" w:lastRowLastColumn="0"/>
            </w:pPr>
            <w:r w:rsidRPr="00FD172C">
              <w:t>9</w:t>
            </w:r>
          </w:p>
        </w:tc>
      </w:tr>
      <w:tr w:rsidR="00726981" w14:paraId="61C4D218" w14:textId="77777777" w:rsidTr="00517FEF">
        <w:tc>
          <w:tcPr>
            <w:cnfStyle w:val="001000000000" w:firstRow="0" w:lastRow="0" w:firstColumn="1" w:lastColumn="0" w:oddVBand="0" w:evenVBand="0" w:oddHBand="0" w:evenHBand="0" w:firstRowFirstColumn="0" w:firstRowLastColumn="0" w:lastRowFirstColumn="0" w:lastRowLastColumn="0"/>
            <w:tcW w:w="3436" w:type="dxa"/>
            <w:tcBorders>
              <w:top w:val="nil"/>
            </w:tcBorders>
            <w:shd w:val="clear" w:color="auto" w:fill="FFFFFF" w:themeFill="background1"/>
          </w:tcPr>
          <w:p w14:paraId="7E22D5D6" w14:textId="77777777" w:rsidR="00726981" w:rsidRDefault="00726981" w:rsidP="00517FEF">
            <w:pPr>
              <w:rPr>
                <w:lang w:val="en-US"/>
              </w:rPr>
            </w:pPr>
            <w:r w:rsidRPr="00FD172C">
              <w:t>Compulsory school age</w:t>
            </w:r>
          </w:p>
        </w:tc>
        <w:tc>
          <w:tcPr>
            <w:tcW w:w="3436" w:type="dxa"/>
            <w:tcBorders>
              <w:top w:val="nil"/>
            </w:tcBorders>
          </w:tcPr>
          <w:p w14:paraId="19727366" w14:textId="77777777" w:rsidR="00726981" w:rsidRPr="00FD172C" w:rsidRDefault="00726981" w:rsidP="00517FEF">
            <w:pPr>
              <w:jc w:val="center"/>
              <w:cnfStyle w:val="000000000000" w:firstRow="0" w:lastRow="0" w:firstColumn="0" w:lastColumn="0" w:oddVBand="0" w:evenVBand="0" w:oddHBand="0" w:evenHBand="0" w:firstRowFirstColumn="0" w:firstRowLastColumn="0" w:lastRowFirstColumn="0" w:lastRowLastColumn="0"/>
            </w:pPr>
            <w:r w:rsidRPr="00FD172C">
              <w:t>Year 5</w:t>
            </w:r>
          </w:p>
        </w:tc>
        <w:tc>
          <w:tcPr>
            <w:tcW w:w="3436" w:type="dxa"/>
            <w:tcBorders>
              <w:top w:val="nil"/>
            </w:tcBorders>
          </w:tcPr>
          <w:p w14:paraId="56C1BEE2" w14:textId="77777777" w:rsidR="00726981" w:rsidRPr="00FD172C" w:rsidRDefault="00726981" w:rsidP="00517FEF">
            <w:pPr>
              <w:jc w:val="center"/>
              <w:cnfStyle w:val="000000000000" w:firstRow="0" w:lastRow="0" w:firstColumn="0" w:lastColumn="0" w:oddVBand="0" w:evenVBand="0" w:oddHBand="0" w:evenHBand="0" w:firstRowFirstColumn="0" w:firstRowLastColumn="0" w:lastRowFirstColumn="0" w:lastRowLastColumn="0"/>
            </w:pPr>
            <w:r w:rsidRPr="00FD172C">
              <w:t>10</w:t>
            </w:r>
          </w:p>
        </w:tc>
      </w:tr>
      <w:tr w:rsidR="00726981" w14:paraId="6001A5B6" w14:textId="77777777" w:rsidTr="00517F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shd w:val="clear" w:color="auto" w:fill="FFFFFF" w:themeFill="background1"/>
          </w:tcPr>
          <w:p w14:paraId="56BCD56F" w14:textId="77777777" w:rsidR="00726981" w:rsidRDefault="00726981" w:rsidP="00517FEF">
            <w:pPr>
              <w:rPr>
                <w:lang w:val="en-US"/>
              </w:rPr>
            </w:pPr>
          </w:p>
        </w:tc>
        <w:tc>
          <w:tcPr>
            <w:tcW w:w="3436" w:type="dxa"/>
          </w:tcPr>
          <w:p w14:paraId="2554E0B0" w14:textId="77777777" w:rsidR="00726981" w:rsidRPr="00FD172C" w:rsidRDefault="00726981" w:rsidP="00517FEF">
            <w:pPr>
              <w:jc w:val="center"/>
              <w:cnfStyle w:val="000000010000" w:firstRow="0" w:lastRow="0" w:firstColumn="0" w:lastColumn="0" w:oddVBand="0" w:evenVBand="0" w:oddHBand="0" w:evenHBand="1" w:firstRowFirstColumn="0" w:firstRowLastColumn="0" w:lastRowFirstColumn="0" w:lastRowLastColumn="0"/>
            </w:pPr>
            <w:r w:rsidRPr="00FD172C">
              <w:t>Year 6</w:t>
            </w:r>
          </w:p>
        </w:tc>
        <w:tc>
          <w:tcPr>
            <w:tcW w:w="3436" w:type="dxa"/>
          </w:tcPr>
          <w:p w14:paraId="443C7FDA" w14:textId="77777777" w:rsidR="00726981" w:rsidRPr="00FD172C" w:rsidRDefault="00726981" w:rsidP="00517FEF">
            <w:pPr>
              <w:jc w:val="center"/>
              <w:cnfStyle w:val="000000010000" w:firstRow="0" w:lastRow="0" w:firstColumn="0" w:lastColumn="0" w:oddVBand="0" w:evenVBand="0" w:oddHBand="0" w:evenHBand="1" w:firstRowFirstColumn="0" w:firstRowLastColumn="0" w:lastRowFirstColumn="0" w:lastRowLastColumn="0"/>
            </w:pPr>
            <w:r w:rsidRPr="00FD172C">
              <w:t>11</w:t>
            </w:r>
          </w:p>
        </w:tc>
      </w:tr>
      <w:tr w:rsidR="00726981" w14:paraId="3C70089B" w14:textId="77777777" w:rsidTr="00517FEF">
        <w:tc>
          <w:tcPr>
            <w:cnfStyle w:val="001000000000" w:firstRow="0" w:lastRow="0" w:firstColumn="1" w:lastColumn="0" w:oddVBand="0" w:evenVBand="0" w:oddHBand="0" w:evenHBand="0" w:firstRowFirstColumn="0" w:firstRowLastColumn="0" w:lastRowFirstColumn="0" w:lastRowLastColumn="0"/>
            <w:tcW w:w="3436" w:type="dxa"/>
            <w:shd w:val="clear" w:color="auto" w:fill="FFFFFF" w:themeFill="background1"/>
          </w:tcPr>
          <w:p w14:paraId="3A3F16F3" w14:textId="77777777" w:rsidR="00726981" w:rsidRDefault="00726981" w:rsidP="00517FEF">
            <w:pPr>
              <w:rPr>
                <w:lang w:val="en-US"/>
              </w:rPr>
            </w:pPr>
          </w:p>
        </w:tc>
        <w:tc>
          <w:tcPr>
            <w:tcW w:w="3436" w:type="dxa"/>
          </w:tcPr>
          <w:p w14:paraId="21604E55" w14:textId="77777777" w:rsidR="00726981" w:rsidRPr="00FD172C" w:rsidRDefault="00726981" w:rsidP="00517FEF">
            <w:pPr>
              <w:jc w:val="center"/>
              <w:cnfStyle w:val="000000000000" w:firstRow="0" w:lastRow="0" w:firstColumn="0" w:lastColumn="0" w:oddVBand="0" w:evenVBand="0" w:oddHBand="0" w:evenHBand="0" w:firstRowFirstColumn="0" w:firstRowLastColumn="0" w:lastRowFirstColumn="0" w:lastRowLastColumn="0"/>
            </w:pPr>
            <w:r w:rsidRPr="00FD172C">
              <w:t>Year 7</w:t>
            </w:r>
          </w:p>
        </w:tc>
        <w:tc>
          <w:tcPr>
            <w:tcW w:w="3436" w:type="dxa"/>
          </w:tcPr>
          <w:p w14:paraId="06A9D57E" w14:textId="77777777" w:rsidR="00726981" w:rsidRPr="00FD172C" w:rsidRDefault="00726981" w:rsidP="00517FEF">
            <w:pPr>
              <w:jc w:val="center"/>
              <w:cnfStyle w:val="000000000000" w:firstRow="0" w:lastRow="0" w:firstColumn="0" w:lastColumn="0" w:oddVBand="0" w:evenVBand="0" w:oddHBand="0" w:evenHBand="0" w:firstRowFirstColumn="0" w:firstRowLastColumn="0" w:lastRowFirstColumn="0" w:lastRowLastColumn="0"/>
            </w:pPr>
            <w:r w:rsidRPr="00FD172C">
              <w:t>12</w:t>
            </w:r>
          </w:p>
        </w:tc>
      </w:tr>
      <w:tr w:rsidR="00726981" w14:paraId="43BE366D" w14:textId="77777777" w:rsidTr="00517F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shd w:val="clear" w:color="auto" w:fill="FFFFFF" w:themeFill="background1"/>
          </w:tcPr>
          <w:p w14:paraId="3107073D" w14:textId="77777777" w:rsidR="00726981" w:rsidRDefault="00726981" w:rsidP="00517FEF">
            <w:pPr>
              <w:rPr>
                <w:lang w:val="en-US"/>
              </w:rPr>
            </w:pPr>
          </w:p>
        </w:tc>
        <w:tc>
          <w:tcPr>
            <w:tcW w:w="3436" w:type="dxa"/>
          </w:tcPr>
          <w:p w14:paraId="75AD7C55" w14:textId="77777777" w:rsidR="00726981" w:rsidRPr="00FD172C" w:rsidRDefault="00726981" w:rsidP="00517FEF">
            <w:pPr>
              <w:jc w:val="center"/>
              <w:cnfStyle w:val="000000010000" w:firstRow="0" w:lastRow="0" w:firstColumn="0" w:lastColumn="0" w:oddVBand="0" w:evenVBand="0" w:oddHBand="0" w:evenHBand="1" w:firstRowFirstColumn="0" w:firstRowLastColumn="0" w:lastRowFirstColumn="0" w:lastRowLastColumn="0"/>
            </w:pPr>
            <w:r w:rsidRPr="00FD172C">
              <w:t>Year 8</w:t>
            </w:r>
          </w:p>
        </w:tc>
        <w:tc>
          <w:tcPr>
            <w:tcW w:w="3436" w:type="dxa"/>
          </w:tcPr>
          <w:p w14:paraId="1B87CC88" w14:textId="77777777" w:rsidR="00726981" w:rsidRPr="00FD172C" w:rsidRDefault="00726981" w:rsidP="00517FEF">
            <w:pPr>
              <w:jc w:val="center"/>
              <w:cnfStyle w:val="000000010000" w:firstRow="0" w:lastRow="0" w:firstColumn="0" w:lastColumn="0" w:oddVBand="0" w:evenVBand="0" w:oddHBand="0" w:evenHBand="1" w:firstRowFirstColumn="0" w:firstRowLastColumn="0" w:lastRowFirstColumn="0" w:lastRowLastColumn="0"/>
            </w:pPr>
            <w:r w:rsidRPr="00FD172C">
              <w:t>13</w:t>
            </w:r>
          </w:p>
        </w:tc>
      </w:tr>
      <w:tr w:rsidR="00726981" w14:paraId="1C064662" w14:textId="77777777" w:rsidTr="00517FEF">
        <w:tc>
          <w:tcPr>
            <w:cnfStyle w:val="001000000000" w:firstRow="0" w:lastRow="0" w:firstColumn="1" w:lastColumn="0" w:oddVBand="0" w:evenVBand="0" w:oddHBand="0" w:evenHBand="0" w:firstRowFirstColumn="0" w:firstRowLastColumn="0" w:lastRowFirstColumn="0" w:lastRowLastColumn="0"/>
            <w:tcW w:w="3436" w:type="dxa"/>
            <w:shd w:val="clear" w:color="auto" w:fill="FFFFFF" w:themeFill="background1"/>
          </w:tcPr>
          <w:p w14:paraId="733AD633" w14:textId="77777777" w:rsidR="00726981" w:rsidRDefault="00726981" w:rsidP="00517FEF">
            <w:pPr>
              <w:rPr>
                <w:lang w:val="en-US"/>
              </w:rPr>
            </w:pPr>
          </w:p>
        </w:tc>
        <w:tc>
          <w:tcPr>
            <w:tcW w:w="3436" w:type="dxa"/>
          </w:tcPr>
          <w:p w14:paraId="3338643B" w14:textId="77777777" w:rsidR="00726981" w:rsidRPr="00FD172C" w:rsidRDefault="00726981" w:rsidP="00517FEF">
            <w:pPr>
              <w:jc w:val="center"/>
              <w:cnfStyle w:val="000000000000" w:firstRow="0" w:lastRow="0" w:firstColumn="0" w:lastColumn="0" w:oddVBand="0" w:evenVBand="0" w:oddHBand="0" w:evenHBand="0" w:firstRowFirstColumn="0" w:firstRowLastColumn="0" w:lastRowFirstColumn="0" w:lastRowLastColumn="0"/>
            </w:pPr>
            <w:r w:rsidRPr="00FD172C">
              <w:t>Year 9</w:t>
            </w:r>
          </w:p>
        </w:tc>
        <w:tc>
          <w:tcPr>
            <w:tcW w:w="3436" w:type="dxa"/>
          </w:tcPr>
          <w:p w14:paraId="1569EF19" w14:textId="77777777" w:rsidR="00726981" w:rsidRPr="00FD172C" w:rsidRDefault="00726981" w:rsidP="00517FEF">
            <w:pPr>
              <w:jc w:val="center"/>
              <w:cnfStyle w:val="000000000000" w:firstRow="0" w:lastRow="0" w:firstColumn="0" w:lastColumn="0" w:oddVBand="0" w:evenVBand="0" w:oddHBand="0" w:evenHBand="0" w:firstRowFirstColumn="0" w:firstRowLastColumn="0" w:lastRowFirstColumn="0" w:lastRowLastColumn="0"/>
            </w:pPr>
            <w:r w:rsidRPr="00FD172C">
              <w:t>14</w:t>
            </w:r>
          </w:p>
        </w:tc>
      </w:tr>
      <w:tr w:rsidR="00726981" w14:paraId="31B8E281" w14:textId="77777777" w:rsidTr="00517F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Borders>
              <w:bottom w:val="single" w:sz="4" w:space="0" w:color="auto"/>
            </w:tcBorders>
            <w:shd w:val="clear" w:color="auto" w:fill="FFFFFF" w:themeFill="background1"/>
          </w:tcPr>
          <w:p w14:paraId="37C6EF33" w14:textId="77777777" w:rsidR="00726981" w:rsidRDefault="00726981" w:rsidP="00517FEF">
            <w:pPr>
              <w:rPr>
                <w:lang w:val="en-US"/>
              </w:rPr>
            </w:pPr>
          </w:p>
        </w:tc>
        <w:tc>
          <w:tcPr>
            <w:tcW w:w="3436" w:type="dxa"/>
            <w:tcBorders>
              <w:bottom w:val="single" w:sz="4" w:space="0" w:color="auto"/>
            </w:tcBorders>
          </w:tcPr>
          <w:p w14:paraId="65D349F2" w14:textId="77777777" w:rsidR="00726981" w:rsidRPr="00FD172C" w:rsidRDefault="00726981" w:rsidP="00517FEF">
            <w:pPr>
              <w:jc w:val="center"/>
              <w:cnfStyle w:val="000000010000" w:firstRow="0" w:lastRow="0" w:firstColumn="0" w:lastColumn="0" w:oddVBand="0" w:evenVBand="0" w:oddHBand="0" w:evenHBand="1" w:firstRowFirstColumn="0" w:firstRowLastColumn="0" w:lastRowFirstColumn="0" w:lastRowLastColumn="0"/>
            </w:pPr>
            <w:r w:rsidRPr="00FD172C">
              <w:t>Year 10</w:t>
            </w:r>
          </w:p>
        </w:tc>
        <w:tc>
          <w:tcPr>
            <w:tcW w:w="3436" w:type="dxa"/>
            <w:tcBorders>
              <w:bottom w:val="single" w:sz="4" w:space="0" w:color="auto"/>
            </w:tcBorders>
          </w:tcPr>
          <w:p w14:paraId="75C8C19F" w14:textId="77777777" w:rsidR="00726981" w:rsidRPr="00FD172C" w:rsidRDefault="00726981" w:rsidP="00517FEF">
            <w:pPr>
              <w:jc w:val="center"/>
              <w:cnfStyle w:val="000000010000" w:firstRow="0" w:lastRow="0" w:firstColumn="0" w:lastColumn="0" w:oddVBand="0" w:evenVBand="0" w:oddHBand="0" w:evenHBand="1" w:firstRowFirstColumn="0" w:firstRowLastColumn="0" w:lastRowFirstColumn="0" w:lastRowLastColumn="0"/>
            </w:pPr>
            <w:r w:rsidRPr="00FD172C">
              <w:t>15</w:t>
            </w:r>
          </w:p>
        </w:tc>
      </w:tr>
      <w:tr w:rsidR="00726981" w14:paraId="6AFAAB8A" w14:textId="77777777" w:rsidTr="00517FEF">
        <w:tc>
          <w:tcPr>
            <w:cnfStyle w:val="001000000000" w:firstRow="0" w:lastRow="0" w:firstColumn="1" w:lastColumn="0" w:oddVBand="0" w:evenVBand="0" w:oddHBand="0" w:evenHBand="0" w:firstRowFirstColumn="0" w:firstRowLastColumn="0" w:lastRowFirstColumn="0" w:lastRowLastColumn="0"/>
            <w:tcW w:w="3436" w:type="dxa"/>
            <w:tcBorders>
              <w:top w:val="single" w:sz="4" w:space="0" w:color="auto"/>
              <w:bottom w:val="nil"/>
            </w:tcBorders>
            <w:shd w:val="clear" w:color="auto" w:fill="FFFFFF" w:themeFill="background1"/>
          </w:tcPr>
          <w:p w14:paraId="1CD63E84" w14:textId="77777777" w:rsidR="00726981" w:rsidRPr="009B0256" w:rsidRDefault="00726981" w:rsidP="00517FEF">
            <w:pPr>
              <w:rPr>
                <w:lang w:val="en-US"/>
              </w:rPr>
            </w:pPr>
            <w:r w:rsidRPr="00FD172C">
              <w:t>Compulsory participation phase</w:t>
            </w:r>
          </w:p>
        </w:tc>
        <w:tc>
          <w:tcPr>
            <w:tcW w:w="3436" w:type="dxa"/>
            <w:tcBorders>
              <w:top w:val="single" w:sz="4" w:space="0" w:color="auto"/>
            </w:tcBorders>
          </w:tcPr>
          <w:p w14:paraId="622904A6" w14:textId="34018FEE" w:rsidR="00726981" w:rsidRDefault="00341310" w:rsidP="00517FEF">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Year 11/</w:t>
            </w:r>
            <w:r w:rsidR="00726981">
              <w:rPr>
                <w:lang w:val="en-US"/>
              </w:rPr>
              <w:t>Eligible option**</w:t>
            </w:r>
          </w:p>
        </w:tc>
        <w:tc>
          <w:tcPr>
            <w:tcW w:w="3436" w:type="dxa"/>
            <w:tcBorders>
              <w:top w:val="single" w:sz="4" w:space="0" w:color="auto"/>
              <w:bottom w:val="nil"/>
            </w:tcBorders>
          </w:tcPr>
          <w:p w14:paraId="5AA44512" w14:textId="77777777" w:rsidR="00726981" w:rsidRDefault="00726981" w:rsidP="00517FEF">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16</w:t>
            </w:r>
          </w:p>
        </w:tc>
      </w:tr>
      <w:tr w:rsidR="00726981" w14:paraId="13E63C86" w14:textId="77777777" w:rsidTr="00517F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Borders>
              <w:top w:val="nil"/>
              <w:bottom w:val="single" w:sz="4" w:space="0" w:color="1F1F5F" w:themeColor="text1"/>
            </w:tcBorders>
            <w:shd w:val="clear" w:color="auto" w:fill="FFFFFF" w:themeFill="background1"/>
          </w:tcPr>
          <w:p w14:paraId="2D93AB78" w14:textId="77777777" w:rsidR="00726981" w:rsidRDefault="00726981" w:rsidP="00517FEF">
            <w:pPr>
              <w:rPr>
                <w:lang w:val="en-US"/>
              </w:rPr>
            </w:pPr>
          </w:p>
        </w:tc>
        <w:tc>
          <w:tcPr>
            <w:tcW w:w="3436" w:type="dxa"/>
            <w:tcBorders>
              <w:bottom w:val="single" w:sz="4" w:space="0" w:color="1F1F5F" w:themeColor="text1"/>
            </w:tcBorders>
          </w:tcPr>
          <w:p w14:paraId="1525E872" w14:textId="59F78F58" w:rsidR="00726981" w:rsidRDefault="00341310" w:rsidP="00517FEF">
            <w:pPr>
              <w:jc w:val="center"/>
              <w:cnfStyle w:val="000000010000" w:firstRow="0" w:lastRow="0" w:firstColumn="0" w:lastColumn="0" w:oddVBand="0" w:evenVBand="0" w:oddHBand="0" w:evenHBand="1" w:firstRowFirstColumn="0" w:firstRowLastColumn="0" w:lastRowFirstColumn="0" w:lastRowLastColumn="0"/>
              <w:rPr>
                <w:lang w:val="en-US"/>
              </w:rPr>
            </w:pPr>
            <w:r>
              <w:rPr>
                <w:lang w:val="en-US"/>
              </w:rPr>
              <w:t>Year 12/</w:t>
            </w:r>
            <w:r w:rsidR="00726981">
              <w:rPr>
                <w:lang w:val="en-US"/>
              </w:rPr>
              <w:t>Eligible option**</w:t>
            </w:r>
          </w:p>
        </w:tc>
        <w:tc>
          <w:tcPr>
            <w:tcW w:w="3436" w:type="dxa"/>
            <w:tcBorders>
              <w:top w:val="nil"/>
              <w:bottom w:val="single" w:sz="4" w:space="0" w:color="1F1F5F" w:themeColor="text1"/>
            </w:tcBorders>
          </w:tcPr>
          <w:p w14:paraId="6A532CB0" w14:textId="77777777" w:rsidR="00726981" w:rsidRDefault="00726981" w:rsidP="00517FEF">
            <w:pPr>
              <w:jc w:val="center"/>
              <w:cnfStyle w:val="000000010000" w:firstRow="0" w:lastRow="0" w:firstColumn="0" w:lastColumn="0" w:oddVBand="0" w:evenVBand="0" w:oddHBand="0" w:evenHBand="1" w:firstRowFirstColumn="0" w:firstRowLastColumn="0" w:lastRowFirstColumn="0" w:lastRowLastColumn="0"/>
              <w:rPr>
                <w:lang w:val="en-US"/>
              </w:rPr>
            </w:pPr>
            <w:r>
              <w:rPr>
                <w:lang w:val="en-US"/>
              </w:rPr>
              <w:t>17</w:t>
            </w:r>
          </w:p>
        </w:tc>
      </w:tr>
    </w:tbl>
    <w:p w14:paraId="224707C2" w14:textId="0437D443" w:rsidR="007A66DE" w:rsidRDefault="003103B2" w:rsidP="0002097B">
      <w:pPr>
        <w:spacing w:before="200"/>
        <w:rPr>
          <w:lang w:val="en-US"/>
        </w:rPr>
      </w:pPr>
      <w:r w:rsidRPr="0080757D">
        <w:rPr>
          <w:lang w:val="en-US"/>
        </w:rPr>
        <w:t xml:space="preserve">*The minimum ages outlined are indicative only. Student age will vary slightly depending on individual student circumstances particularly if a student has repeated a year level, or in the case of gifted and talented students, advanced through a year level. </w:t>
      </w:r>
    </w:p>
    <w:p w14:paraId="6CD6BFCA" w14:textId="338F8C31" w:rsidR="00754CC9" w:rsidRDefault="00754CC9" w:rsidP="0002097B">
      <w:pPr>
        <w:spacing w:before="200"/>
        <w:rPr>
          <w:lang w:val="en-US"/>
        </w:rPr>
      </w:pPr>
      <w:r>
        <w:rPr>
          <w:lang w:val="en-US"/>
        </w:rPr>
        <w:t xml:space="preserve">**Once a student has completed year 10, the student must participate in an eligible option until they reach 17 years of age. An eligible option is approved education or training or, provided the student is 15 years or over, paid employment or a combination of the two. </w:t>
      </w:r>
    </w:p>
    <w:p w14:paraId="466AD1AF" w14:textId="337DFD44" w:rsidR="0002097B" w:rsidRPr="0002097B" w:rsidRDefault="0002097B" w:rsidP="0002097B">
      <w:pPr>
        <w:pStyle w:val="Heading3"/>
        <w:keepNext w:val="0"/>
        <w:keepLines w:val="0"/>
        <w:rPr>
          <w:lang w:eastAsia="en-AU"/>
        </w:rPr>
      </w:pPr>
      <w:r w:rsidRPr="0002097B">
        <w:rPr>
          <w:lang w:eastAsia="en-AU"/>
        </w:rPr>
        <w:t xml:space="preserve">Early childhood education </w:t>
      </w:r>
    </w:p>
    <w:p w14:paraId="1A017273" w14:textId="4437FC89" w:rsidR="007A66DE" w:rsidRPr="0099232B" w:rsidRDefault="007A66DE" w:rsidP="007A66DE">
      <w:pPr>
        <w:rPr>
          <w:lang w:val="en-US" w:eastAsia="en-AU"/>
        </w:rPr>
      </w:pPr>
      <w:r>
        <w:rPr>
          <w:lang w:eastAsia="en-AU"/>
        </w:rPr>
        <w:t xml:space="preserve">The department provides a range of quality early childhood education programs for children from birth to </w:t>
      </w:r>
      <w:r w:rsidR="00864711">
        <w:rPr>
          <w:lang w:eastAsia="en-AU"/>
        </w:rPr>
        <w:t>five</w:t>
      </w:r>
      <w:r>
        <w:rPr>
          <w:lang w:eastAsia="en-AU"/>
        </w:rPr>
        <w:t xml:space="preserve"> years of age. </w:t>
      </w:r>
      <w:r>
        <w:rPr>
          <w:lang w:val="en-US" w:eastAsia="en-AU"/>
        </w:rPr>
        <w:t>S</w:t>
      </w:r>
      <w:r w:rsidRPr="0076237B">
        <w:rPr>
          <w:lang w:val="en-US" w:eastAsia="en-AU"/>
        </w:rPr>
        <w:t>pecific a</w:t>
      </w:r>
      <w:r>
        <w:rPr>
          <w:lang w:val="en-US" w:eastAsia="en-AU"/>
        </w:rPr>
        <w:t>ge of entry requirements appl</w:t>
      </w:r>
      <w:r w:rsidR="00D93972">
        <w:rPr>
          <w:lang w:val="en-US" w:eastAsia="en-AU"/>
        </w:rPr>
        <w:t>ies</w:t>
      </w:r>
      <w:r w:rsidRPr="0076237B">
        <w:rPr>
          <w:lang w:val="en-US" w:eastAsia="en-AU"/>
        </w:rPr>
        <w:t xml:space="preserve"> to each program.</w:t>
      </w:r>
    </w:p>
    <w:p w14:paraId="44905881" w14:textId="5AD6CE40" w:rsidR="007A66DE" w:rsidRPr="009723A0" w:rsidRDefault="007A66DE" w:rsidP="005A310E">
      <w:pPr>
        <w:pStyle w:val="Heading3"/>
        <w:keepNext w:val="0"/>
        <w:keepLines w:val="0"/>
        <w:rPr>
          <w:lang w:eastAsia="en-AU"/>
        </w:rPr>
      </w:pPr>
      <w:bookmarkStart w:id="3" w:name="_Toc50618656"/>
      <w:r w:rsidRPr="009723A0">
        <w:rPr>
          <w:lang w:eastAsia="en-AU"/>
        </w:rPr>
        <w:t>Families as First Teachers</w:t>
      </w:r>
      <w:bookmarkEnd w:id="3"/>
      <w:r w:rsidRPr="009723A0">
        <w:rPr>
          <w:lang w:eastAsia="en-AU"/>
        </w:rPr>
        <w:t xml:space="preserve"> </w:t>
      </w:r>
    </w:p>
    <w:p w14:paraId="70A02593" w14:textId="4E508BA1" w:rsidR="007A66DE" w:rsidRDefault="007A66DE" w:rsidP="007A66DE">
      <w:pPr>
        <w:rPr>
          <w:lang w:eastAsia="en-AU"/>
        </w:rPr>
      </w:pPr>
      <w:r>
        <w:rPr>
          <w:lang w:eastAsia="en-AU"/>
        </w:rPr>
        <w:t xml:space="preserve">Families as First Teachers (FaFT) </w:t>
      </w:r>
      <w:r w:rsidRPr="00F81450">
        <w:rPr>
          <w:lang w:eastAsia="en-AU"/>
        </w:rPr>
        <w:t>delivers quality early learning and parent support programs to children and their families. It develops place-based programs to engage families and communities</w:t>
      </w:r>
      <w:r w:rsidR="00CF4988">
        <w:rPr>
          <w:lang w:eastAsia="en-AU"/>
        </w:rPr>
        <w:t xml:space="preserve"> </w:t>
      </w:r>
      <w:r w:rsidRPr="00F81450">
        <w:rPr>
          <w:lang w:eastAsia="en-AU"/>
        </w:rPr>
        <w:t>and build</w:t>
      </w:r>
      <w:r w:rsidR="00CF4988">
        <w:rPr>
          <w:lang w:eastAsia="en-AU"/>
        </w:rPr>
        <w:t>s</w:t>
      </w:r>
      <w:r w:rsidRPr="00F81450">
        <w:rPr>
          <w:lang w:eastAsia="en-AU"/>
        </w:rPr>
        <w:t xml:space="preserve"> parents’ capacity to give their children the best start in life.</w:t>
      </w:r>
    </w:p>
    <w:p w14:paraId="4ACE7B01" w14:textId="2117139F" w:rsidR="007A66DE" w:rsidRPr="0099232B" w:rsidRDefault="007A66DE" w:rsidP="007A66DE">
      <w:pPr>
        <w:rPr>
          <w:lang w:eastAsia="en-AU"/>
        </w:rPr>
      </w:pPr>
      <w:r>
        <w:rPr>
          <w:lang w:eastAsia="en-AU"/>
        </w:rPr>
        <w:t>W</w:t>
      </w:r>
      <w:r w:rsidRPr="0076237B">
        <w:rPr>
          <w:lang w:eastAsia="en-AU"/>
        </w:rPr>
        <w:t xml:space="preserve">here available, children from birth to </w:t>
      </w:r>
      <w:r w:rsidR="00864711">
        <w:rPr>
          <w:lang w:eastAsia="en-AU"/>
        </w:rPr>
        <w:t>four</w:t>
      </w:r>
      <w:r>
        <w:rPr>
          <w:lang w:eastAsia="en-AU"/>
        </w:rPr>
        <w:t xml:space="preserve"> </w:t>
      </w:r>
      <w:r w:rsidRPr="0076237B">
        <w:rPr>
          <w:lang w:eastAsia="en-AU"/>
        </w:rPr>
        <w:t xml:space="preserve">years of age can be enrolled at </w:t>
      </w:r>
      <w:r w:rsidR="00CF4988">
        <w:rPr>
          <w:lang w:eastAsia="en-AU"/>
        </w:rPr>
        <w:t>a</w:t>
      </w:r>
      <w:r w:rsidRPr="0076237B">
        <w:rPr>
          <w:lang w:eastAsia="en-AU"/>
        </w:rPr>
        <w:t xml:space="preserve"> school and participate with a parent in the </w:t>
      </w:r>
      <w:r w:rsidR="00F24556">
        <w:rPr>
          <w:lang w:eastAsia="en-AU"/>
        </w:rPr>
        <w:t>FaFT</w:t>
      </w:r>
      <w:r w:rsidRPr="0076237B">
        <w:rPr>
          <w:lang w:eastAsia="en-AU"/>
        </w:rPr>
        <w:t xml:space="preserve"> program.</w:t>
      </w:r>
    </w:p>
    <w:p w14:paraId="6E519FEA" w14:textId="77777777" w:rsidR="007A66DE" w:rsidRPr="009723A0" w:rsidRDefault="007A66DE" w:rsidP="005A310E">
      <w:pPr>
        <w:pStyle w:val="Heading3"/>
        <w:keepNext w:val="0"/>
        <w:keepLines w:val="0"/>
        <w:rPr>
          <w:lang w:eastAsia="en-AU"/>
        </w:rPr>
      </w:pPr>
      <w:bookmarkStart w:id="4" w:name="_Toc50618657"/>
      <w:r w:rsidRPr="009723A0">
        <w:rPr>
          <w:lang w:eastAsia="en-AU"/>
        </w:rPr>
        <w:t>Preschool</w:t>
      </w:r>
      <w:bookmarkEnd w:id="4"/>
    </w:p>
    <w:p w14:paraId="4C70C9F2" w14:textId="0AAC3245" w:rsidR="007A66DE" w:rsidRDefault="007A66DE" w:rsidP="007A66DE">
      <w:pPr>
        <w:rPr>
          <w:lang w:eastAsia="en-AU"/>
        </w:rPr>
      </w:pPr>
      <w:r>
        <w:rPr>
          <w:lang w:eastAsia="en-AU"/>
        </w:rPr>
        <w:t>Preschool is a play-based education and care program that reflects the principles, practices and learning outcomes of the Early Years Learning Framework.</w:t>
      </w:r>
      <w:r w:rsidRPr="00BD0C63">
        <w:rPr>
          <w:lang w:eastAsia="en-AU"/>
        </w:rPr>
        <w:t xml:space="preserve"> </w:t>
      </w:r>
      <w:bookmarkStart w:id="5" w:name="_Hlk128989077"/>
      <w:r>
        <w:rPr>
          <w:lang w:eastAsia="en-AU"/>
        </w:rPr>
        <w:t>All children have access to a preschool program for at least 600 hours</w:t>
      </w:r>
      <w:r w:rsidR="007F38B5">
        <w:rPr>
          <w:lang w:eastAsia="en-AU"/>
        </w:rPr>
        <w:t>,</w:t>
      </w:r>
      <w:r>
        <w:rPr>
          <w:lang w:eastAsia="en-AU"/>
        </w:rPr>
        <w:t xml:space="preserve"> equivalent to 15 hours a week</w:t>
      </w:r>
      <w:r w:rsidR="007F38B5">
        <w:rPr>
          <w:lang w:eastAsia="en-AU"/>
        </w:rPr>
        <w:t>,</w:t>
      </w:r>
      <w:r>
        <w:rPr>
          <w:lang w:eastAsia="en-AU"/>
        </w:rPr>
        <w:t xml:space="preserve"> in the 12 months prior to full-time schooling.</w:t>
      </w:r>
      <w:bookmarkEnd w:id="5"/>
    </w:p>
    <w:p w14:paraId="1E001F29" w14:textId="7B4ECF15" w:rsidR="007A66DE" w:rsidRDefault="007A66DE" w:rsidP="007A66DE">
      <w:pPr>
        <w:pStyle w:val="ListParagraph"/>
        <w:numPr>
          <w:ilvl w:val="0"/>
          <w:numId w:val="40"/>
        </w:numPr>
        <w:ind w:left="714" w:hanging="357"/>
        <w:rPr>
          <w:lang w:eastAsia="en-AU"/>
        </w:rPr>
      </w:pPr>
      <w:r>
        <w:rPr>
          <w:lang w:eastAsia="en-AU"/>
        </w:rPr>
        <w:t xml:space="preserve">Children who turn </w:t>
      </w:r>
      <w:r w:rsidR="00864711">
        <w:rPr>
          <w:lang w:eastAsia="en-AU"/>
        </w:rPr>
        <w:t>four</w:t>
      </w:r>
      <w:r w:rsidR="00DE45FC">
        <w:rPr>
          <w:lang w:eastAsia="en-AU"/>
        </w:rPr>
        <w:t xml:space="preserve"> </w:t>
      </w:r>
      <w:r>
        <w:rPr>
          <w:lang w:eastAsia="en-AU"/>
        </w:rPr>
        <w:t>years of age, on or before 30 June, can commence preschool at the beginning of the school year.</w:t>
      </w:r>
    </w:p>
    <w:p w14:paraId="05B81DFF" w14:textId="61D2949F" w:rsidR="007A66DE" w:rsidRDefault="007A66DE" w:rsidP="007A66DE">
      <w:pPr>
        <w:pStyle w:val="ListParagraph"/>
        <w:numPr>
          <w:ilvl w:val="0"/>
          <w:numId w:val="40"/>
        </w:numPr>
        <w:ind w:left="714" w:hanging="357"/>
        <w:rPr>
          <w:lang w:eastAsia="en-AU"/>
        </w:rPr>
      </w:pPr>
      <w:bookmarkStart w:id="6" w:name="_Hlk128990444"/>
      <w:r>
        <w:rPr>
          <w:lang w:eastAsia="en-AU"/>
        </w:rPr>
        <w:t xml:space="preserve">Children who turn </w:t>
      </w:r>
      <w:r w:rsidR="00864711">
        <w:rPr>
          <w:lang w:eastAsia="en-AU"/>
        </w:rPr>
        <w:t>four</w:t>
      </w:r>
      <w:r>
        <w:rPr>
          <w:lang w:eastAsia="en-AU"/>
        </w:rPr>
        <w:t xml:space="preserve"> after 30 June are eligible to enrol in a preschool program after their birthday if places are available and with the understanding the child will access more than 12 months of preschool</w:t>
      </w:r>
      <w:bookmarkEnd w:id="6"/>
      <w:r>
        <w:rPr>
          <w:lang w:eastAsia="en-AU"/>
        </w:rPr>
        <w:t>.</w:t>
      </w:r>
    </w:p>
    <w:p w14:paraId="036378A9" w14:textId="44278F2F" w:rsidR="007A66DE" w:rsidRDefault="007A66DE" w:rsidP="007A66DE">
      <w:pPr>
        <w:pStyle w:val="ListParagraph"/>
        <w:numPr>
          <w:ilvl w:val="0"/>
          <w:numId w:val="40"/>
        </w:numPr>
        <w:rPr>
          <w:lang w:eastAsia="en-AU"/>
        </w:rPr>
      </w:pPr>
      <w:r>
        <w:rPr>
          <w:lang w:val="en-US" w:eastAsia="en-AU"/>
        </w:rPr>
        <w:t>C</w:t>
      </w:r>
      <w:r w:rsidRPr="0099232B">
        <w:rPr>
          <w:lang w:val="en-US" w:eastAsia="en-AU"/>
        </w:rPr>
        <w:t xml:space="preserve">hildren in very remote schools may be enrolled in a preschool program when they turn </w:t>
      </w:r>
      <w:r w:rsidR="00864711">
        <w:rPr>
          <w:lang w:val="en-US" w:eastAsia="en-AU"/>
        </w:rPr>
        <w:t>three</w:t>
      </w:r>
      <w:r w:rsidRPr="0099232B">
        <w:rPr>
          <w:lang w:val="en-US" w:eastAsia="en-AU"/>
        </w:rPr>
        <w:t xml:space="preserve"> years of age</w:t>
      </w:r>
      <w:r>
        <w:rPr>
          <w:lang w:val="en-US" w:eastAsia="en-AU"/>
        </w:rPr>
        <w:t>.</w:t>
      </w:r>
      <w:r w:rsidRPr="0099232B">
        <w:rPr>
          <w:lang w:val="en-US" w:eastAsia="en-AU"/>
        </w:rPr>
        <w:t xml:space="preserve"> </w:t>
      </w:r>
      <w:r>
        <w:rPr>
          <w:lang w:eastAsia="en-AU"/>
        </w:rPr>
        <w:t>Parents may accompany their child and remain with them at each preschool session if they choose. This can assist both children and families to transition into the school environment.</w:t>
      </w:r>
    </w:p>
    <w:p w14:paraId="1A18A7A4" w14:textId="5E4AF166" w:rsidR="007A66DE" w:rsidRDefault="007A66DE" w:rsidP="007A66DE">
      <w:pPr>
        <w:pStyle w:val="ListParagraph"/>
        <w:numPr>
          <w:ilvl w:val="0"/>
          <w:numId w:val="40"/>
        </w:numPr>
        <w:spacing w:after="200"/>
        <w:ind w:left="714" w:hanging="357"/>
        <w:rPr>
          <w:lang w:eastAsia="en-AU"/>
        </w:rPr>
      </w:pPr>
      <w:r>
        <w:rPr>
          <w:lang w:eastAsia="en-AU"/>
        </w:rPr>
        <w:t xml:space="preserve">Preschool aged children enrolled in FaFT must also be enrolled in preschool and will be supported to regularly attend the preschool program. Parents may accompany their child and remain with </w:t>
      </w:r>
      <w:r>
        <w:rPr>
          <w:lang w:eastAsia="en-AU"/>
        </w:rPr>
        <w:lastRenderedPageBreak/>
        <w:t>them at each preschool session if they choose. This can assist both children and families to transition into the school environment.</w:t>
      </w:r>
    </w:p>
    <w:p w14:paraId="113C29EF" w14:textId="77777777" w:rsidR="007A66DE" w:rsidRPr="009723A0" w:rsidRDefault="007A66DE" w:rsidP="005A310E">
      <w:pPr>
        <w:pStyle w:val="Heading3"/>
        <w:keepNext w:val="0"/>
        <w:keepLines w:val="0"/>
        <w:rPr>
          <w:lang w:eastAsia="en-AU"/>
        </w:rPr>
      </w:pPr>
      <w:bookmarkStart w:id="7" w:name="_Toc50618658"/>
      <w:r w:rsidRPr="009723A0">
        <w:rPr>
          <w:lang w:eastAsia="en-AU"/>
        </w:rPr>
        <w:t>Transition</w:t>
      </w:r>
      <w:bookmarkEnd w:id="7"/>
    </w:p>
    <w:p w14:paraId="4C216182" w14:textId="12F68C8F" w:rsidR="007A66DE" w:rsidRDefault="007A66DE" w:rsidP="007A66DE">
      <w:pPr>
        <w:rPr>
          <w:lang w:eastAsia="en-AU"/>
        </w:rPr>
      </w:pPr>
      <w:r w:rsidRPr="00F23CED">
        <w:rPr>
          <w:color w:val="141414"/>
          <w:shd w:val="clear" w:color="auto" w:fill="FFFFFF"/>
        </w:rPr>
        <w:t>Transition is a full-time program using the Australian Curriculum</w:t>
      </w:r>
      <w:r w:rsidRPr="00F23CED">
        <w:rPr>
          <w:color w:val="111111"/>
          <w:szCs w:val="27"/>
          <w:shd w:val="clear" w:color="auto" w:fill="FFFFFF"/>
        </w:rPr>
        <w:t xml:space="preserve">. </w:t>
      </w:r>
      <w:r w:rsidRPr="00F23CED">
        <w:rPr>
          <w:color w:val="141414"/>
          <w:shd w:val="clear" w:color="auto" w:fill="FFFFFF"/>
        </w:rPr>
        <w:t xml:space="preserve">Transition is a </w:t>
      </w:r>
      <w:r w:rsidRPr="00F23CED">
        <w:rPr>
          <w:color w:val="111111"/>
          <w:szCs w:val="27"/>
          <w:shd w:val="clear" w:color="auto" w:fill="FFFFFF"/>
        </w:rPr>
        <w:t>planned, play-based learning and development program that also applies the principle</w:t>
      </w:r>
      <w:r>
        <w:rPr>
          <w:color w:val="111111"/>
          <w:szCs w:val="27"/>
          <w:shd w:val="clear" w:color="auto" w:fill="FFFFFF"/>
        </w:rPr>
        <w:t>s</w:t>
      </w:r>
      <w:r w:rsidRPr="00F23CED">
        <w:rPr>
          <w:color w:val="111111"/>
          <w:szCs w:val="27"/>
          <w:shd w:val="clear" w:color="auto" w:fill="FFFFFF"/>
        </w:rPr>
        <w:t>, practices and learning outcomes of the Early Years Learning Framework.</w:t>
      </w:r>
    </w:p>
    <w:p w14:paraId="37A68E18" w14:textId="42FC7104" w:rsidR="007A66DE" w:rsidRPr="0076237B" w:rsidRDefault="007A66DE" w:rsidP="007A66DE">
      <w:pPr>
        <w:rPr>
          <w:lang w:eastAsia="en-AU"/>
        </w:rPr>
      </w:pPr>
      <w:r w:rsidRPr="0076237B">
        <w:rPr>
          <w:lang w:eastAsia="en-AU"/>
        </w:rPr>
        <w:t xml:space="preserve">Children who turn </w:t>
      </w:r>
      <w:r w:rsidR="00864711">
        <w:rPr>
          <w:lang w:eastAsia="en-AU"/>
        </w:rPr>
        <w:t>five</w:t>
      </w:r>
      <w:r w:rsidRPr="0076237B">
        <w:rPr>
          <w:lang w:eastAsia="en-AU"/>
        </w:rPr>
        <w:t xml:space="preserve"> years of age on or before 30 June of the school year are eligible to enrol in </w:t>
      </w:r>
      <w:r w:rsidR="000845A2">
        <w:rPr>
          <w:lang w:eastAsia="en-AU"/>
        </w:rPr>
        <w:t>t</w:t>
      </w:r>
      <w:r w:rsidRPr="0076237B">
        <w:rPr>
          <w:lang w:eastAsia="en-AU"/>
        </w:rPr>
        <w:t>ransition at the commencement of that school year.</w:t>
      </w:r>
    </w:p>
    <w:p w14:paraId="4DCB63C7" w14:textId="2D8BA2C5" w:rsidR="007A66DE" w:rsidRDefault="007A66DE" w:rsidP="005A310E">
      <w:pPr>
        <w:rPr>
          <w:lang w:eastAsia="en-AU"/>
        </w:rPr>
      </w:pPr>
      <w:r w:rsidRPr="0076237B">
        <w:rPr>
          <w:lang w:eastAsia="en-AU"/>
        </w:rPr>
        <w:t xml:space="preserve">Children who turn </w:t>
      </w:r>
      <w:r w:rsidR="00864711">
        <w:rPr>
          <w:lang w:eastAsia="en-AU"/>
        </w:rPr>
        <w:t>five</w:t>
      </w:r>
      <w:r w:rsidRPr="0076237B">
        <w:rPr>
          <w:lang w:eastAsia="en-AU"/>
        </w:rPr>
        <w:t xml:space="preserve"> years of age after 30 June of the school year are eligible to enrol in </w:t>
      </w:r>
      <w:r w:rsidR="000845A2">
        <w:rPr>
          <w:lang w:eastAsia="en-AU"/>
        </w:rPr>
        <w:t>t</w:t>
      </w:r>
      <w:r w:rsidRPr="0076237B">
        <w:rPr>
          <w:lang w:eastAsia="en-AU"/>
        </w:rPr>
        <w:t>ransition from the commenceme</w:t>
      </w:r>
      <w:r>
        <w:rPr>
          <w:lang w:eastAsia="en-AU"/>
        </w:rPr>
        <w:t>nt of the following school year.</w:t>
      </w:r>
    </w:p>
    <w:p w14:paraId="3788CF62" w14:textId="5465506E" w:rsidR="00D32297" w:rsidRDefault="00D32297" w:rsidP="00D32297">
      <w:pPr>
        <w:pStyle w:val="Heading1"/>
        <w:rPr>
          <w:lang w:eastAsia="en-AU"/>
        </w:rPr>
      </w:pPr>
      <w:r>
        <w:rPr>
          <w:lang w:eastAsia="en-AU"/>
        </w:rPr>
        <w:t>Roles and responsibilities</w:t>
      </w:r>
    </w:p>
    <w:p w14:paraId="7E77B2F8" w14:textId="49ED9D42" w:rsidR="00AC768C" w:rsidRDefault="00AC768C" w:rsidP="00372C9D">
      <w:pPr>
        <w:pStyle w:val="Heading3"/>
      </w:pPr>
      <w:r>
        <w:t>Parents of children</w:t>
      </w:r>
      <w:r w:rsidR="002D106D">
        <w:t xml:space="preserve">, </w:t>
      </w:r>
      <w:r>
        <w:t>children living independently</w:t>
      </w:r>
      <w:r w:rsidR="002D106D">
        <w:t>,</w:t>
      </w:r>
      <w:r>
        <w:t xml:space="preserve"> </w:t>
      </w:r>
      <w:r w:rsidR="002D106D">
        <w:t>and prospective mature age students</w:t>
      </w:r>
    </w:p>
    <w:p w14:paraId="3BB6D966" w14:textId="11392002" w:rsidR="009E6155" w:rsidRPr="009E6155" w:rsidRDefault="009E6155" w:rsidP="009E6155">
      <w:pPr>
        <w:rPr>
          <w:lang w:eastAsia="en-AU"/>
        </w:rPr>
      </w:pPr>
      <w:r>
        <w:rPr>
          <w:lang w:eastAsia="en-AU"/>
        </w:rPr>
        <w:t>Parents of children, children living independently, and prospective mature age students must:</w:t>
      </w:r>
    </w:p>
    <w:p w14:paraId="06A53DA1" w14:textId="3E281E3C" w:rsidR="000962E0" w:rsidRPr="000845A2" w:rsidRDefault="000962E0" w:rsidP="000962E0">
      <w:pPr>
        <w:pStyle w:val="ListParagraph"/>
        <w:numPr>
          <w:ilvl w:val="0"/>
          <w:numId w:val="31"/>
        </w:numPr>
        <w:rPr>
          <w:lang w:eastAsia="en-AU"/>
        </w:rPr>
      </w:pPr>
      <w:r w:rsidRPr="000845A2">
        <w:t xml:space="preserve">ensure they fulfil the enrolment requirements as per relevant procedures </w:t>
      </w:r>
      <w:r w:rsidRPr="000845A2">
        <w:rPr>
          <w:lang w:eastAsia="en-AU"/>
        </w:rPr>
        <w:t xml:space="preserve">including </w:t>
      </w:r>
      <w:r w:rsidR="000845A2" w:rsidRPr="005A310E">
        <w:t>Enrolment procedures</w:t>
      </w:r>
      <w:r w:rsidRPr="000845A2">
        <w:rPr>
          <w:lang w:eastAsia="en-AU"/>
        </w:rPr>
        <w:t xml:space="preserve">, </w:t>
      </w:r>
      <w:r w:rsidR="000845A2" w:rsidRPr="005A310E">
        <w:t>Distance education enrolment procedures</w:t>
      </w:r>
      <w:r w:rsidRPr="000845A2">
        <w:rPr>
          <w:lang w:eastAsia="en-AU"/>
        </w:rPr>
        <w:t xml:space="preserve">, </w:t>
      </w:r>
      <w:r w:rsidR="000845A2" w:rsidRPr="005A310E">
        <w:t>Mature age student enrolment procedures</w:t>
      </w:r>
      <w:r w:rsidR="00ED2CFE">
        <w:rPr>
          <w:lang w:eastAsia="en-AU"/>
        </w:rPr>
        <w:t xml:space="preserve">, Enrolment in special schools and special centres guidelines, and </w:t>
      </w:r>
      <w:proofErr w:type="gramStart"/>
      <w:r w:rsidR="00ED2CFE">
        <w:rPr>
          <w:lang w:eastAsia="en-AU"/>
        </w:rPr>
        <w:t>International</w:t>
      </w:r>
      <w:proofErr w:type="gramEnd"/>
      <w:r w:rsidR="00ED2CFE">
        <w:rPr>
          <w:lang w:eastAsia="en-AU"/>
        </w:rPr>
        <w:t xml:space="preserve"> student enrolment procedures</w:t>
      </w:r>
    </w:p>
    <w:p w14:paraId="6BB89165" w14:textId="5A7B41CF" w:rsidR="00AC768C" w:rsidRPr="000845A2" w:rsidRDefault="002A58DE" w:rsidP="00AC768C">
      <w:pPr>
        <w:pStyle w:val="ListParagraph"/>
        <w:numPr>
          <w:ilvl w:val="0"/>
          <w:numId w:val="33"/>
        </w:numPr>
      </w:pPr>
      <w:r w:rsidRPr="000845A2">
        <w:t>apply for a formal exemption from school attendance or from participation in an eligible option</w:t>
      </w:r>
      <w:r w:rsidR="0048196C" w:rsidRPr="000845A2">
        <w:t xml:space="preserve"> </w:t>
      </w:r>
      <w:r w:rsidRPr="000845A2">
        <w:t>when there are special circumstances and flexible education is unsuitable</w:t>
      </w:r>
      <w:r w:rsidR="0048196C" w:rsidRPr="000845A2">
        <w:t xml:space="preserve">, as per </w:t>
      </w:r>
      <w:bookmarkStart w:id="8" w:name="_Hlk126066298"/>
      <w:r w:rsidR="000845A2" w:rsidRPr="005A310E">
        <w:t>Exemptions from attendance procedures</w:t>
      </w:r>
      <w:r w:rsidR="0048196C" w:rsidRPr="000845A2">
        <w:t>.</w:t>
      </w:r>
    </w:p>
    <w:bookmarkEnd w:id="8"/>
    <w:p w14:paraId="2B7FE35B" w14:textId="1B1EA228" w:rsidR="008F42C3" w:rsidRDefault="008F42C3" w:rsidP="008F42C3">
      <w:pPr>
        <w:pStyle w:val="Heading3"/>
      </w:pPr>
      <w:r>
        <w:t xml:space="preserve">Teachers and school staff </w:t>
      </w:r>
    </w:p>
    <w:p w14:paraId="013FA201" w14:textId="28384780" w:rsidR="008F42C3" w:rsidRPr="008F42C3" w:rsidRDefault="008F42C3" w:rsidP="008F42C3">
      <w:pPr>
        <w:rPr>
          <w:lang w:eastAsia="en-AU"/>
        </w:rPr>
      </w:pPr>
      <w:r>
        <w:rPr>
          <w:lang w:eastAsia="en-AU"/>
        </w:rPr>
        <w:t>Teachers and school staff must:</w:t>
      </w:r>
    </w:p>
    <w:p w14:paraId="6441EA4E" w14:textId="77777777" w:rsidR="008F42C3" w:rsidRDefault="008F42C3" w:rsidP="008F42C3">
      <w:pPr>
        <w:pStyle w:val="ListParagraph"/>
        <w:numPr>
          <w:ilvl w:val="0"/>
          <w:numId w:val="32"/>
        </w:numPr>
        <w:ind w:left="714" w:hanging="357"/>
        <w:rPr>
          <w:lang w:eastAsia="en-AU"/>
        </w:rPr>
      </w:pPr>
      <w:r>
        <w:rPr>
          <w:lang w:eastAsia="en-AU"/>
        </w:rPr>
        <w:t xml:space="preserve">record attendance information in the department’s mandated student administration system or approved compliant third-party program on a daily basis as per </w:t>
      </w:r>
      <w:r w:rsidRPr="005A310E">
        <w:t xml:space="preserve">Attendance recording and reporting </w:t>
      </w:r>
      <w:proofErr w:type="gramStart"/>
      <w:r w:rsidRPr="005A310E">
        <w:t>procedures</w:t>
      </w:r>
      <w:proofErr w:type="gramEnd"/>
    </w:p>
    <w:p w14:paraId="770C3CA8" w14:textId="1D0D1D02" w:rsidR="008F42C3" w:rsidRDefault="008F42C3" w:rsidP="00AC768C">
      <w:pPr>
        <w:pStyle w:val="ListParagraph"/>
        <w:numPr>
          <w:ilvl w:val="0"/>
          <w:numId w:val="32"/>
        </w:numPr>
        <w:rPr>
          <w:lang w:eastAsia="en-AU"/>
        </w:rPr>
      </w:pPr>
      <w:r>
        <w:rPr>
          <w:lang w:eastAsia="en-AU"/>
        </w:rPr>
        <w:t>monitor individual student attendance and alert relevant school staff to low attendance and non-attendance.</w:t>
      </w:r>
    </w:p>
    <w:p w14:paraId="76632A93" w14:textId="514FA225" w:rsidR="00AC768C" w:rsidRDefault="00AC768C" w:rsidP="00AC768C">
      <w:pPr>
        <w:pStyle w:val="Heading3"/>
      </w:pPr>
      <w:r>
        <w:t xml:space="preserve">Principals or </w:t>
      </w:r>
      <w:r w:rsidR="001D2F5C">
        <w:t xml:space="preserve">nominated staff </w:t>
      </w:r>
      <w:proofErr w:type="gramStart"/>
      <w:r w:rsidR="001D2F5C">
        <w:t>member</w:t>
      </w:r>
      <w:r w:rsidR="005A310E">
        <w:t>s</w:t>
      </w:r>
      <w:proofErr w:type="gramEnd"/>
    </w:p>
    <w:p w14:paraId="68D66401" w14:textId="1BB43E6B" w:rsidR="009E6155" w:rsidRPr="009E6155" w:rsidRDefault="009E6155" w:rsidP="009E6155">
      <w:pPr>
        <w:rPr>
          <w:lang w:eastAsia="en-AU"/>
        </w:rPr>
      </w:pPr>
      <w:r>
        <w:rPr>
          <w:lang w:eastAsia="en-AU"/>
        </w:rPr>
        <w:t>Principals or nominated staff members must:</w:t>
      </w:r>
    </w:p>
    <w:p w14:paraId="48A383ED" w14:textId="65692988" w:rsidR="00B40BFE" w:rsidRDefault="00B40BFE" w:rsidP="00AC768C">
      <w:pPr>
        <w:pStyle w:val="ListParagraph"/>
        <w:numPr>
          <w:ilvl w:val="0"/>
          <w:numId w:val="31"/>
        </w:numPr>
        <w:rPr>
          <w:lang w:eastAsia="en-AU"/>
        </w:rPr>
      </w:pPr>
      <w:r>
        <w:rPr>
          <w:lang w:eastAsia="en-AU"/>
        </w:rPr>
        <w:t xml:space="preserve">review applications for enrolment and determine eligibility as per relevant procedures including </w:t>
      </w:r>
      <w:bookmarkStart w:id="9" w:name="_Hlk126066314"/>
      <w:r w:rsidR="000845A2" w:rsidRPr="005A310E">
        <w:t>Enrolment procedures</w:t>
      </w:r>
      <w:r>
        <w:rPr>
          <w:lang w:eastAsia="en-AU"/>
        </w:rPr>
        <w:t xml:space="preserve">, </w:t>
      </w:r>
      <w:r w:rsidR="000845A2" w:rsidRPr="005A310E">
        <w:t>Distance education enrolment procedures</w:t>
      </w:r>
      <w:r>
        <w:rPr>
          <w:lang w:eastAsia="en-AU"/>
        </w:rPr>
        <w:t xml:space="preserve">, and </w:t>
      </w:r>
      <w:r w:rsidR="000845A2" w:rsidRPr="005A310E">
        <w:t xml:space="preserve">Mature age student enrolment </w:t>
      </w:r>
      <w:proofErr w:type="gramStart"/>
      <w:r w:rsidR="000845A2" w:rsidRPr="005A310E">
        <w:t>procedures</w:t>
      </w:r>
      <w:proofErr w:type="gramEnd"/>
    </w:p>
    <w:bookmarkEnd w:id="9"/>
    <w:p w14:paraId="6163A93C" w14:textId="58D16EB9" w:rsidR="0038161F" w:rsidRDefault="0038161F" w:rsidP="00AC768C">
      <w:pPr>
        <w:pStyle w:val="ListParagraph"/>
        <w:numPr>
          <w:ilvl w:val="0"/>
          <w:numId w:val="31"/>
        </w:numPr>
        <w:rPr>
          <w:lang w:eastAsia="en-AU"/>
        </w:rPr>
      </w:pPr>
      <w:r>
        <w:rPr>
          <w:lang w:eastAsia="en-AU"/>
        </w:rPr>
        <w:t xml:space="preserve">work with children and young people and their parents to </w:t>
      </w:r>
      <w:r w:rsidR="002F79E1">
        <w:rPr>
          <w:lang w:eastAsia="en-AU"/>
        </w:rPr>
        <w:t xml:space="preserve">explore </w:t>
      </w:r>
      <w:r w:rsidR="00BB1ABD">
        <w:rPr>
          <w:lang w:eastAsia="en-AU"/>
        </w:rPr>
        <w:t xml:space="preserve">alternative </w:t>
      </w:r>
      <w:r w:rsidR="002F79E1">
        <w:rPr>
          <w:lang w:eastAsia="en-AU"/>
        </w:rPr>
        <w:t>enrolment options</w:t>
      </w:r>
      <w:r w:rsidR="00BB1ABD">
        <w:rPr>
          <w:lang w:eastAsia="en-AU"/>
        </w:rPr>
        <w:t xml:space="preserve"> when there are special circumstances, including assisting in preparation for a formal application for </w:t>
      </w:r>
      <w:proofErr w:type="gramStart"/>
      <w:r w:rsidR="00BB1ABD">
        <w:rPr>
          <w:lang w:eastAsia="en-AU"/>
        </w:rPr>
        <w:t>exemption</w:t>
      </w:r>
      <w:proofErr w:type="gramEnd"/>
    </w:p>
    <w:p w14:paraId="5565409D" w14:textId="5BBDBCB3" w:rsidR="00AC768C" w:rsidRDefault="00AC768C" w:rsidP="00AC768C">
      <w:pPr>
        <w:pStyle w:val="ListParagraph"/>
        <w:numPr>
          <w:ilvl w:val="0"/>
          <w:numId w:val="31"/>
        </w:numPr>
        <w:rPr>
          <w:lang w:eastAsia="en-AU"/>
        </w:rPr>
      </w:pPr>
      <w:r>
        <w:rPr>
          <w:lang w:eastAsia="en-AU"/>
        </w:rPr>
        <w:lastRenderedPageBreak/>
        <w:t>ensure accurate attendance records are entered daily or as soon as practicably able where access to internet inhibits and maintained in accordance with legislation and departmental policies and procedures</w:t>
      </w:r>
      <w:r w:rsidR="003A721F">
        <w:rPr>
          <w:lang w:eastAsia="en-AU"/>
        </w:rPr>
        <w:t>, including</w:t>
      </w:r>
      <w:bookmarkStart w:id="10" w:name="_Hlk126066376"/>
      <w:r w:rsidR="003A721F">
        <w:rPr>
          <w:lang w:eastAsia="en-AU"/>
        </w:rPr>
        <w:t xml:space="preserve"> </w:t>
      </w:r>
      <w:bookmarkEnd w:id="10"/>
      <w:r w:rsidR="000845A2" w:rsidRPr="005A310E">
        <w:t xml:space="preserve">Attendance recording and reporting </w:t>
      </w:r>
      <w:proofErr w:type="gramStart"/>
      <w:r w:rsidR="000845A2" w:rsidRPr="005A310E">
        <w:t>procedures</w:t>
      </w:r>
      <w:proofErr w:type="gramEnd"/>
    </w:p>
    <w:p w14:paraId="3B493DB7" w14:textId="366810B6" w:rsidR="00B40BFE" w:rsidRDefault="00B40BFE" w:rsidP="00AC768C">
      <w:pPr>
        <w:pStyle w:val="ListParagraph"/>
        <w:numPr>
          <w:ilvl w:val="0"/>
          <w:numId w:val="31"/>
        </w:numPr>
        <w:rPr>
          <w:lang w:eastAsia="en-AU"/>
        </w:rPr>
      </w:pPr>
      <w:r>
        <w:rPr>
          <w:lang w:eastAsia="en-AU"/>
        </w:rPr>
        <w:t xml:space="preserve">monitor student attendance, including monitoring the passive form, and assist authorised persons in case </w:t>
      </w:r>
      <w:proofErr w:type="gramStart"/>
      <w:r>
        <w:rPr>
          <w:lang w:eastAsia="en-AU"/>
        </w:rPr>
        <w:t>management</w:t>
      </w:r>
      <w:proofErr w:type="gramEnd"/>
    </w:p>
    <w:p w14:paraId="36344745" w14:textId="77777777" w:rsidR="00B40BFE" w:rsidRDefault="00B40BFE" w:rsidP="00B40BFE">
      <w:pPr>
        <w:pStyle w:val="ListParagraph"/>
        <w:numPr>
          <w:ilvl w:val="0"/>
          <w:numId w:val="31"/>
        </w:numPr>
        <w:rPr>
          <w:lang w:eastAsia="en-AU"/>
        </w:rPr>
      </w:pPr>
      <w:r>
        <w:rPr>
          <w:lang w:eastAsia="en-AU"/>
        </w:rPr>
        <w:t xml:space="preserve">apply school-level engagement strategies and processes to address low attendance and non-attendance and optimise student </w:t>
      </w:r>
      <w:proofErr w:type="gramStart"/>
      <w:r>
        <w:rPr>
          <w:lang w:eastAsia="en-AU"/>
        </w:rPr>
        <w:t>attendance</w:t>
      </w:r>
      <w:proofErr w:type="gramEnd"/>
    </w:p>
    <w:p w14:paraId="6A590390" w14:textId="4ED25542" w:rsidR="00AC768C" w:rsidRDefault="007C0429" w:rsidP="00AC768C">
      <w:pPr>
        <w:pStyle w:val="ListParagraph"/>
        <w:numPr>
          <w:ilvl w:val="0"/>
          <w:numId w:val="31"/>
        </w:numPr>
        <w:rPr>
          <w:lang w:eastAsia="en-AU"/>
        </w:rPr>
      </w:pPr>
      <w:r>
        <w:rPr>
          <w:lang w:eastAsia="en-AU"/>
        </w:rPr>
        <w:t xml:space="preserve">where sustainable efforts have been exhausted to satisfactorily achieve compulsory participation requirements, refer the case to </w:t>
      </w:r>
      <w:r w:rsidR="008F42C3">
        <w:rPr>
          <w:lang w:eastAsia="en-AU"/>
        </w:rPr>
        <w:t>Student Engagement Programs and Services</w:t>
      </w:r>
      <w:r>
        <w:rPr>
          <w:lang w:eastAsia="en-AU"/>
        </w:rPr>
        <w:t xml:space="preserve"> for </w:t>
      </w:r>
      <w:r w:rsidR="005F2380">
        <w:rPr>
          <w:lang w:eastAsia="en-AU"/>
        </w:rPr>
        <w:t>case management support</w:t>
      </w:r>
      <w:r w:rsidR="003A721F">
        <w:rPr>
          <w:lang w:eastAsia="en-AU"/>
        </w:rPr>
        <w:t>.</w:t>
      </w:r>
    </w:p>
    <w:p w14:paraId="1335A006" w14:textId="4754C6F6" w:rsidR="00372C9D" w:rsidRDefault="00372C9D" w:rsidP="00372C9D">
      <w:pPr>
        <w:pStyle w:val="Heading3"/>
      </w:pPr>
      <w:r w:rsidRPr="00CB532A">
        <w:t>Senior Directors Education</w:t>
      </w:r>
      <w:r w:rsidR="00AC768C">
        <w:t xml:space="preserve"> </w:t>
      </w:r>
    </w:p>
    <w:p w14:paraId="1A619E17" w14:textId="68996C31" w:rsidR="008F42C3" w:rsidRPr="008F42C3" w:rsidRDefault="008F42C3" w:rsidP="008F42C3">
      <w:r>
        <w:t>Senior Directors Education will:</w:t>
      </w:r>
    </w:p>
    <w:p w14:paraId="496A175F" w14:textId="1B2BEB8D" w:rsidR="00AC768C" w:rsidRDefault="00AC768C" w:rsidP="00AC768C">
      <w:pPr>
        <w:pStyle w:val="ListParagraph"/>
        <w:numPr>
          <w:ilvl w:val="0"/>
          <w:numId w:val="30"/>
        </w:numPr>
      </w:pPr>
      <w:r>
        <w:rPr>
          <w:lang w:eastAsia="en-AU"/>
        </w:rPr>
        <w:t xml:space="preserve">manage schools’ compliance with legislative requirements and department procedures for attendance recording and </w:t>
      </w:r>
      <w:proofErr w:type="gramStart"/>
      <w:r>
        <w:rPr>
          <w:lang w:eastAsia="en-AU"/>
        </w:rPr>
        <w:t>reporting</w:t>
      </w:r>
      <w:proofErr w:type="gramEnd"/>
    </w:p>
    <w:p w14:paraId="45E0F1E1" w14:textId="7EF83172" w:rsidR="00B40BFE" w:rsidRDefault="00B40BFE" w:rsidP="00F968A5">
      <w:pPr>
        <w:pStyle w:val="ListParagraph"/>
        <w:numPr>
          <w:ilvl w:val="0"/>
          <w:numId w:val="33"/>
        </w:numPr>
      </w:pPr>
      <w:r>
        <w:rPr>
          <w:lang w:eastAsia="en-AU"/>
        </w:rPr>
        <w:t xml:space="preserve">review applications for exemptions from attendance </w:t>
      </w:r>
      <w:r w:rsidR="00F968A5">
        <w:t xml:space="preserve">as per </w:t>
      </w:r>
      <w:r w:rsidR="000845A2" w:rsidRPr="005A310E">
        <w:t>Exemptions from attendance procedures</w:t>
      </w:r>
    </w:p>
    <w:p w14:paraId="7D533E54" w14:textId="128DEF95" w:rsidR="007C0429" w:rsidRDefault="007C0429" w:rsidP="007C0429">
      <w:pPr>
        <w:pStyle w:val="ListParagraph"/>
        <w:numPr>
          <w:ilvl w:val="0"/>
          <w:numId w:val="30"/>
        </w:numPr>
        <w:rPr>
          <w:lang w:eastAsia="en-AU"/>
        </w:rPr>
      </w:pPr>
      <w:r w:rsidRPr="00515F3A">
        <w:rPr>
          <w:lang w:eastAsia="en-AU"/>
        </w:rPr>
        <w:t>monitor regional and school effort</w:t>
      </w:r>
      <w:r>
        <w:rPr>
          <w:lang w:eastAsia="en-AU"/>
        </w:rPr>
        <w:t>s that address low attendance and</w:t>
      </w:r>
      <w:r w:rsidRPr="00515F3A">
        <w:rPr>
          <w:lang w:eastAsia="en-AU"/>
        </w:rPr>
        <w:t xml:space="preserve"> non-attendance</w:t>
      </w:r>
      <w:r>
        <w:rPr>
          <w:lang w:eastAsia="en-AU"/>
        </w:rPr>
        <w:t>,</w:t>
      </w:r>
      <w:r w:rsidRPr="00515F3A">
        <w:rPr>
          <w:lang w:eastAsia="en-AU"/>
        </w:rPr>
        <w:t xml:space="preserve"> including the effectiveness of </w:t>
      </w:r>
      <w:r>
        <w:rPr>
          <w:lang w:eastAsia="en-AU"/>
        </w:rPr>
        <w:t xml:space="preserve">school-level strategies and </w:t>
      </w:r>
      <w:r w:rsidRPr="00515F3A">
        <w:rPr>
          <w:lang w:eastAsia="en-AU"/>
        </w:rPr>
        <w:t xml:space="preserve">processes in reducing </w:t>
      </w:r>
      <w:proofErr w:type="gramStart"/>
      <w:r w:rsidRPr="00515F3A">
        <w:rPr>
          <w:lang w:eastAsia="en-AU"/>
        </w:rPr>
        <w:t>absenteeism</w:t>
      </w:r>
      <w:proofErr w:type="gramEnd"/>
    </w:p>
    <w:p w14:paraId="7D8B063C" w14:textId="77777777" w:rsidR="007C0429" w:rsidRPr="00515F3A" w:rsidRDefault="007C0429" w:rsidP="007C0429">
      <w:pPr>
        <w:pStyle w:val="ListParagraph"/>
        <w:numPr>
          <w:ilvl w:val="0"/>
          <w:numId w:val="30"/>
        </w:numPr>
        <w:rPr>
          <w:lang w:eastAsia="en-AU"/>
        </w:rPr>
      </w:pPr>
      <w:r>
        <w:rPr>
          <w:lang w:eastAsia="en-AU"/>
        </w:rPr>
        <w:t xml:space="preserve">ensure principals have exhausted all school-level strategies to resolve attendance issues before referring the case to an authorised </w:t>
      </w:r>
      <w:proofErr w:type="gramStart"/>
      <w:r>
        <w:rPr>
          <w:lang w:eastAsia="en-AU"/>
        </w:rPr>
        <w:t>person</w:t>
      </w:r>
      <w:proofErr w:type="gramEnd"/>
    </w:p>
    <w:p w14:paraId="29C9E146" w14:textId="6A2CE2B2" w:rsidR="007C0429" w:rsidRDefault="007C0429" w:rsidP="007C0429">
      <w:pPr>
        <w:pStyle w:val="ListParagraph"/>
        <w:numPr>
          <w:ilvl w:val="0"/>
          <w:numId w:val="30"/>
        </w:numPr>
        <w:rPr>
          <w:lang w:eastAsia="en-AU"/>
        </w:rPr>
      </w:pPr>
      <w:r w:rsidRPr="00515F3A">
        <w:rPr>
          <w:lang w:eastAsia="en-AU"/>
        </w:rPr>
        <w:t>work with schools where attendance or engagement issues have been identified with the support of Student Engagement</w:t>
      </w:r>
      <w:r>
        <w:rPr>
          <w:lang w:eastAsia="en-AU"/>
        </w:rPr>
        <w:t xml:space="preserve"> Programs and Services</w:t>
      </w:r>
    </w:p>
    <w:p w14:paraId="3D3232C3" w14:textId="5701B003" w:rsidR="00372C9D" w:rsidRPr="00372C9D" w:rsidRDefault="000962E0" w:rsidP="00F968A5">
      <w:pPr>
        <w:pStyle w:val="ListParagraph"/>
        <w:numPr>
          <w:ilvl w:val="0"/>
          <w:numId w:val="31"/>
        </w:numPr>
        <w:rPr>
          <w:lang w:eastAsia="en-AU"/>
        </w:rPr>
      </w:pPr>
      <w:r>
        <w:rPr>
          <w:lang w:eastAsia="en-AU"/>
        </w:rPr>
        <w:t>as the vetting entity, consider enrolment applications from prospective mature age students</w:t>
      </w:r>
      <w:r w:rsidR="00F968A5">
        <w:rPr>
          <w:lang w:eastAsia="en-AU"/>
        </w:rPr>
        <w:t xml:space="preserve"> as per </w:t>
      </w:r>
      <w:r w:rsidR="000845A2" w:rsidRPr="005A310E">
        <w:t>Mature age student enrolment procedures</w:t>
      </w:r>
      <w:r w:rsidR="00F968A5">
        <w:rPr>
          <w:lang w:eastAsia="en-AU"/>
        </w:rPr>
        <w:t>.</w:t>
      </w:r>
    </w:p>
    <w:p w14:paraId="47088F62" w14:textId="60D88251" w:rsidR="00372C9D" w:rsidRDefault="00372C9D" w:rsidP="00372C9D">
      <w:pPr>
        <w:pStyle w:val="Heading3"/>
      </w:pPr>
      <w:r w:rsidRPr="00372C9D">
        <w:t>Student Engagement Programs and Services</w:t>
      </w:r>
    </w:p>
    <w:p w14:paraId="6D0C5A8E" w14:textId="694691CB" w:rsidR="008F42C3" w:rsidRPr="008F42C3" w:rsidRDefault="008F42C3" w:rsidP="008F42C3">
      <w:r w:rsidRPr="00372C9D">
        <w:t>Student Engagement Programs and Services</w:t>
      </w:r>
      <w:r>
        <w:t xml:space="preserve"> will:</w:t>
      </w:r>
    </w:p>
    <w:p w14:paraId="0F151285" w14:textId="7C0D1C72" w:rsidR="003E4CF5" w:rsidRDefault="00AC768C" w:rsidP="00AC768C">
      <w:pPr>
        <w:pStyle w:val="ListParagraph"/>
        <w:numPr>
          <w:ilvl w:val="0"/>
          <w:numId w:val="30"/>
        </w:numPr>
      </w:pPr>
      <w:r>
        <w:rPr>
          <w:lang w:eastAsia="en-AU"/>
        </w:rPr>
        <w:t xml:space="preserve">provide advice to principals and school staff regarding the appropriate use of attendance codes in the department’s mandated student administration </w:t>
      </w:r>
      <w:proofErr w:type="gramStart"/>
      <w:r>
        <w:rPr>
          <w:lang w:eastAsia="en-AU"/>
        </w:rPr>
        <w:t>system</w:t>
      </w:r>
      <w:proofErr w:type="gramEnd"/>
    </w:p>
    <w:p w14:paraId="54D2958E" w14:textId="2CEC7EA6" w:rsidR="00A50B2A" w:rsidRDefault="00A50B2A" w:rsidP="00A50B2A">
      <w:pPr>
        <w:pStyle w:val="ListParagraph"/>
        <w:numPr>
          <w:ilvl w:val="0"/>
          <w:numId w:val="30"/>
        </w:numPr>
        <w:rPr>
          <w:lang w:eastAsia="en-AU"/>
        </w:rPr>
      </w:pPr>
      <w:r w:rsidRPr="00515F3A">
        <w:rPr>
          <w:lang w:eastAsia="en-AU"/>
        </w:rPr>
        <w:t xml:space="preserve">work in partnership with schools, </w:t>
      </w:r>
      <w:r>
        <w:rPr>
          <w:lang w:eastAsia="en-AU"/>
        </w:rPr>
        <w:t>children and young people,</w:t>
      </w:r>
      <w:r w:rsidRPr="00515F3A">
        <w:rPr>
          <w:lang w:eastAsia="en-AU"/>
        </w:rPr>
        <w:t xml:space="preserve"> and </w:t>
      </w:r>
      <w:r>
        <w:rPr>
          <w:lang w:eastAsia="en-AU"/>
        </w:rPr>
        <w:t xml:space="preserve">their </w:t>
      </w:r>
      <w:r w:rsidRPr="00515F3A">
        <w:rPr>
          <w:lang w:eastAsia="en-AU"/>
        </w:rPr>
        <w:t xml:space="preserve">families on attendance </w:t>
      </w:r>
      <w:r w:rsidR="004041C2">
        <w:rPr>
          <w:lang w:eastAsia="en-AU"/>
        </w:rPr>
        <w:t>barriers</w:t>
      </w:r>
      <w:r w:rsidRPr="00515F3A">
        <w:rPr>
          <w:lang w:eastAsia="en-AU"/>
        </w:rPr>
        <w:t xml:space="preserve">, including </w:t>
      </w:r>
      <w:r>
        <w:rPr>
          <w:lang w:eastAsia="en-AU"/>
        </w:rPr>
        <w:t>developing strategies to promote re-</w:t>
      </w:r>
      <w:proofErr w:type="gramStart"/>
      <w:r>
        <w:rPr>
          <w:lang w:eastAsia="en-AU"/>
        </w:rPr>
        <w:t>engagement</w:t>
      </w:r>
      <w:proofErr w:type="gramEnd"/>
    </w:p>
    <w:p w14:paraId="722D19E5" w14:textId="30D46215" w:rsidR="00A50B2A" w:rsidRDefault="00A50B2A" w:rsidP="00A50B2A">
      <w:pPr>
        <w:pStyle w:val="ListParagraph"/>
        <w:numPr>
          <w:ilvl w:val="0"/>
          <w:numId w:val="30"/>
        </w:numPr>
        <w:rPr>
          <w:lang w:eastAsia="en-AU"/>
        </w:rPr>
      </w:pPr>
      <w:r>
        <w:rPr>
          <w:lang w:eastAsia="en-AU"/>
        </w:rPr>
        <w:t xml:space="preserve">manage authorised </w:t>
      </w:r>
      <w:proofErr w:type="gramStart"/>
      <w:r>
        <w:rPr>
          <w:lang w:eastAsia="en-AU"/>
        </w:rPr>
        <w:t>persons</w:t>
      </w:r>
      <w:proofErr w:type="gramEnd"/>
    </w:p>
    <w:p w14:paraId="4FB300C1" w14:textId="6EDC9EC9" w:rsidR="00254D46" w:rsidRDefault="00A50B2A" w:rsidP="003E4CF5">
      <w:pPr>
        <w:pStyle w:val="ListParagraph"/>
        <w:numPr>
          <w:ilvl w:val="0"/>
          <w:numId w:val="30"/>
        </w:numPr>
        <w:rPr>
          <w:lang w:eastAsia="en-AU"/>
        </w:rPr>
      </w:pPr>
      <w:r w:rsidRPr="00E46318">
        <w:rPr>
          <w:lang w:eastAsia="en-AU"/>
        </w:rPr>
        <w:t>collate and report on</w:t>
      </w:r>
      <w:r>
        <w:rPr>
          <w:lang w:eastAsia="en-AU"/>
        </w:rPr>
        <w:t xml:space="preserve"> </w:t>
      </w:r>
      <w:r w:rsidRPr="00E46318">
        <w:rPr>
          <w:lang w:eastAsia="en-AU"/>
        </w:rPr>
        <w:t>attendance data</w:t>
      </w:r>
      <w:r>
        <w:rPr>
          <w:lang w:eastAsia="en-AU"/>
        </w:rPr>
        <w:t xml:space="preserve"> of NT Government schools</w:t>
      </w:r>
      <w:r w:rsidR="001376F7">
        <w:rPr>
          <w:lang w:eastAsia="en-AU"/>
        </w:rPr>
        <w:t>.</w:t>
      </w:r>
    </w:p>
    <w:p w14:paraId="7971944E" w14:textId="63041079" w:rsidR="00254D46" w:rsidRDefault="00254D46" w:rsidP="00254D46">
      <w:pPr>
        <w:pStyle w:val="Heading3"/>
      </w:pPr>
      <w:r>
        <w:t xml:space="preserve">Authorised </w:t>
      </w:r>
      <w:proofErr w:type="gramStart"/>
      <w:r>
        <w:t>persons</w:t>
      </w:r>
      <w:proofErr w:type="gramEnd"/>
    </w:p>
    <w:p w14:paraId="2DF8D4A4" w14:textId="0B952F3B" w:rsidR="008F42C3" w:rsidRPr="008F42C3" w:rsidRDefault="008F42C3" w:rsidP="008F42C3">
      <w:r>
        <w:t>Authorised persons will:</w:t>
      </w:r>
    </w:p>
    <w:p w14:paraId="5FB5CDD0" w14:textId="29976ACF" w:rsidR="007C0429" w:rsidRDefault="007C0429" w:rsidP="007C0429">
      <w:pPr>
        <w:pStyle w:val="ListParagraph"/>
        <w:numPr>
          <w:ilvl w:val="0"/>
          <w:numId w:val="36"/>
        </w:numPr>
        <w:rPr>
          <w:lang w:eastAsia="en-AU"/>
        </w:rPr>
      </w:pPr>
      <w:r>
        <w:rPr>
          <w:lang w:eastAsia="en-AU"/>
        </w:rPr>
        <w:t>work with identified students, generally those who demonstrate low attendance and non-attendance, their families, schools and community members to improve attendance, including using enforcement powers</w:t>
      </w:r>
      <w:r w:rsidR="00F968A5">
        <w:rPr>
          <w:lang w:eastAsia="en-AU"/>
        </w:rPr>
        <w:t xml:space="preserve"> as per </w:t>
      </w:r>
      <w:bookmarkStart w:id="11" w:name="_Hlk126066408"/>
      <w:r w:rsidR="000845A2" w:rsidRPr="005A310E">
        <w:t xml:space="preserve">Enrolment and attendance enforcement </w:t>
      </w:r>
      <w:proofErr w:type="gramStart"/>
      <w:r w:rsidR="000845A2" w:rsidRPr="005A310E">
        <w:t>procedures</w:t>
      </w:r>
      <w:proofErr w:type="gramEnd"/>
    </w:p>
    <w:bookmarkEnd w:id="11"/>
    <w:p w14:paraId="24E77D11" w14:textId="363C9BB1" w:rsidR="007C0429" w:rsidRPr="007C0429" w:rsidRDefault="007C0429" w:rsidP="007C0429">
      <w:pPr>
        <w:pStyle w:val="ListParagraph"/>
        <w:numPr>
          <w:ilvl w:val="0"/>
          <w:numId w:val="36"/>
        </w:numPr>
        <w:rPr>
          <w:lang w:eastAsia="en-AU"/>
        </w:rPr>
      </w:pPr>
      <w:r w:rsidRPr="00980A9C">
        <w:rPr>
          <w:lang w:eastAsia="en-AU"/>
        </w:rPr>
        <w:lastRenderedPageBreak/>
        <w:t xml:space="preserve">work with schools to </w:t>
      </w:r>
      <w:r>
        <w:rPr>
          <w:lang w:eastAsia="en-AU"/>
        </w:rPr>
        <w:t>support</w:t>
      </w:r>
      <w:r w:rsidRPr="00980A9C">
        <w:rPr>
          <w:lang w:eastAsia="en-AU"/>
        </w:rPr>
        <w:t xml:space="preserve"> </w:t>
      </w:r>
      <w:r>
        <w:rPr>
          <w:lang w:eastAsia="en-AU"/>
        </w:rPr>
        <w:t>student transition between years of schooling</w:t>
      </w:r>
      <w:r w:rsidR="001376F7">
        <w:rPr>
          <w:lang w:eastAsia="en-AU"/>
        </w:rPr>
        <w:t>.</w:t>
      </w:r>
    </w:p>
    <w:p w14:paraId="240B420A" w14:textId="7541AF97" w:rsidR="003E4CF5" w:rsidRDefault="003E4CF5" w:rsidP="003E4CF5">
      <w:pPr>
        <w:pStyle w:val="Heading3"/>
      </w:pPr>
      <w:r>
        <w:t>Quality Standards and Regulation</w:t>
      </w:r>
    </w:p>
    <w:p w14:paraId="73FA26CB" w14:textId="1404987F" w:rsidR="008F42C3" w:rsidRPr="008F42C3" w:rsidRDefault="008F42C3" w:rsidP="008F42C3">
      <w:r>
        <w:t>Quality Standards and Regulation will:</w:t>
      </w:r>
    </w:p>
    <w:p w14:paraId="012D090B" w14:textId="349BDCBE" w:rsidR="00254D46" w:rsidRDefault="00254D46" w:rsidP="00254D46">
      <w:pPr>
        <w:pStyle w:val="ListParagraph"/>
        <w:numPr>
          <w:ilvl w:val="0"/>
          <w:numId w:val="28"/>
        </w:numPr>
      </w:pPr>
      <w:r>
        <w:t xml:space="preserve">develop </w:t>
      </w:r>
      <w:r w:rsidR="00252ACF">
        <w:t xml:space="preserve">and review </w:t>
      </w:r>
      <w:r>
        <w:t xml:space="preserve">policies and resources relating to eligible options and manage their </w:t>
      </w:r>
      <w:proofErr w:type="gramStart"/>
      <w:r>
        <w:t>implementation</w:t>
      </w:r>
      <w:proofErr w:type="gramEnd"/>
    </w:p>
    <w:p w14:paraId="1C11286C" w14:textId="6244A2E3" w:rsidR="003E4CF5" w:rsidRDefault="00254D46" w:rsidP="00372C9D">
      <w:pPr>
        <w:pStyle w:val="ListParagraph"/>
        <w:numPr>
          <w:ilvl w:val="0"/>
          <w:numId w:val="28"/>
        </w:numPr>
      </w:pPr>
      <w:r>
        <w:t xml:space="preserve">implement prosecution actions to re-engage students in education and </w:t>
      </w:r>
      <w:r w:rsidR="009E7EB3">
        <w:t xml:space="preserve">to </w:t>
      </w:r>
      <w:r>
        <w:t>deter future offending.</w:t>
      </w:r>
    </w:p>
    <w:p w14:paraId="335BF535" w14:textId="0F5B0693" w:rsidR="00372C9D" w:rsidRDefault="00372C9D" w:rsidP="00372C9D">
      <w:pPr>
        <w:pStyle w:val="Heading3"/>
      </w:pPr>
      <w:r>
        <w:t>Early Years and Primary</w:t>
      </w:r>
    </w:p>
    <w:p w14:paraId="3217DEFD" w14:textId="3A5417CE" w:rsidR="008F42C3" w:rsidRPr="008F42C3" w:rsidRDefault="008F42C3" w:rsidP="008F42C3">
      <w:r>
        <w:t>Early Years and Primary will:</w:t>
      </w:r>
    </w:p>
    <w:p w14:paraId="5A4998B2" w14:textId="3B8DB244" w:rsidR="00A35CD3" w:rsidRDefault="00A35CD3" w:rsidP="00A35CD3">
      <w:pPr>
        <w:pStyle w:val="ListParagraph"/>
        <w:numPr>
          <w:ilvl w:val="0"/>
          <w:numId w:val="38"/>
        </w:numPr>
      </w:pPr>
      <w:r>
        <w:t xml:space="preserve">develop </w:t>
      </w:r>
      <w:r w:rsidR="00252ACF">
        <w:t xml:space="preserve">and review </w:t>
      </w:r>
      <w:r>
        <w:t xml:space="preserve">policies and resources relating to </w:t>
      </w:r>
      <w:r w:rsidR="00252ACF">
        <w:t xml:space="preserve">early childhood, preschool and transitioning to </w:t>
      </w:r>
      <w:proofErr w:type="gramStart"/>
      <w:r w:rsidR="00252ACF">
        <w:t>school</w:t>
      </w:r>
      <w:proofErr w:type="gramEnd"/>
    </w:p>
    <w:p w14:paraId="51609D33" w14:textId="15A53CFF" w:rsidR="00A35CD3" w:rsidRPr="00A35CD3" w:rsidRDefault="00063FC1" w:rsidP="00A35CD3">
      <w:pPr>
        <w:pStyle w:val="ListParagraph"/>
        <w:numPr>
          <w:ilvl w:val="0"/>
          <w:numId w:val="38"/>
        </w:numPr>
      </w:pPr>
      <w:r>
        <w:t>manage the delivery of early learning programs such as the Families as First Teachers.</w:t>
      </w:r>
    </w:p>
    <w:p w14:paraId="414CC1D2" w14:textId="093C3D8A" w:rsidR="00372C9D" w:rsidRDefault="004D7160" w:rsidP="004D7160">
      <w:pPr>
        <w:pStyle w:val="Heading1"/>
        <w:rPr>
          <w:lang w:eastAsia="en-AU"/>
        </w:rPr>
      </w:pPr>
      <w:bookmarkStart w:id="12" w:name="_Hlk129083737"/>
      <w:r>
        <w:rPr>
          <w:lang w:eastAsia="en-AU"/>
        </w:rPr>
        <w:t>Related legislation and policy</w:t>
      </w:r>
    </w:p>
    <w:p w14:paraId="67118284" w14:textId="1996001B" w:rsidR="004D7160" w:rsidRPr="00526520" w:rsidRDefault="00526520" w:rsidP="004D7160">
      <w:pPr>
        <w:rPr>
          <w:rFonts w:asciiTheme="majorHAnsi" w:hAnsiTheme="majorHAnsi"/>
          <w:color w:val="4D4D4D"/>
          <w:sz w:val="28"/>
          <w:szCs w:val="28"/>
          <w:lang w:eastAsia="en-AU"/>
        </w:rPr>
      </w:pPr>
      <w:r w:rsidRPr="00526520">
        <w:rPr>
          <w:rFonts w:asciiTheme="majorHAnsi" w:hAnsiTheme="majorHAnsi"/>
          <w:color w:val="4D4D4D"/>
          <w:sz w:val="28"/>
          <w:szCs w:val="28"/>
          <w:lang w:eastAsia="en-AU"/>
        </w:rPr>
        <w:t>Legislation</w:t>
      </w:r>
    </w:p>
    <w:p w14:paraId="43F386AC" w14:textId="261FE01C" w:rsidR="00526520" w:rsidRPr="005711E2" w:rsidRDefault="00526520" w:rsidP="00864711">
      <w:pPr>
        <w:pStyle w:val="ListParagraph"/>
        <w:numPr>
          <w:ilvl w:val="0"/>
          <w:numId w:val="41"/>
        </w:numPr>
        <w:rPr>
          <w:rFonts w:cs="Arial"/>
        </w:rPr>
      </w:pPr>
      <w:r w:rsidRPr="005711E2">
        <w:rPr>
          <w:rFonts w:cs="Arial"/>
          <w:i/>
        </w:rPr>
        <w:t xml:space="preserve">Care and Protection of Children Act 2007 –  </w:t>
      </w:r>
      <w:hyperlink r:id="rId12" w:history="1">
        <w:r w:rsidRPr="005711E2">
          <w:rPr>
            <w:rStyle w:val="Hyperlink"/>
            <w:rFonts w:cs="Arial"/>
          </w:rPr>
          <w:t>https://legislation.nt.gov.au/en/Legislation/CARE-AND-PROTECTION-OF-CHILDREN-ACT-2007</w:t>
        </w:r>
      </w:hyperlink>
      <w:r w:rsidRPr="005711E2">
        <w:rPr>
          <w:rFonts w:cs="Arial"/>
        </w:rPr>
        <w:t xml:space="preserve"> </w:t>
      </w:r>
    </w:p>
    <w:p w14:paraId="463A3541" w14:textId="4252DC07" w:rsidR="00526520" w:rsidRPr="005711E2" w:rsidRDefault="00526520" w:rsidP="00864711">
      <w:pPr>
        <w:pStyle w:val="ListParagraph"/>
        <w:numPr>
          <w:ilvl w:val="0"/>
          <w:numId w:val="41"/>
        </w:numPr>
        <w:rPr>
          <w:rFonts w:cs="Arial"/>
        </w:rPr>
      </w:pPr>
      <w:r w:rsidRPr="005711E2">
        <w:rPr>
          <w:rFonts w:cs="Arial"/>
          <w:i/>
        </w:rPr>
        <w:t xml:space="preserve">Domestic and Family Violence Act 2007 – </w:t>
      </w:r>
      <w:hyperlink r:id="rId13" w:history="1">
        <w:r w:rsidRPr="005711E2">
          <w:rPr>
            <w:rStyle w:val="Hyperlink"/>
            <w:rFonts w:cs="Arial"/>
          </w:rPr>
          <w:t>https://legislation.nt.gov.au/en/Legislation/DOMESTIC-AND-FAMILY-VIOLENCE-ACT-2007</w:t>
        </w:r>
      </w:hyperlink>
      <w:r w:rsidRPr="005711E2">
        <w:rPr>
          <w:rFonts w:cs="Arial"/>
        </w:rPr>
        <w:t xml:space="preserve"> </w:t>
      </w:r>
    </w:p>
    <w:p w14:paraId="4FECEFE1" w14:textId="54B9C7D7" w:rsidR="00526520" w:rsidRPr="005711E2" w:rsidRDefault="00526520" w:rsidP="00864711">
      <w:pPr>
        <w:pStyle w:val="ListParagraph"/>
        <w:numPr>
          <w:ilvl w:val="0"/>
          <w:numId w:val="41"/>
        </w:numPr>
        <w:rPr>
          <w:rFonts w:cstheme="minorBidi"/>
        </w:rPr>
      </w:pPr>
      <w:r w:rsidRPr="005711E2">
        <w:rPr>
          <w:i/>
        </w:rPr>
        <w:t>Education</w:t>
      </w:r>
      <w:hyperlink r:id="rId14">
        <w:r w:rsidRPr="005711E2">
          <w:rPr>
            <w:i/>
          </w:rPr>
          <w:t xml:space="preserve"> </w:t>
        </w:r>
      </w:hyperlink>
      <w:hyperlink r:id="rId15">
        <w:r w:rsidRPr="005711E2">
          <w:rPr>
            <w:i/>
          </w:rPr>
          <w:t>Act</w:t>
        </w:r>
      </w:hyperlink>
      <w:r w:rsidRPr="005711E2">
        <w:rPr>
          <w:i/>
        </w:rPr>
        <w:t xml:space="preserve"> 2015</w:t>
      </w:r>
      <w:hyperlink r:id="rId16">
        <w:r w:rsidRPr="002D62BE">
          <w:t xml:space="preserve"> </w:t>
        </w:r>
      </w:hyperlink>
      <w:r w:rsidRPr="005711E2">
        <w:rPr>
          <w:rFonts w:cs="Arial"/>
          <w:i/>
        </w:rPr>
        <w:t xml:space="preserve">– </w:t>
      </w:r>
      <w:hyperlink r:id="rId17" w:history="1">
        <w:r w:rsidRPr="005711E2">
          <w:rPr>
            <w:rStyle w:val="Hyperlink"/>
            <w:rFonts w:cs="Arial"/>
          </w:rPr>
          <w:t>https://legislation.nt.gov.au/Legislation/EDUCATION-ACT-2015</w:t>
        </w:r>
      </w:hyperlink>
      <w:r w:rsidRPr="005711E2">
        <w:rPr>
          <w:rFonts w:cs="Arial"/>
        </w:rPr>
        <w:t xml:space="preserve"> </w:t>
      </w:r>
    </w:p>
    <w:p w14:paraId="4FBB6361" w14:textId="0980D8C5" w:rsidR="00526520" w:rsidRPr="005711E2" w:rsidRDefault="00526520" w:rsidP="00864711">
      <w:pPr>
        <w:pStyle w:val="ListParagraph"/>
        <w:numPr>
          <w:ilvl w:val="0"/>
          <w:numId w:val="41"/>
        </w:numPr>
        <w:rPr>
          <w:rFonts w:cs="Arial"/>
        </w:rPr>
      </w:pPr>
      <w:r w:rsidRPr="005711E2">
        <w:rPr>
          <w:rFonts w:cs="Arial"/>
          <w:i/>
        </w:rPr>
        <w:t xml:space="preserve">Financial Management Act 1995 – </w:t>
      </w:r>
      <w:hyperlink r:id="rId18" w:history="1">
        <w:r w:rsidRPr="005711E2">
          <w:rPr>
            <w:rStyle w:val="Hyperlink"/>
            <w:rFonts w:cs="Arial"/>
          </w:rPr>
          <w:t>https://legislation.nt.gov.au/en/Legislation/FINANCIAL-MANAGEMENT-ACT-1995</w:t>
        </w:r>
      </w:hyperlink>
      <w:r w:rsidRPr="005711E2">
        <w:rPr>
          <w:rFonts w:cs="Arial"/>
        </w:rPr>
        <w:t xml:space="preserve"> </w:t>
      </w:r>
    </w:p>
    <w:p w14:paraId="62E05581" w14:textId="45775F46" w:rsidR="00526520" w:rsidRPr="005711E2" w:rsidRDefault="00526520" w:rsidP="00864711">
      <w:pPr>
        <w:pStyle w:val="ListParagraph"/>
        <w:numPr>
          <w:ilvl w:val="0"/>
          <w:numId w:val="41"/>
        </w:numPr>
        <w:rPr>
          <w:rFonts w:cs="Arial"/>
        </w:rPr>
      </w:pPr>
      <w:r w:rsidRPr="005711E2">
        <w:rPr>
          <w:rFonts w:cs="Arial"/>
          <w:i/>
        </w:rPr>
        <w:t xml:space="preserve">Information Act 2002 – </w:t>
      </w:r>
      <w:hyperlink r:id="rId19" w:history="1">
        <w:r w:rsidRPr="005711E2">
          <w:rPr>
            <w:rStyle w:val="Hyperlink"/>
            <w:rFonts w:cs="Arial"/>
          </w:rPr>
          <w:t>https://legislation.nt.gov.au/en/Legislation/INFORMATION-ACT-2002</w:t>
        </w:r>
      </w:hyperlink>
      <w:r w:rsidRPr="005711E2">
        <w:rPr>
          <w:rFonts w:cs="Arial"/>
        </w:rPr>
        <w:t xml:space="preserve"> </w:t>
      </w:r>
    </w:p>
    <w:p w14:paraId="533D2AD3" w14:textId="105E8219" w:rsidR="00526520" w:rsidRDefault="00526520" w:rsidP="00864711">
      <w:pPr>
        <w:pStyle w:val="ListParagraph"/>
        <w:numPr>
          <w:ilvl w:val="0"/>
          <w:numId w:val="41"/>
        </w:numPr>
        <w:ind w:left="714" w:hanging="357"/>
        <w:rPr>
          <w:rFonts w:cs="Arial"/>
        </w:rPr>
      </w:pPr>
      <w:r w:rsidRPr="005711E2">
        <w:rPr>
          <w:rFonts w:cs="Arial"/>
          <w:i/>
        </w:rPr>
        <w:t>Public Sector Employment Management Act</w:t>
      </w:r>
      <w:r w:rsidRPr="005711E2">
        <w:rPr>
          <w:rFonts w:cs="Arial"/>
        </w:rPr>
        <w:t xml:space="preserve"> </w:t>
      </w:r>
      <w:r w:rsidRPr="005711E2">
        <w:rPr>
          <w:rFonts w:cs="Arial"/>
          <w:i/>
        </w:rPr>
        <w:t xml:space="preserve">1993 – </w:t>
      </w:r>
      <w:hyperlink r:id="rId20" w:history="1">
        <w:r w:rsidRPr="005711E2">
          <w:rPr>
            <w:rStyle w:val="Hyperlink"/>
            <w:rFonts w:cs="Arial"/>
          </w:rPr>
          <w:t>https://legislation.nt.gov.au/Legislation/PUBLIC-SECTOR-EMPLOYMENT-AND-MANAGEMENT-ACT-1993</w:t>
        </w:r>
      </w:hyperlink>
      <w:r w:rsidRPr="005711E2">
        <w:rPr>
          <w:rFonts w:cs="Arial"/>
        </w:rPr>
        <w:t xml:space="preserve"> </w:t>
      </w:r>
    </w:p>
    <w:p w14:paraId="062375C6" w14:textId="1AE2E612" w:rsidR="00DE45FC" w:rsidRPr="00DE45FC" w:rsidRDefault="00DE45FC" w:rsidP="00864711">
      <w:pPr>
        <w:pStyle w:val="ListParagraph"/>
        <w:numPr>
          <w:ilvl w:val="0"/>
          <w:numId w:val="41"/>
        </w:numPr>
        <w:rPr>
          <w:lang w:val="en-US"/>
        </w:rPr>
      </w:pPr>
      <w:r w:rsidRPr="00F05C77">
        <w:rPr>
          <w:i/>
        </w:rPr>
        <w:t>Education and Care Services (National Uniform Legislation) Act 2011</w:t>
      </w:r>
      <w:r w:rsidRPr="00DE45FC">
        <w:rPr>
          <w:lang w:val="en-US"/>
        </w:rPr>
        <w:t xml:space="preserve">, which adopts the </w:t>
      </w:r>
      <w:r w:rsidRPr="00DE45FC">
        <w:rPr>
          <w:i/>
          <w:lang w:val="en-US"/>
        </w:rPr>
        <w:t>Education and Care Services National Law Act 2011</w:t>
      </w:r>
      <w:r w:rsidRPr="00DE45FC">
        <w:rPr>
          <w:lang w:val="en-US"/>
        </w:rPr>
        <w:t xml:space="preserve"> in the NT</w:t>
      </w:r>
      <w:r>
        <w:rPr>
          <w:lang w:val="en-US"/>
        </w:rPr>
        <w:t xml:space="preserve"> </w:t>
      </w:r>
      <w:r w:rsidR="007C64B2" w:rsidRPr="005711E2">
        <w:rPr>
          <w:rFonts w:cs="Arial"/>
          <w:i/>
        </w:rPr>
        <w:t>–</w:t>
      </w:r>
      <w:hyperlink r:id="rId21" w:history="1">
        <w:r w:rsidRPr="00DE45FC">
          <w:rPr>
            <w:rStyle w:val="Hyperlink"/>
            <w:lang w:val="en-US"/>
          </w:rPr>
          <w:t>https://legislation.nt.gov.au/en/Legislation/EDUCATION-AND-CARE-SERVICES-NATIONAL-UNIFORM-LEGISLATION-ACT-2011</w:t>
        </w:r>
      </w:hyperlink>
    </w:p>
    <w:p w14:paraId="14B1B284" w14:textId="023DFC15" w:rsidR="00DE45FC" w:rsidRPr="005711E2" w:rsidRDefault="00DE45FC" w:rsidP="00864711">
      <w:pPr>
        <w:pStyle w:val="ListParagraph"/>
        <w:numPr>
          <w:ilvl w:val="0"/>
          <w:numId w:val="41"/>
        </w:numPr>
        <w:rPr>
          <w:rFonts w:cs="Arial"/>
        </w:rPr>
      </w:pPr>
      <w:r w:rsidRPr="00F05C77">
        <w:t>Education and Care Services National Regulations</w:t>
      </w:r>
      <w:r w:rsidR="007C64B2">
        <w:t xml:space="preserve"> </w:t>
      </w:r>
      <w:r w:rsidR="007C64B2" w:rsidRPr="005711E2">
        <w:rPr>
          <w:rFonts w:cs="Arial"/>
          <w:i/>
        </w:rPr>
        <w:t>–</w:t>
      </w:r>
      <w:hyperlink r:id="rId22" w:history="1">
        <w:r w:rsidRPr="00DE45FC">
          <w:rPr>
            <w:rStyle w:val="Hyperlink"/>
            <w:rFonts w:cs="Arial"/>
            <w:bCs/>
            <w:lang w:val="en-US"/>
          </w:rPr>
          <w:t>http://www.legislation.nsw.gov.au/#/view/regulation/2011/653</w:t>
        </w:r>
      </w:hyperlink>
    </w:p>
    <w:p w14:paraId="60456B53" w14:textId="1E8A4D7C" w:rsidR="00671E98" w:rsidRDefault="00DE45FC" w:rsidP="00D6289F">
      <w:pPr>
        <w:spacing w:before="200"/>
        <w:rPr>
          <w:rFonts w:asciiTheme="majorHAnsi" w:hAnsiTheme="majorHAnsi"/>
          <w:color w:val="4D4D4D"/>
          <w:sz w:val="28"/>
          <w:szCs w:val="28"/>
          <w:lang w:eastAsia="en-AU"/>
        </w:rPr>
      </w:pPr>
      <w:r>
        <w:rPr>
          <w:rFonts w:asciiTheme="majorHAnsi" w:hAnsiTheme="majorHAnsi"/>
          <w:color w:val="4D4D4D"/>
          <w:sz w:val="28"/>
          <w:szCs w:val="28"/>
          <w:lang w:eastAsia="en-AU"/>
        </w:rPr>
        <w:t>Department of Education policies and p</w:t>
      </w:r>
      <w:r w:rsidR="00671E98">
        <w:rPr>
          <w:rFonts w:asciiTheme="majorHAnsi" w:hAnsiTheme="majorHAnsi"/>
          <w:color w:val="4D4D4D"/>
          <w:sz w:val="28"/>
          <w:szCs w:val="28"/>
          <w:lang w:eastAsia="en-AU"/>
        </w:rPr>
        <w:t>rocedures</w:t>
      </w:r>
    </w:p>
    <w:p w14:paraId="4215EEAA" w14:textId="58906AF9" w:rsidR="00671E98" w:rsidRPr="005A310E" w:rsidRDefault="00B91665" w:rsidP="00864711">
      <w:pPr>
        <w:pStyle w:val="ListParagraph"/>
        <w:numPr>
          <w:ilvl w:val="0"/>
          <w:numId w:val="42"/>
        </w:numPr>
        <w:rPr>
          <w:rFonts w:asciiTheme="minorHAnsi" w:hAnsiTheme="minorHAnsi"/>
          <w:lang w:eastAsia="en-AU"/>
        </w:rPr>
      </w:pPr>
      <w:r w:rsidRPr="005A310E">
        <w:rPr>
          <w:rFonts w:asciiTheme="minorHAnsi" w:hAnsiTheme="minorHAnsi"/>
          <w:lang w:eastAsia="en-AU"/>
        </w:rPr>
        <w:t xml:space="preserve">Attendance recording and reporting procedures – </w:t>
      </w:r>
      <w:hyperlink r:id="rId23" w:history="1">
        <w:r w:rsidRPr="00650905">
          <w:rPr>
            <w:rStyle w:val="Hyperlink"/>
            <w:rFonts w:asciiTheme="minorHAnsi" w:hAnsiTheme="minorHAnsi"/>
            <w:lang w:eastAsia="en-AU"/>
          </w:rPr>
          <w:t>https://education.nt.gov.au/policies/student-enrolment</w:t>
        </w:r>
      </w:hyperlink>
      <w:r w:rsidRPr="005A310E">
        <w:rPr>
          <w:rFonts w:asciiTheme="minorHAnsi" w:hAnsiTheme="minorHAnsi"/>
          <w:lang w:eastAsia="en-AU"/>
        </w:rPr>
        <w:t xml:space="preserve"> </w:t>
      </w:r>
    </w:p>
    <w:p w14:paraId="4CF70EB1" w14:textId="2021E0DD" w:rsidR="00B91665" w:rsidRPr="005A310E" w:rsidRDefault="00B91665" w:rsidP="00864711">
      <w:pPr>
        <w:pStyle w:val="ListParagraph"/>
        <w:numPr>
          <w:ilvl w:val="0"/>
          <w:numId w:val="42"/>
        </w:numPr>
        <w:rPr>
          <w:rFonts w:asciiTheme="minorHAnsi" w:hAnsiTheme="minorHAnsi"/>
          <w:lang w:eastAsia="en-AU"/>
        </w:rPr>
      </w:pPr>
      <w:r w:rsidRPr="005A310E">
        <w:rPr>
          <w:rFonts w:asciiTheme="minorHAnsi" w:hAnsiTheme="minorHAnsi"/>
          <w:lang w:eastAsia="en-AU"/>
        </w:rPr>
        <w:t xml:space="preserve">Distance education enrolment procedures – </w:t>
      </w:r>
      <w:hyperlink r:id="rId24" w:history="1">
        <w:r w:rsidRPr="00650905">
          <w:rPr>
            <w:rStyle w:val="Hyperlink"/>
            <w:rFonts w:asciiTheme="minorHAnsi" w:hAnsiTheme="minorHAnsi"/>
            <w:lang w:eastAsia="en-AU"/>
          </w:rPr>
          <w:t>https://education.nt.gov.au/policies/student-enrolment/enrolment</w:t>
        </w:r>
      </w:hyperlink>
      <w:r w:rsidRPr="005A310E">
        <w:rPr>
          <w:rFonts w:asciiTheme="minorHAnsi" w:hAnsiTheme="minorHAnsi"/>
          <w:lang w:eastAsia="en-AU"/>
        </w:rPr>
        <w:t xml:space="preserve"> </w:t>
      </w:r>
    </w:p>
    <w:p w14:paraId="3694022B" w14:textId="77777777" w:rsidR="00650905" w:rsidRPr="005A310E" w:rsidRDefault="00650905" w:rsidP="00864711">
      <w:pPr>
        <w:pStyle w:val="ListParagraph"/>
        <w:numPr>
          <w:ilvl w:val="0"/>
          <w:numId w:val="42"/>
        </w:numPr>
        <w:rPr>
          <w:rFonts w:asciiTheme="minorHAnsi" w:hAnsiTheme="minorHAnsi"/>
          <w:lang w:eastAsia="en-AU"/>
        </w:rPr>
      </w:pPr>
      <w:r w:rsidRPr="005A310E">
        <w:rPr>
          <w:rFonts w:asciiTheme="minorHAnsi" w:hAnsiTheme="minorHAnsi"/>
          <w:lang w:eastAsia="en-AU"/>
        </w:rPr>
        <w:t xml:space="preserve">Enrolment procedures – </w:t>
      </w:r>
      <w:hyperlink r:id="rId25" w:history="1">
        <w:r w:rsidRPr="00650905">
          <w:rPr>
            <w:rStyle w:val="Hyperlink"/>
            <w:rFonts w:asciiTheme="minorHAnsi" w:hAnsiTheme="minorHAnsi"/>
            <w:lang w:eastAsia="en-AU"/>
          </w:rPr>
          <w:t>https://education.nt.gov.au/policies/student-enrolment/enrolment</w:t>
        </w:r>
      </w:hyperlink>
      <w:r w:rsidRPr="005A310E">
        <w:rPr>
          <w:rFonts w:asciiTheme="minorHAnsi" w:hAnsiTheme="minorHAnsi"/>
          <w:lang w:eastAsia="en-AU"/>
        </w:rPr>
        <w:t xml:space="preserve"> </w:t>
      </w:r>
    </w:p>
    <w:p w14:paraId="117EBA57" w14:textId="663169CD" w:rsidR="00B91665" w:rsidRPr="005A310E" w:rsidRDefault="00B91665" w:rsidP="00864711">
      <w:pPr>
        <w:pStyle w:val="ListParagraph"/>
        <w:numPr>
          <w:ilvl w:val="0"/>
          <w:numId w:val="42"/>
        </w:numPr>
        <w:rPr>
          <w:rFonts w:asciiTheme="minorHAnsi" w:hAnsiTheme="minorHAnsi"/>
          <w:lang w:eastAsia="en-AU"/>
        </w:rPr>
      </w:pPr>
      <w:r w:rsidRPr="005A310E">
        <w:rPr>
          <w:rFonts w:asciiTheme="minorHAnsi" w:hAnsiTheme="minorHAnsi"/>
          <w:lang w:eastAsia="en-AU"/>
        </w:rPr>
        <w:lastRenderedPageBreak/>
        <w:t xml:space="preserve">Enrolment and attendance enforcement procedures – </w:t>
      </w:r>
      <w:hyperlink r:id="rId26" w:history="1">
        <w:r w:rsidRPr="00650905">
          <w:rPr>
            <w:rStyle w:val="Hyperlink"/>
            <w:rFonts w:asciiTheme="minorHAnsi" w:hAnsiTheme="minorHAnsi"/>
            <w:lang w:eastAsia="en-AU"/>
          </w:rPr>
          <w:t>https://education.nt.gov.au/policies/student-enrolment/enrolment</w:t>
        </w:r>
      </w:hyperlink>
      <w:r w:rsidRPr="005A310E">
        <w:rPr>
          <w:rFonts w:asciiTheme="minorHAnsi" w:hAnsiTheme="minorHAnsi"/>
          <w:lang w:eastAsia="en-AU"/>
        </w:rPr>
        <w:t xml:space="preserve"> </w:t>
      </w:r>
    </w:p>
    <w:p w14:paraId="1472DB93" w14:textId="290412D3" w:rsidR="00B91665" w:rsidRPr="005A310E" w:rsidRDefault="00B91665" w:rsidP="00864711">
      <w:pPr>
        <w:pStyle w:val="ListParagraph"/>
        <w:numPr>
          <w:ilvl w:val="0"/>
          <w:numId w:val="42"/>
        </w:numPr>
        <w:rPr>
          <w:rFonts w:asciiTheme="minorHAnsi" w:hAnsiTheme="minorHAnsi"/>
          <w:lang w:eastAsia="en-AU"/>
        </w:rPr>
      </w:pPr>
      <w:r w:rsidRPr="005A310E">
        <w:rPr>
          <w:rFonts w:asciiTheme="minorHAnsi" w:hAnsiTheme="minorHAnsi"/>
          <w:lang w:eastAsia="en-AU"/>
        </w:rPr>
        <w:t xml:space="preserve">Exemptions from attendance procedures – </w:t>
      </w:r>
      <w:hyperlink r:id="rId27" w:history="1">
        <w:r w:rsidRPr="00650905">
          <w:rPr>
            <w:rStyle w:val="Hyperlink"/>
            <w:rFonts w:asciiTheme="minorHAnsi" w:hAnsiTheme="minorHAnsi"/>
            <w:lang w:eastAsia="en-AU"/>
          </w:rPr>
          <w:t>https://education.nt.gov.au/policies/student-enrolment</w:t>
        </w:r>
      </w:hyperlink>
    </w:p>
    <w:p w14:paraId="24EEB420" w14:textId="70701978" w:rsidR="005B75CA" w:rsidRDefault="005B75CA" w:rsidP="00864711">
      <w:pPr>
        <w:pStyle w:val="ListParagraph"/>
        <w:numPr>
          <w:ilvl w:val="0"/>
          <w:numId w:val="42"/>
        </w:numPr>
        <w:rPr>
          <w:rFonts w:asciiTheme="minorHAnsi" w:hAnsiTheme="minorHAnsi"/>
          <w:lang w:eastAsia="en-AU"/>
        </w:rPr>
      </w:pPr>
      <w:r w:rsidRPr="00CE1329">
        <w:rPr>
          <w:rStyle w:val="cf01"/>
          <w:rFonts w:asciiTheme="minorHAnsi" w:hAnsiTheme="minorHAnsi"/>
          <w:sz w:val="22"/>
          <w:szCs w:val="22"/>
        </w:rPr>
        <w:t xml:space="preserve">International student enrolment procedures </w:t>
      </w:r>
      <w:r w:rsidRPr="00CE1329">
        <w:rPr>
          <w:rFonts w:asciiTheme="minorHAnsi" w:hAnsiTheme="minorHAnsi"/>
          <w:lang w:eastAsia="en-AU"/>
        </w:rPr>
        <w:t>–</w:t>
      </w:r>
      <w:r w:rsidR="002C6E6B">
        <w:rPr>
          <w:rFonts w:asciiTheme="minorHAnsi" w:hAnsiTheme="minorHAnsi"/>
          <w:lang w:eastAsia="en-AU"/>
        </w:rPr>
        <w:t xml:space="preserve"> </w:t>
      </w:r>
      <w:hyperlink r:id="rId28" w:history="1">
        <w:r w:rsidR="002C6E6B" w:rsidRPr="00D74EB9">
          <w:rPr>
            <w:rStyle w:val="Hyperlink"/>
            <w:rFonts w:asciiTheme="minorHAnsi" w:hAnsiTheme="minorHAnsi"/>
            <w:lang w:eastAsia="en-AU"/>
          </w:rPr>
          <w:t>https://nt.gov.au/learning/international-education/study-at-an-nt-government-school/how-to-enrol-at-a-government-school</w:t>
        </w:r>
      </w:hyperlink>
      <w:r w:rsidR="002C6E6B">
        <w:rPr>
          <w:rFonts w:asciiTheme="minorHAnsi" w:hAnsiTheme="minorHAnsi"/>
          <w:lang w:eastAsia="en-AU"/>
        </w:rPr>
        <w:t xml:space="preserve"> </w:t>
      </w:r>
    </w:p>
    <w:p w14:paraId="107D9F5F" w14:textId="5F739D87" w:rsidR="00475A76" w:rsidRDefault="00B91665" w:rsidP="00864711">
      <w:pPr>
        <w:pStyle w:val="ListParagraph"/>
        <w:numPr>
          <w:ilvl w:val="0"/>
          <w:numId w:val="42"/>
        </w:numPr>
        <w:rPr>
          <w:rFonts w:asciiTheme="minorHAnsi" w:hAnsiTheme="minorHAnsi"/>
          <w:lang w:eastAsia="en-AU"/>
        </w:rPr>
      </w:pPr>
      <w:r w:rsidRPr="005A310E">
        <w:rPr>
          <w:rFonts w:asciiTheme="minorHAnsi" w:hAnsiTheme="minorHAnsi"/>
          <w:lang w:eastAsia="en-AU"/>
        </w:rPr>
        <w:t xml:space="preserve">Mature age student enrolment procedures – </w:t>
      </w:r>
      <w:hyperlink r:id="rId29" w:history="1">
        <w:r w:rsidRPr="00650905">
          <w:rPr>
            <w:rStyle w:val="Hyperlink"/>
            <w:rFonts w:asciiTheme="minorHAnsi" w:hAnsiTheme="minorHAnsi"/>
            <w:lang w:eastAsia="en-AU"/>
          </w:rPr>
          <w:t>https://education.nt.gov.au/policies/student-enrolment/enrolment</w:t>
        </w:r>
      </w:hyperlink>
      <w:r w:rsidRPr="005A310E">
        <w:rPr>
          <w:rFonts w:asciiTheme="minorHAnsi" w:hAnsiTheme="minorHAnsi"/>
          <w:lang w:eastAsia="en-AU"/>
        </w:rPr>
        <w:t xml:space="preserve"> </w:t>
      </w:r>
    </w:p>
    <w:p w14:paraId="42650718" w14:textId="6FACCF08" w:rsidR="002C6E6B" w:rsidRPr="00F05C77" w:rsidRDefault="00184CB4" w:rsidP="00864711">
      <w:pPr>
        <w:pStyle w:val="ListParagraph"/>
        <w:numPr>
          <w:ilvl w:val="0"/>
          <w:numId w:val="42"/>
        </w:numPr>
        <w:ind w:left="714" w:hanging="357"/>
        <w:rPr>
          <w:rFonts w:asciiTheme="minorHAnsi" w:hAnsiTheme="minorHAnsi"/>
          <w:lang w:eastAsia="en-AU"/>
        </w:rPr>
      </w:pPr>
      <w:r>
        <w:rPr>
          <w:lang w:eastAsia="en-AU"/>
        </w:rPr>
        <w:t>Enrolment in special schools and special centres guidelines</w:t>
      </w:r>
      <w:r>
        <w:rPr>
          <w:rFonts w:asciiTheme="minorHAnsi" w:hAnsiTheme="minorHAnsi"/>
          <w:lang w:eastAsia="en-AU"/>
        </w:rPr>
        <w:t xml:space="preserve"> </w:t>
      </w:r>
      <w:r w:rsidR="00475A76">
        <w:rPr>
          <w:rFonts w:asciiTheme="minorHAnsi" w:hAnsiTheme="minorHAnsi"/>
          <w:lang w:eastAsia="en-AU"/>
        </w:rPr>
        <w:t>–</w:t>
      </w:r>
      <w:r w:rsidR="002C6E6B">
        <w:t xml:space="preserve"> </w:t>
      </w:r>
      <w:hyperlink r:id="rId30" w:history="1">
        <w:r w:rsidR="002C6E6B" w:rsidRPr="00D74EB9">
          <w:rPr>
            <w:rStyle w:val="Hyperlink"/>
          </w:rPr>
          <w:t>https://education.nt.gov.au/policies/student-enrolment/enrolment</w:t>
        </w:r>
      </w:hyperlink>
      <w:r w:rsidR="002C6E6B">
        <w:t xml:space="preserve"> </w:t>
      </w:r>
      <w:bookmarkEnd w:id="12"/>
    </w:p>
    <w:p w14:paraId="1F936266" w14:textId="128BEAB3" w:rsidR="002E4D8D" w:rsidRPr="00F05C77" w:rsidRDefault="002E4D8D" w:rsidP="00864711">
      <w:pPr>
        <w:pStyle w:val="ListParagraph"/>
        <w:numPr>
          <w:ilvl w:val="0"/>
          <w:numId w:val="42"/>
        </w:numPr>
        <w:rPr>
          <w:rFonts w:asciiTheme="minorHAnsi" w:hAnsiTheme="minorHAnsi"/>
          <w:lang w:eastAsia="en-AU"/>
        </w:rPr>
      </w:pPr>
      <w:r>
        <w:rPr>
          <w:rFonts w:asciiTheme="minorHAnsi" w:hAnsiTheme="minorHAnsi"/>
          <w:lang w:eastAsia="en-AU"/>
        </w:rPr>
        <w:t xml:space="preserve">Enrolment and orientation of new children and their families in preschool guidelines </w:t>
      </w:r>
      <w:r w:rsidR="007C64B2">
        <w:rPr>
          <w:rFonts w:asciiTheme="minorHAnsi" w:hAnsiTheme="minorHAnsi"/>
          <w:lang w:eastAsia="en-AU"/>
        </w:rPr>
        <w:t>–</w:t>
      </w:r>
      <w:r>
        <w:rPr>
          <w:rFonts w:asciiTheme="minorHAnsi" w:hAnsiTheme="minorHAnsi"/>
          <w:lang w:eastAsia="en-AU"/>
        </w:rPr>
        <w:t xml:space="preserve"> </w:t>
      </w:r>
      <w:hyperlink r:id="rId31" w:history="1">
        <w:r w:rsidRPr="002E4D8D">
          <w:rPr>
            <w:rStyle w:val="Hyperlink"/>
            <w:rFonts w:asciiTheme="minorHAnsi" w:hAnsiTheme="minorHAnsi"/>
            <w:lang w:eastAsia="en-AU"/>
          </w:rPr>
          <w:t>https://education.nt.gov.au/policies/early-childhood-education-and-care/preschool-specific-policy</w:t>
        </w:r>
      </w:hyperlink>
      <w:r>
        <w:rPr>
          <w:rFonts w:asciiTheme="minorHAnsi" w:hAnsiTheme="minorHAnsi"/>
          <w:lang w:eastAsia="en-AU"/>
        </w:rPr>
        <w:t xml:space="preserve"> </w:t>
      </w:r>
    </w:p>
    <w:p w14:paraId="538F4ECE" w14:textId="49865CD1" w:rsidR="002E4D8D" w:rsidRPr="00F05C77" w:rsidRDefault="002E4D8D" w:rsidP="00864711">
      <w:pPr>
        <w:pStyle w:val="ListParagraph"/>
        <w:numPr>
          <w:ilvl w:val="0"/>
          <w:numId w:val="42"/>
        </w:numPr>
        <w:rPr>
          <w:rFonts w:asciiTheme="minorHAnsi" w:hAnsiTheme="minorHAnsi"/>
          <w:lang w:eastAsia="en-AU"/>
        </w:rPr>
      </w:pPr>
      <w:r>
        <w:t xml:space="preserve">Families as First Teachers policy, procedures and guidelines </w:t>
      </w:r>
      <w:r w:rsidR="007C64B2">
        <w:rPr>
          <w:rFonts w:asciiTheme="minorHAnsi" w:hAnsiTheme="minorHAnsi"/>
          <w:lang w:eastAsia="en-AU"/>
        </w:rPr>
        <w:t>–</w:t>
      </w:r>
      <w:r>
        <w:t xml:space="preserve"> </w:t>
      </w:r>
      <w:hyperlink r:id="rId32" w:history="1">
        <w:r w:rsidRPr="002E4D8D">
          <w:rPr>
            <w:rStyle w:val="Hyperlink"/>
          </w:rPr>
          <w:t>https://education.nt.gov.au/policies/early-childhood-education-and-care</w:t>
        </w:r>
      </w:hyperlink>
      <w:r>
        <w:t xml:space="preserve"> </w:t>
      </w:r>
    </w:p>
    <w:p w14:paraId="215830D1" w14:textId="02C446A6" w:rsidR="002E4D8D" w:rsidRDefault="002E4D8D" w:rsidP="00F05C77">
      <w:pPr>
        <w:pStyle w:val="Heading3"/>
      </w:pPr>
      <w:r>
        <w:t xml:space="preserve">Other relevant policy </w:t>
      </w:r>
    </w:p>
    <w:p w14:paraId="3ED70E25" w14:textId="33052D67" w:rsidR="002E4D8D" w:rsidRPr="002E4D8D" w:rsidRDefault="00087DD4" w:rsidP="007C64B2">
      <w:pPr>
        <w:pStyle w:val="ListParagraph"/>
        <w:numPr>
          <w:ilvl w:val="0"/>
          <w:numId w:val="43"/>
        </w:numPr>
        <w:spacing w:after="200"/>
        <w:ind w:left="641" w:hanging="357"/>
        <w:rPr>
          <w:lang w:eastAsia="en-AU"/>
        </w:rPr>
      </w:pPr>
      <w:r>
        <w:rPr>
          <w:lang w:eastAsia="en-AU"/>
        </w:rPr>
        <w:t xml:space="preserve">Preschool Reform Agreement - </w:t>
      </w:r>
      <w:hyperlink r:id="rId33" w:history="1">
        <w:r w:rsidRPr="00D941F4">
          <w:rPr>
            <w:rStyle w:val="Hyperlink"/>
          </w:rPr>
          <w:t>https://federalfinancialrelations.gov.au/agreements/preschool-reform-agreement</w:t>
        </w:r>
      </w:hyperlink>
      <w:r>
        <w:t xml:space="preserve"> </w:t>
      </w:r>
    </w:p>
    <w:tbl>
      <w:tblPr>
        <w:tblStyle w:val="NTGtable1"/>
        <w:tblW w:w="10343" w:type="dxa"/>
        <w:tblLayout w:type="fixed"/>
        <w:tblLook w:val="0120" w:firstRow="1" w:lastRow="0" w:firstColumn="0" w:lastColumn="1" w:noHBand="0" w:noVBand="0"/>
      </w:tblPr>
      <w:tblGrid>
        <w:gridCol w:w="1980"/>
        <w:gridCol w:w="8363"/>
      </w:tblGrid>
      <w:tr w:rsidR="00F968A5" w:rsidRPr="00E87DE1" w14:paraId="18C0B52B" w14:textId="77777777" w:rsidTr="00EB094C">
        <w:trPr>
          <w:cnfStyle w:val="100000000000" w:firstRow="1" w:lastRow="0" w:firstColumn="0" w:lastColumn="0" w:oddVBand="0" w:evenVBand="0" w:oddHBand="0" w:evenHBand="0" w:firstRowFirstColumn="0" w:firstRowLastColumn="0" w:lastRowFirstColumn="0" w:lastRowLastColumn="0"/>
          <w:trHeight w:val="431"/>
        </w:trPr>
        <w:tc>
          <w:tcPr>
            <w:tcW w:w="1980" w:type="dxa"/>
          </w:tcPr>
          <w:p w14:paraId="3EF15BA7" w14:textId="77777777" w:rsidR="00F968A5" w:rsidRPr="00E87DE1" w:rsidRDefault="00F968A5" w:rsidP="00EB094C">
            <w:r w:rsidRPr="00E87DE1">
              <w:rPr>
                <w:w w:val="105"/>
              </w:rPr>
              <w:t>Acronyms</w:t>
            </w:r>
          </w:p>
        </w:tc>
        <w:tc>
          <w:tcPr>
            <w:tcW w:w="8363" w:type="dxa"/>
          </w:tcPr>
          <w:p w14:paraId="4C55F5BA" w14:textId="77777777" w:rsidR="00F968A5" w:rsidRPr="00E87DE1" w:rsidRDefault="00F968A5" w:rsidP="00EB094C">
            <w:r w:rsidRPr="00E87DE1">
              <w:rPr>
                <w:w w:val="105"/>
              </w:rPr>
              <w:t>Full</w:t>
            </w:r>
            <w:r w:rsidRPr="00E87DE1">
              <w:rPr>
                <w:spacing w:val="-17"/>
                <w:w w:val="105"/>
              </w:rPr>
              <w:t xml:space="preserve"> </w:t>
            </w:r>
            <w:r w:rsidRPr="00E87DE1">
              <w:rPr>
                <w:w w:val="105"/>
              </w:rPr>
              <w:t>form</w:t>
            </w:r>
          </w:p>
        </w:tc>
      </w:tr>
      <w:tr w:rsidR="005B75CA" w:rsidRPr="00E87DE1" w14:paraId="7EB87666" w14:textId="77777777" w:rsidTr="00EB094C">
        <w:trPr>
          <w:trHeight w:val="431"/>
        </w:trPr>
        <w:tc>
          <w:tcPr>
            <w:tcW w:w="1980" w:type="dxa"/>
          </w:tcPr>
          <w:p w14:paraId="5C53B0CB" w14:textId="1C4A85F1" w:rsidR="005B75CA" w:rsidRPr="006145BB" w:rsidRDefault="005B75CA" w:rsidP="00EB094C">
            <w:r>
              <w:t>FaFT</w:t>
            </w:r>
          </w:p>
        </w:tc>
        <w:tc>
          <w:tcPr>
            <w:tcW w:w="8363" w:type="dxa"/>
          </w:tcPr>
          <w:p w14:paraId="11B242C7" w14:textId="350157E2" w:rsidR="005B75CA" w:rsidRPr="006145BB" w:rsidRDefault="005B75CA" w:rsidP="00EB094C">
            <w:r>
              <w:rPr>
                <w:lang w:eastAsia="en-AU"/>
              </w:rPr>
              <w:t>Families as First Teachers</w:t>
            </w:r>
          </w:p>
        </w:tc>
      </w:tr>
      <w:tr w:rsidR="00F968A5" w:rsidRPr="00E87DE1" w14:paraId="0D3FF976" w14:textId="77777777" w:rsidTr="00EB094C">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33F2E8DF" w14:textId="77777777" w:rsidR="00F968A5" w:rsidRPr="006145BB" w:rsidRDefault="00F968A5" w:rsidP="00EB094C">
            <w:r w:rsidRPr="006145BB">
              <w:t>NT</w:t>
            </w:r>
          </w:p>
        </w:tc>
        <w:tc>
          <w:tcPr>
            <w:tcW w:w="8363" w:type="dxa"/>
          </w:tcPr>
          <w:p w14:paraId="08DC79F9" w14:textId="77777777" w:rsidR="00F968A5" w:rsidRPr="006145BB" w:rsidRDefault="00F968A5" w:rsidP="00EB094C">
            <w:r w:rsidRPr="006145BB">
              <w:t>Northern Territory</w:t>
            </w:r>
          </w:p>
        </w:tc>
      </w:tr>
    </w:tbl>
    <w:p w14:paraId="6A51D997" w14:textId="77777777" w:rsidR="00F968A5" w:rsidRDefault="00F968A5" w:rsidP="00F968A5">
      <w:pPr>
        <w:rPr>
          <w:lang w:eastAsia="en-AU"/>
        </w:rPr>
      </w:pPr>
    </w:p>
    <w:tbl>
      <w:tblPr>
        <w:tblStyle w:val="NTGtable1"/>
        <w:tblW w:w="10348" w:type="dxa"/>
        <w:tblLook w:val="0480" w:firstRow="0" w:lastRow="0" w:firstColumn="1" w:lastColumn="0" w:noHBand="0" w:noVBand="1"/>
      </w:tblPr>
      <w:tblGrid>
        <w:gridCol w:w="2410"/>
        <w:gridCol w:w="7938"/>
      </w:tblGrid>
      <w:tr w:rsidR="00F968A5" w14:paraId="5A7C9667" w14:textId="77777777" w:rsidTr="00EB094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611558C2" w14:textId="77777777" w:rsidR="00F968A5" w:rsidRPr="0054507C" w:rsidRDefault="00F968A5" w:rsidP="00EB094C">
            <w:pPr>
              <w:rPr>
                <w:b/>
              </w:rPr>
            </w:pPr>
            <w:r w:rsidRPr="0054507C">
              <w:rPr>
                <w:b/>
              </w:rPr>
              <w:t>Document title</w:t>
            </w:r>
          </w:p>
        </w:tc>
        <w:tc>
          <w:tcPr>
            <w:tcW w:w="7938" w:type="dxa"/>
          </w:tcPr>
          <w:p w14:paraId="0AFB01B1" w14:textId="60B3BA2F" w:rsidR="00F968A5" w:rsidRPr="006145BB" w:rsidRDefault="00194EF1" w:rsidP="00EB094C">
            <w:pPr>
              <w:cnfStyle w:val="000000000000" w:firstRow="0" w:lastRow="0" w:firstColumn="0" w:lastColumn="0" w:oddVBand="0" w:evenVBand="0" w:oddHBand="0" w:evenHBand="0" w:firstRowFirstColumn="0" w:firstRowLastColumn="0" w:lastRowFirstColumn="0" w:lastRowLastColumn="0"/>
            </w:pPr>
            <w:sdt>
              <w:sdtPr>
                <w:alias w:val="Title"/>
                <w:tag w:val="Title"/>
                <w:id w:val="-753511175"/>
                <w:placeholder>
                  <w:docPart w:val="004676D981D148A4BE4B522E4C6B788D"/>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0845A2">
                  <w:t>Enrolment and attendance birth to year 12 – policy</w:t>
                </w:r>
              </w:sdtContent>
            </w:sdt>
          </w:p>
        </w:tc>
      </w:tr>
      <w:tr w:rsidR="00F968A5" w14:paraId="79EF1478" w14:textId="77777777" w:rsidTr="00EB094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78A2C29C" w14:textId="77777777" w:rsidR="00F968A5" w:rsidRPr="0054507C" w:rsidRDefault="00F968A5" w:rsidP="00EB094C">
            <w:pPr>
              <w:rPr>
                <w:b/>
              </w:rPr>
            </w:pPr>
            <w:r w:rsidRPr="0054507C">
              <w:rPr>
                <w:b/>
              </w:rPr>
              <w:t>Contact details</w:t>
            </w:r>
          </w:p>
        </w:tc>
        <w:tc>
          <w:tcPr>
            <w:tcW w:w="7938" w:type="dxa"/>
          </w:tcPr>
          <w:p w14:paraId="1710C8AB" w14:textId="310EFD54" w:rsidR="00F968A5" w:rsidRPr="006145BB" w:rsidRDefault="00650905" w:rsidP="00EB094C">
            <w:pPr>
              <w:cnfStyle w:val="000000010000" w:firstRow="0" w:lastRow="0" w:firstColumn="0" w:lastColumn="0" w:oddVBand="0" w:evenVBand="0" w:oddHBand="0" w:evenHBand="1" w:firstRowFirstColumn="0" w:firstRowLastColumn="0" w:lastRowFirstColumn="0" w:lastRowLastColumn="0"/>
            </w:pPr>
            <w:r>
              <w:t>Inclusion and Engagement Services, Student Engagement Programs and Services</w:t>
            </w:r>
            <w:r w:rsidR="00D16F21">
              <w:t xml:space="preserve">, </w:t>
            </w:r>
            <w:hyperlink r:id="rId34" w:history="1">
              <w:r w:rsidR="005A4FF7">
                <w:rPr>
                  <w:rStyle w:val="Hyperlink"/>
                </w:rPr>
                <w:t>enrolattend.policy@education.nt.gov.au</w:t>
              </w:r>
            </w:hyperlink>
          </w:p>
        </w:tc>
      </w:tr>
      <w:tr w:rsidR="00F968A5" w14:paraId="3E8070A6" w14:textId="77777777" w:rsidTr="00EB094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63F14351" w14:textId="77777777" w:rsidR="00F968A5" w:rsidRPr="0054507C" w:rsidRDefault="00F968A5" w:rsidP="00EB094C">
            <w:pPr>
              <w:rPr>
                <w:b/>
              </w:rPr>
            </w:pPr>
            <w:r w:rsidRPr="0054507C">
              <w:rPr>
                <w:b/>
              </w:rPr>
              <w:t>Approved by</w:t>
            </w:r>
          </w:p>
        </w:tc>
        <w:tc>
          <w:tcPr>
            <w:tcW w:w="7938" w:type="dxa"/>
          </w:tcPr>
          <w:p w14:paraId="39B060DA" w14:textId="7C04BDAC" w:rsidR="00F968A5" w:rsidRPr="006145BB" w:rsidRDefault="00650905" w:rsidP="00EB094C">
            <w:pPr>
              <w:cnfStyle w:val="000000000000" w:firstRow="0" w:lastRow="0" w:firstColumn="0" w:lastColumn="0" w:oddVBand="0" w:evenVBand="0" w:oddHBand="0" w:evenHBand="0" w:firstRowFirstColumn="0" w:firstRowLastColumn="0" w:lastRowFirstColumn="0" w:lastRowLastColumn="0"/>
            </w:pPr>
            <w:r>
              <w:t>Executive Director Inclusion and Engagement Services</w:t>
            </w:r>
          </w:p>
        </w:tc>
      </w:tr>
      <w:tr w:rsidR="00F968A5" w14:paraId="0F3DCC35" w14:textId="77777777" w:rsidTr="00EB094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606E67E5" w14:textId="77777777" w:rsidR="00F968A5" w:rsidRPr="0054507C" w:rsidRDefault="00F968A5" w:rsidP="00EB094C">
            <w:pPr>
              <w:rPr>
                <w:b/>
              </w:rPr>
            </w:pPr>
            <w:r w:rsidRPr="0054507C">
              <w:rPr>
                <w:b/>
              </w:rPr>
              <w:t>Date approved</w:t>
            </w:r>
          </w:p>
        </w:tc>
        <w:tc>
          <w:tcPr>
            <w:tcW w:w="7938" w:type="dxa"/>
          </w:tcPr>
          <w:p w14:paraId="0694A2FF" w14:textId="3B897472" w:rsidR="00F968A5" w:rsidRPr="006145BB" w:rsidRDefault="004B5586" w:rsidP="00EB094C">
            <w:pPr>
              <w:cnfStyle w:val="000000010000" w:firstRow="0" w:lastRow="0" w:firstColumn="0" w:lastColumn="0" w:oddVBand="0" w:evenVBand="0" w:oddHBand="0" w:evenHBand="1" w:firstRowFirstColumn="0" w:firstRowLastColumn="0" w:lastRowFirstColumn="0" w:lastRowLastColumn="0"/>
            </w:pPr>
            <w:r>
              <w:t>28 April 2023</w:t>
            </w:r>
          </w:p>
        </w:tc>
      </w:tr>
      <w:tr w:rsidR="00F968A5" w14:paraId="47B18E11" w14:textId="77777777" w:rsidTr="00EB094C">
        <w:trPr>
          <w:trHeight w:val="554"/>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50CFD03D" w14:textId="77777777" w:rsidR="00F968A5" w:rsidRPr="0054507C" w:rsidRDefault="00F968A5" w:rsidP="00EB094C">
            <w:pPr>
              <w:rPr>
                <w:b/>
              </w:rPr>
            </w:pPr>
            <w:proofErr w:type="spellStart"/>
            <w:r w:rsidRPr="0054507C">
              <w:rPr>
                <w:b/>
              </w:rPr>
              <w:t>TRM</w:t>
            </w:r>
            <w:proofErr w:type="spellEnd"/>
            <w:r w:rsidRPr="0054507C">
              <w:rPr>
                <w:b/>
              </w:rPr>
              <w:t xml:space="preserve"> number</w:t>
            </w:r>
          </w:p>
        </w:tc>
        <w:tc>
          <w:tcPr>
            <w:tcW w:w="7938" w:type="dxa"/>
          </w:tcPr>
          <w:p w14:paraId="4F749CD6" w14:textId="503B427D" w:rsidR="00F968A5" w:rsidRPr="006145BB" w:rsidRDefault="00F968A5" w:rsidP="00EB094C">
            <w:pPr>
              <w:cnfStyle w:val="000000000000" w:firstRow="0" w:lastRow="0" w:firstColumn="0" w:lastColumn="0" w:oddVBand="0" w:evenVBand="0" w:oddHBand="0" w:evenHBand="0" w:firstRowFirstColumn="0" w:firstRowLastColumn="0" w:lastRowFirstColumn="0" w:lastRowLastColumn="0"/>
            </w:pPr>
            <w:r>
              <w:t>50:D23:5854</w:t>
            </w:r>
          </w:p>
        </w:tc>
      </w:tr>
    </w:tbl>
    <w:p w14:paraId="01A3F13B" w14:textId="77777777" w:rsidR="00F968A5" w:rsidRDefault="00F968A5" w:rsidP="00F968A5">
      <w:pPr>
        <w:rPr>
          <w:lang w:eastAsia="en-AU"/>
        </w:rPr>
      </w:pPr>
    </w:p>
    <w:tbl>
      <w:tblPr>
        <w:tblStyle w:val="NTGtable1"/>
        <w:tblW w:w="10343" w:type="dxa"/>
        <w:tblLayout w:type="fixed"/>
        <w:tblLook w:val="0120" w:firstRow="1" w:lastRow="0" w:firstColumn="0" w:lastColumn="1" w:noHBand="0" w:noVBand="0"/>
      </w:tblPr>
      <w:tblGrid>
        <w:gridCol w:w="1129"/>
        <w:gridCol w:w="2268"/>
        <w:gridCol w:w="2552"/>
        <w:gridCol w:w="4394"/>
      </w:tblGrid>
      <w:tr w:rsidR="00F968A5" w:rsidRPr="00E87DE1" w14:paraId="03A8A077" w14:textId="77777777" w:rsidTr="00EB094C">
        <w:trPr>
          <w:cnfStyle w:val="100000000000" w:firstRow="1" w:lastRow="0" w:firstColumn="0" w:lastColumn="0" w:oddVBand="0" w:evenVBand="0" w:oddHBand="0" w:evenHBand="0" w:firstRowFirstColumn="0" w:firstRowLastColumn="0" w:lastRowFirstColumn="0" w:lastRowLastColumn="0"/>
          <w:trHeight w:val="431"/>
        </w:trPr>
        <w:tc>
          <w:tcPr>
            <w:tcW w:w="1129" w:type="dxa"/>
          </w:tcPr>
          <w:p w14:paraId="096A09C0" w14:textId="77777777" w:rsidR="00F968A5" w:rsidRPr="00E87DE1" w:rsidRDefault="00F968A5" w:rsidP="00EB094C">
            <w:r w:rsidRPr="00E87DE1">
              <w:rPr>
                <w:w w:val="105"/>
              </w:rPr>
              <w:t>Version</w:t>
            </w:r>
          </w:p>
        </w:tc>
        <w:tc>
          <w:tcPr>
            <w:tcW w:w="2268" w:type="dxa"/>
          </w:tcPr>
          <w:p w14:paraId="4404CFC3" w14:textId="77777777" w:rsidR="00F968A5" w:rsidRPr="00E87DE1" w:rsidRDefault="00F968A5" w:rsidP="00EB094C">
            <w:r w:rsidRPr="00E87DE1">
              <w:rPr>
                <w:w w:val="105"/>
              </w:rPr>
              <w:t>Date</w:t>
            </w:r>
          </w:p>
        </w:tc>
        <w:tc>
          <w:tcPr>
            <w:tcW w:w="2552" w:type="dxa"/>
          </w:tcPr>
          <w:p w14:paraId="07A335FC" w14:textId="77777777" w:rsidR="00F968A5" w:rsidRPr="00E87DE1" w:rsidRDefault="00F968A5" w:rsidP="00EB094C">
            <w:r w:rsidRPr="00E87DE1">
              <w:rPr>
                <w:w w:val="105"/>
              </w:rPr>
              <w:t>Author</w:t>
            </w:r>
          </w:p>
        </w:tc>
        <w:tc>
          <w:tcPr>
            <w:tcW w:w="4394" w:type="dxa"/>
          </w:tcPr>
          <w:p w14:paraId="1B5AC0F1" w14:textId="77777777" w:rsidR="00F968A5" w:rsidRPr="00E87DE1" w:rsidRDefault="00F968A5" w:rsidP="00EB094C">
            <w:r w:rsidRPr="00E87DE1">
              <w:t>Changes made</w:t>
            </w:r>
          </w:p>
        </w:tc>
      </w:tr>
      <w:tr w:rsidR="00F968A5" w:rsidRPr="00E87DE1" w14:paraId="153D9D1B" w14:textId="77777777" w:rsidTr="00EB094C">
        <w:trPr>
          <w:trHeight w:val="431"/>
        </w:trPr>
        <w:tc>
          <w:tcPr>
            <w:tcW w:w="1129" w:type="dxa"/>
          </w:tcPr>
          <w:p w14:paraId="7720B092" w14:textId="01F86201" w:rsidR="00F968A5" w:rsidRPr="006145BB" w:rsidRDefault="00F968A5" w:rsidP="00EB094C">
            <w:r>
              <w:t>1</w:t>
            </w:r>
          </w:p>
        </w:tc>
        <w:tc>
          <w:tcPr>
            <w:tcW w:w="2268" w:type="dxa"/>
          </w:tcPr>
          <w:p w14:paraId="3C22CBD9" w14:textId="62BAA3EA" w:rsidR="00F968A5" w:rsidRPr="006145BB" w:rsidRDefault="004B5586" w:rsidP="00EB094C">
            <w:r>
              <w:t xml:space="preserve">May </w:t>
            </w:r>
            <w:r w:rsidR="00F968A5">
              <w:t>2023</w:t>
            </w:r>
          </w:p>
        </w:tc>
        <w:tc>
          <w:tcPr>
            <w:tcW w:w="2552" w:type="dxa"/>
          </w:tcPr>
          <w:p w14:paraId="1DF31296" w14:textId="77777777" w:rsidR="00F968A5" w:rsidRPr="006145BB" w:rsidRDefault="00F968A5" w:rsidP="00EB094C">
            <w:r>
              <w:t xml:space="preserve">Student Engagement Programs and Services </w:t>
            </w:r>
          </w:p>
        </w:tc>
        <w:tc>
          <w:tcPr>
            <w:tcW w:w="4394" w:type="dxa"/>
          </w:tcPr>
          <w:p w14:paraId="111CB44D" w14:textId="62FBA4FF" w:rsidR="00F968A5" w:rsidRPr="006145BB" w:rsidRDefault="004B5586" w:rsidP="00EB094C">
            <w:r>
              <w:t>First version</w:t>
            </w:r>
          </w:p>
        </w:tc>
      </w:tr>
    </w:tbl>
    <w:p w14:paraId="775CE79D" w14:textId="77777777" w:rsidR="00F968A5" w:rsidRPr="00F968A5" w:rsidRDefault="00F968A5" w:rsidP="00F968A5">
      <w:pPr>
        <w:rPr>
          <w:lang w:eastAsia="en-AU"/>
        </w:rPr>
      </w:pPr>
    </w:p>
    <w:sectPr w:rsidR="00F968A5" w:rsidRPr="00F968A5" w:rsidSect="00A567EE">
      <w:headerReference w:type="default" r:id="rId35"/>
      <w:footerReference w:type="default" r:id="rId36"/>
      <w:headerReference w:type="first" r:id="rId37"/>
      <w:footerReference w:type="first" r:id="rId38"/>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C699A" w14:textId="77777777" w:rsidR="009D040D" w:rsidRDefault="009D040D" w:rsidP="007332FF">
      <w:r>
        <w:separator/>
      </w:r>
    </w:p>
  </w:endnote>
  <w:endnote w:type="continuationSeparator" w:id="0">
    <w:p w14:paraId="21B1D9FE" w14:textId="77777777" w:rsidR="009D040D" w:rsidRDefault="009D040D"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32827" w14:textId="5D1A1DA6"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6E3846AB" w14:textId="77777777" w:rsidTr="00D47DC7">
      <w:trPr>
        <w:cantSplit/>
        <w:trHeight w:hRule="exact" w:val="850"/>
      </w:trPr>
      <w:tc>
        <w:tcPr>
          <w:tcW w:w="10318" w:type="dxa"/>
          <w:vAlign w:val="bottom"/>
        </w:tcPr>
        <w:p w14:paraId="74481FC7" w14:textId="5DE70D67" w:rsidR="00D47DC7" w:rsidRDefault="00D47DC7" w:rsidP="00D47DC7">
          <w:pPr>
            <w:spacing w:after="0"/>
            <w:rPr>
              <w:rStyle w:val="PageNumber"/>
              <w:b/>
            </w:rPr>
          </w:pPr>
          <w:r>
            <w:rPr>
              <w:rStyle w:val="PageNumber"/>
            </w:rPr>
            <w:t>Department o</w:t>
          </w:r>
          <w:r w:rsidR="00D44123">
            <w:rPr>
              <w:rStyle w:val="PageNumber"/>
            </w:rPr>
            <w:t xml:space="preserve">f </w:t>
          </w:r>
          <w:r w:rsidR="00D44123" w:rsidRPr="005A310E">
            <w:rPr>
              <w:rStyle w:val="PageNumber"/>
              <w:b/>
              <w:bCs/>
            </w:rPr>
            <w:t>Education</w:t>
          </w:r>
          <w:r w:rsidR="004C5A40">
            <w:rPr>
              <w:rStyle w:val="PageNumber"/>
              <w:b/>
              <w:bCs/>
            </w:rPr>
            <w:t xml:space="preserve"> – </w:t>
          </w:r>
          <w:r w:rsidR="004C5A40" w:rsidRPr="00CE7711">
            <w:rPr>
              <w:rStyle w:val="PageNumber"/>
              <w:bCs/>
            </w:rPr>
            <w:t>Enrolment and attendance policy suite</w:t>
          </w:r>
        </w:p>
        <w:p w14:paraId="0DF81DAA" w14:textId="697122C5" w:rsidR="00D47DC7" w:rsidRPr="00CE6614" w:rsidRDefault="00C91E08" w:rsidP="00D47DC7">
          <w:pPr>
            <w:spacing w:after="0"/>
            <w:rPr>
              <w:rStyle w:val="PageNumber"/>
            </w:rPr>
          </w:pPr>
          <w:r>
            <w:rPr>
              <w:rStyle w:val="PageNumber"/>
            </w:rPr>
            <w:t xml:space="preserve">Published </w:t>
          </w:r>
          <w:r w:rsidR="00AE7A7D">
            <w:rPr>
              <w:rStyle w:val="PageNumber"/>
            </w:rPr>
            <w:t>May</w:t>
          </w:r>
          <w:r>
            <w:rPr>
              <w:rStyle w:val="PageNumber"/>
            </w:rPr>
            <w:t xml:space="preserve"> 2023</w:t>
          </w:r>
          <w:r w:rsidR="00540D86">
            <w:rPr>
              <w:rStyle w:val="PageNumber"/>
            </w:rPr>
            <w:t xml:space="preserve"> </w:t>
          </w:r>
        </w:p>
        <w:p w14:paraId="0296CCB7" w14:textId="27EC7B41"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80122E">
            <w:rPr>
              <w:rStyle w:val="PageNumber"/>
              <w:noProof/>
            </w:rPr>
            <w:t>5</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80122E">
            <w:rPr>
              <w:rStyle w:val="PageNumber"/>
              <w:noProof/>
            </w:rPr>
            <w:t>7</w:t>
          </w:r>
          <w:r w:rsidRPr="00AC4488">
            <w:rPr>
              <w:rStyle w:val="PageNumber"/>
            </w:rPr>
            <w:fldChar w:fldCharType="end"/>
          </w:r>
        </w:p>
      </w:tc>
    </w:tr>
  </w:tbl>
  <w:p w14:paraId="7FFC052E"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37195"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6D2FB647" w14:textId="77777777" w:rsidTr="008921B4">
      <w:trPr>
        <w:cantSplit/>
        <w:trHeight w:hRule="exact" w:val="1134"/>
      </w:trPr>
      <w:tc>
        <w:tcPr>
          <w:tcW w:w="7767" w:type="dxa"/>
          <w:vAlign w:val="bottom"/>
        </w:tcPr>
        <w:p w14:paraId="3C89580A" w14:textId="210E5C5D" w:rsidR="00D47DC7" w:rsidRDefault="00D47DC7" w:rsidP="00D47DC7">
          <w:pPr>
            <w:spacing w:after="0"/>
            <w:rPr>
              <w:rStyle w:val="PageNumber"/>
              <w:b/>
            </w:rPr>
          </w:pPr>
          <w:r>
            <w:rPr>
              <w:rStyle w:val="PageNumber"/>
            </w:rPr>
            <w:t>Department of</w:t>
          </w:r>
          <w:r w:rsidR="000739C3">
            <w:rPr>
              <w:rStyle w:val="PageNumber"/>
            </w:rPr>
            <w:t xml:space="preserve"> </w:t>
          </w:r>
          <w:r w:rsidR="000739C3" w:rsidRPr="005A310E">
            <w:rPr>
              <w:rStyle w:val="PageNumber"/>
              <w:b/>
              <w:bCs/>
            </w:rPr>
            <w:t>Education</w:t>
          </w:r>
          <w:r w:rsidR="004C5A40">
            <w:rPr>
              <w:rStyle w:val="PageNumber"/>
              <w:b/>
              <w:bCs/>
            </w:rPr>
            <w:t xml:space="preserve"> – </w:t>
          </w:r>
          <w:r w:rsidR="004C5A40" w:rsidRPr="00CE7711">
            <w:rPr>
              <w:rStyle w:val="PageNumber"/>
              <w:bCs/>
            </w:rPr>
            <w:t>Enrolment and attendance policy suite</w:t>
          </w:r>
        </w:p>
        <w:p w14:paraId="3D597FCF" w14:textId="7884FA2A" w:rsidR="005A310E" w:rsidRDefault="00C91E08" w:rsidP="00D47DC7">
          <w:pPr>
            <w:spacing w:after="0"/>
            <w:rPr>
              <w:rStyle w:val="PageNumber"/>
            </w:rPr>
          </w:pPr>
          <w:r>
            <w:rPr>
              <w:rStyle w:val="PageNumber"/>
            </w:rPr>
            <w:t xml:space="preserve">Published </w:t>
          </w:r>
          <w:r w:rsidR="00AE7A7D">
            <w:rPr>
              <w:rStyle w:val="PageNumber"/>
            </w:rPr>
            <w:t>May</w:t>
          </w:r>
          <w:r>
            <w:rPr>
              <w:rStyle w:val="PageNumber"/>
            </w:rPr>
            <w:t xml:space="preserve"> 2023</w:t>
          </w:r>
          <w:r w:rsidR="00540D86">
            <w:rPr>
              <w:rStyle w:val="PageNumber"/>
            </w:rPr>
            <w:t xml:space="preserve"> </w:t>
          </w:r>
        </w:p>
        <w:p w14:paraId="27E04F0B" w14:textId="40254688"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80122E">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80122E">
            <w:rPr>
              <w:rStyle w:val="PageNumber"/>
              <w:noProof/>
            </w:rPr>
            <w:t>7</w:t>
          </w:r>
          <w:r w:rsidRPr="00AC4488">
            <w:rPr>
              <w:rStyle w:val="PageNumber"/>
            </w:rPr>
            <w:fldChar w:fldCharType="end"/>
          </w:r>
        </w:p>
      </w:tc>
      <w:tc>
        <w:tcPr>
          <w:tcW w:w="2551" w:type="dxa"/>
          <w:vAlign w:val="bottom"/>
        </w:tcPr>
        <w:p w14:paraId="63451B28" w14:textId="77777777" w:rsidR="0071700C" w:rsidRPr="001E14EB" w:rsidRDefault="0071700C" w:rsidP="0071700C">
          <w:pPr>
            <w:spacing w:after="0"/>
            <w:jc w:val="right"/>
          </w:pPr>
          <w:r>
            <w:rPr>
              <w:noProof/>
              <w:lang w:eastAsia="en-AU"/>
            </w:rPr>
            <w:drawing>
              <wp:inline distT="0" distB="0" distL="0" distR="0" wp14:anchorId="09410095" wp14:editId="1DBFFE8A">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5A70BF72"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85EAE" w14:textId="77777777" w:rsidR="009D040D" w:rsidRDefault="009D040D" w:rsidP="007332FF">
      <w:r>
        <w:separator/>
      </w:r>
    </w:p>
  </w:footnote>
  <w:footnote w:type="continuationSeparator" w:id="0">
    <w:p w14:paraId="4CB1B8BB" w14:textId="77777777" w:rsidR="009D040D" w:rsidRDefault="009D040D"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DC18A" w14:textId="69FA79C2" w:rsidR="00983000" w:rsidRPr="00162207" w:rsidRDefault="00194EF1"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0845A2">
          <w:t>Enrolment and attendance birth to year 12 – policy</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9C02" w14:textId="491DFBC4" w:rsidR="00E54F9E" w:rsidRDefault="00194EF1" w:rsidP="00435082">
    <w:pPr>
      <w:pStyle w:val="Title"/>
    </w:pPr>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EF7314">
          <w:rPr>
            <w:rStyle w:val="TitleChar"/>
          </w:rPr>
          <w:t xml:space="preserve">Enrolment and attendance birth to year 12 </w:t>
        </w:r>
        <w:r w:rsidR="000845A2">
          <w:rPr>
            <w:rStyle w:val="TitleChar"/>
          </w:rPr>
          <w:t>–</w:t>
        </w:r>
        <w:r w:rsidR="00EF7314">
          <w:rPr>
            <w:rStyle w:val="TitleChar"/>
          </w:rPr>
          <w:t xml:space="preserve"> policy</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3A9"/>
    <w:multiLevelType w:val="hybridMultilevel"/>
    <w:tmpl w:val="28E0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782074"/>
    <w:multiLevelType w:val="hybridMultilevel"/>
    <w:tmpl w:val="6A5CB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CC33DE4"/>
    <w:multiLevelType w:val="hybridMultilevel"/>
    <w:tmpl w:val="0644C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10774D2"/>
    <w:multiLevelType w:val="hybridMultilevel"/>
    <w:tmpl w:val="DF0A2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061D52"/>
    <w:multiLevelType w:val="hybridMultilevel"/>
    <w:tmpl w:val="FAA644F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0" w15:restartNumberingAfterBreak="0">
    <w:nsid w:val="13486267"/>
    <w:multiLevelType w:val="multilevel"/>
    <w:tmpl w:val="F99EABE8"/>
    <w:lvl w:ilvl="0">
      <w:start w:val="1"/>
      <w:numFmt w:val="decimal"/>
      <w:lvlText w:val="%1."/>
      <w:lvlJc w:val="left"/>
      <w:pPr>
        <w:ind w:left="720" w:hanging="360"/>
      </w:pPr>
      <w:rPr>
        <w:rFonts w:hint="default"/>
        <w:color w:val="auto"/>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5E93577"/>
    <w:multiLevelType w:val="multilevel"/>
    <w:tmpl w:val="4E6AC8F6"/>
    <w:name w:val="NTG Table Bullet List33222222"/>
    <w:numStyleLink w:val="Numberlist"/>
  </w:abstractNum>
  <w:abstractNum w:abstractNumId="12" w15:restartNumberingAfterBreak="0">
    <w:nsid w:val="17403538"/>
    <w:multiLevelType w:val="multilevel"/>
    <w:tmpl w:val="93D61DF4"/>
    <w:lvl w:ilvl="0">
      <w:start w:val="1"/>
      <w:numFmt w:val="lowerLetter"/>
      <w:lvlText w:val="%1."/>
      <w:lvlJc w:val="left"/>
      <w:pPr>
        <w:ind w:left="720" w:hanging="360"/>
      </w:pPr>
      <w:rPr>
        <w:rFonts w:hint="default"/>
        <w:color w:val="127CC0" w:themeColor="accen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D26C06"/>
    <w:multiLevelType w:val="multilevel"/>
    <w:tmpl w:val="3E5E177A"/>
    <w:name w:val="NTG Table Bullet List33222222222222222"/>
    <w:numStyleLink w:val="Tablenumberlist"/>
  </w:abstractNum>
  <w:abstractNum w:abstractNumId="14" w15:restartNumberingAfterBreak="0">
    <w:nsid w:val="19533A06"/>
    <w:multiLevelType w:val="multilevel"/>
    <w:tmpl w:val="3928FD02"/>
    <w:name w:val="NTG Table Bullet List3222"/>
    <w:numStyleLink w:val="Bulletlist"/>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C4F2FDC"/>
    <w:multiLevelType w:val="hybridMultilevel"/>
    <w:tmpl w:val="86CE2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08449E"/>
    <w:multiLevelType w:val="hybridMultilevel"/>
    <w:tmpl w:val="20D01966"/>
    <w:lvl w:ilvl="0" w:tplc="7416F940">
      <w:start w:val="1"/>
      <w:numFmt w:val="lowerLetter"/>
      <w:lvlText w:val="%1."/>
      <w:lvlJc w:val="left"/>
      <w:pPr>
        <w:ind w:left="784" w:hanging="360"/>
      </w:pPr>
      <w:rPr>
        <w:rFonts w:hint="default"/>
        <w:color w:val="127CC0" w:themeColor="accent2"/>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21" w15:restartNumberingAfterBreak="0">
    <w:nsid w:val="219C1E99"/>
    <w:multiLevelType w:val="hybridMultilevel"/>
    <w:tmpl w:val="216448BA"/>
    <w:lvl w:ilvl="0" w:tplc="7416F940">
      <w:start w:val="1"/>
      <w:numFmt w:val="lowerLetter"/>
      <w:lvlText w:val="%1."/>
      <w:lvlJc w:val="left"/>
      <w:pPr>
        <w:ind w:left="720" w:hanging="360"/>
      </w:pPr>
      <w:rPr>
        <w:rFonts w:hint="default"/>
        <w:color w:val="127CC0"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1D77C19"/>
    <w:multiLevelType w:val="hybridMultilevel"/>
    <w:tmpl w:val="6BAC08D6"/>
    <w:lvl w:ilvl="0" w:tplc="5F36FD6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4" w15:restartNumberingAfterBreak="0">
    <w:nsid w:val="26E85F0A"/>
    <w:multiLevelType w:val="hybridMultilevel"/>
    <w:tmpl w:val="901E6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72E3F76"/>
    <w:multiLevelType w:val="multilevel"/>
    <w:tmpl w:val="3E5E177A"/>
    <w:name w:val="NTG Table Bullet List3322"/>
    <w:numStyleLink w:val="Tablenumberlist"/>
  </w:abstractNum>
  <w:abstractNum w:abstractNumId="26" w15:restartNumberingAfterBreak="0">
    <w:nsid w:val="27CE4608"/>
    <w:multiLevelType w:val="multilevel"/>
    <w:tmpl w:val="3E5E177A"/>
    <w:name w:val="NTG Table Bullet List33222"/>
    <w:numStyleLink w:val="Tablenumberlist"/>
  </w:abstractNum>
  <w:abstractNum w:abstractNumId="27" w15:restartNumberingAfterBreak="0">
    <w:nsid w:val="27D83E4D"/>
    <w:multiLevelType w:val="multilevel"/>
    <w:tmpl w:val="3928FD02"/>
    <w:numStyleLink w:val="Bulletlist"/>
  </w:abstractNum>
  <w:abstractNum w:abstractNumId="28" w15:restartNumberingAfterBreak="0">
    <w:nsid w:val="27E11F89"/>
    <w:multiLevelType w:val="hybridMultilevel"/>
    <w:tmpl w:val="CB24A8B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D05652A"/>
    <w:multiLevelType w:val="hybridMultilevel"/>
    <w:tmpl w:val="41967794"/>
    <w:lvl w:ilvl="0" w:tplc="7416F940">
      <w:start w:val="1"/>
      <w:numFmt w:val="lowerLetter"/>
      <w:lvlText w:val="%1."/>
      <w:lvlJc w:val="left"/>
      <w:pPr>
        <w:ind w:left="720" w:hanging="360"/>
      </w:pPr>
      <w:rPr>
        <w:rFonts w:hint="default"/>
        <w:color w:val="127CC0" w:themeColor="accen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1" w15:restartNumberingAfterBreak="0">
    <w:nsid w:val="2E693641"/>
    <w:multiLevelType w:val="multilevel"/>
    <w:tmpl w:val="3E5E177A"/>
    <w:name w:val="NTG Table Bullet List33"/>
    <w:numStyleLink w:val="Tablenumberlist"/>
  </w:abstractNum>
  <w:abstractNum w:abstractNumId="32" w15:restartNumberingAfterBreak="0">
    <w:nsid w:val="2EF077BC"/>
    <w:multiLevelType w:val="multilevel"/>
    <w:tmpl w:val="0C78A7AC"/>
    <w:name w:val="NTG Table Bullet List33222222222222222222"/>
    <w:numStyleLink w:val="Tablebulletlist"/>
  </w:abstractNum>
  <w:abstractNum w:abstractNumId="33" w15:restartNumberingAfterBreak="0">
    <w:nsid w:val="32DF44DA"/>
    <w:multiLevelType w:val="multilevel"/>
    <w:tmpl w:val="3E5E177A"/>
    <w:name w:val="NTG Table Bullet List3222323"/>
    <w:numStyleLink w:val="Tablenumberlist"/>
  </w:abstractNum>
  <w:abstractNum w:abstractNumId="34" w15:restartNumberingAfterBreak="0">
    <w:nsid w:val="33AD4036"/>
    <w:multiLevelType w:val="hybridMultilevel"/>
    <w:tmpl w:val="3CB08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41B1C19"/>
    <w:multiLevelType w:val="hybridMultilevel"/>
    <w:tmpl w:val="01D00A3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4AE24ED"/>
    <w:multiLevelType w:val="multilevel"/>
    <w:tmpl w:val="04A22D62"/>
    <w:styleLink w:val="Style1"/>
    <w:lvl w:ilvl="0">
      <w:numFmt w:val="bullet"/>
      <w:lvlText w:val="•"/>
      <w:lvlJc w:val="left"/>
      <w:pPr>
        <w:ind w:left="720" w:hanging="360"/>
      </w:pPr>
      <w:rPr>
        <w:rFonts w:ascii="Lato" w:eastAsia="Calibri" w:hAnsi="Lato"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55820DC"/>
    <w:multiLevelType w:val="hybridMultilevel"/>
    <w:tmpl w:val="AB22AAFE"/>
    <w:lvl w:ilvl="0" w:tplc="0C090001">
      <w:start w:val="1"/>
      <w:numFmt w:val="bullet"/>
      <w:lvlText w:val=""/>
      <w:lvlJc w:val="left"/>
      <w:pPr>
        <w:ind w:left="720" w:hanging="360"/>
      </w:pPr>
      <w:rPr>
        <w:rFonts w:ascii="Symbol" w:hAnsi="Symbol" w:hint="default"/>
        <w:color w:val="auto"/>
      </w:rPr>
    </w:lvl>
    <w:lvl w:ilvl="1" w:tplc="0C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9" w15:restartNumberingAfterBreak="0">
    <w:nsid w:val="36FB797E"/>
    <w:multiLevelType w:val="hybridMultilevel"/>
    <w:tmpl w:val="26E470B2"/>
    <w:lvl w:ilvl="0" w:tplc="0C09000F">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3909462A"/>
    <w:multiLevelType w:val="hybridMultilevel"/>
    <w:tmpl w:val="D3C4C1FE"/>
    <w:lvl w:ilvl="0" w:tplc="0C090001">
      <w:start w:val="1"/>
      <w:numFmt w:val="bullet"/>
      <w:lvlText w:val=""/>
      <w:lvlJc w:val="left"/>
      <w:pPr>
        <w:ind w:left="720" w:hanging="360"/>
      </w:pPr>
      <w:rPr>
        <w:rFonts w:ascii="Symbol" w:hAnsi="Symbol" w:hint="default"/>
        <w:color w:val="auto"/>
      </w:rPr>
    </w:lvl>
    <w:lvl w:ilvl="1" w:tplc="0C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BE61945"/>
    <w:multiLevelType w:val="multilevel"/>
    <w:tmpl w:val="3928FD02"/>
    <w:name w:val="NTG Table Bullet List332222222222222222"/>
    <w:numStyleLink w:val="Bulletlist"/>
  </w:abstractNum>
  <w:abstractNum w:abstractNumId="42" w15:restartNumberingAfterBreak="0">
    <w:nsid w:val="3C0843BC"/>
    <w:multiLevelType w:val="hybridMultilevel"/>
    <w:tmpl w:val="DBF0400A"/>
    <w:lvl w:ilvl="0" w:tplc="0C090001">
      <w:start w:val="1"/>
      <w:numFmt w:val="bullet"/>
      <w:lvlText w:val=""/>
      <w:lvlJc w:val="left"/>
      <w:pPr>
        <w:ind w:left="720" w:hanging="360"/>
      </w:pPr>
      <w:rPr>
        <w:rFonts w:ascii="Symbol" w:hAnsi="Symbo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3F991BB0"/>
    <w:multiLevelType w:val="hybridMultilevel"/>
    <w:tmpl w:val="E5C2E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1F92C26"/>
    <w:multiLevelType w:val="hybridMultilevel"/>
    <w:tmpl w:val="D780D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68E7355"/>
    <w:multiLevelType w:val="hybridMultilevel"/>
    <w:tmpl w:val="DCC4EAAC"/>
    <w:lvl w:ilvl="0" w:tplc="0C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9FD3A20"/>
    <w:multiLevelType w:val="multilevel"/>
    <w:tmpl w:val="3E5E177A"/>
    <w:name w:val="NTG Table Bullet List3322222222222"/>
    <w:numStyleLink w:val="Tablenumberlist"/>
  </w:abstractNum>
  <w:abstractNum w:abstractNumId="47" w15:restartNumberingAfterBreak="0">
    <w:nsid w:val="4B7B73C2"/>
    <w:multiLevelType w:val="hybridMultilevel"/>
    <w:tmpl w:val="5C826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4FB763F7"/>
    <w:multiLevelType w:val="hybridMultilevel"/>
    <w:tmpl w:val="A6D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27C2E59"/>
    <w:multiLevelType w:val="multilevel"/>
    <w:tmpl w:val="7E2CF1B6"/>
    <w:lvl w:ilvl="0">
      <w:start w:val="1"/>
      <w:numFmt w:val="decimal"/>
      <w:lvlText w:val="%1."/>
      <w:lvlJc w:val="left"/>
      <w:pPr>
        <w:ind w:left="720" w:hanging="360"/>
      </w:pPr>
      <w:rPr>
        <w:rFonts w:hint="default"/>
        <w:color w:val="auto"/>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3842BC6"/>
    <w:multiLevelType w:val="multilevel"/>
    <w:tmpl w:val="0C78A7AC"/>
    <w:numStyleLink w:val="Tablebulletlist"/>
  </w:abstractNum>
  <w:abstractNum w:abstractNumId="5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4" w15:restartNumberingAfterBreak="0">
    <w:nsid w:val="56DA2CAE"/>
    <w:multiLevelType w:val="multilevel"/>
    <w:tmpl w:val="3E5E177A"/>
    <w:name w:val="NTG Table Bullet List332222222222222"/>
    <w:numStyleLink w:val="Tablenumberlist"/>
  </w:abstractNum>
  <w:abstractNum w:abstractNumId="55" w15:restartNumberingAfterBreak="0">
    <w:nsid w:val="583359D9"/>
    <w:multiLevelType w:val="multilevel"/>
    <w:tmpl w:val="3E5E177A"/>
    <w:name w:val="NTG Table Bullet List332222222"/>
    <w:numStyleLink w:val="Tablenumberlist"/>
  </w:abstractNum>
  <w:abstractNum w:abstractNumId="56" w15:restartNumberingAfterBreak="0">
    <w:nsid w:val="5B9A5FFE"/>
    <w:multiLevelType w:val="multilevel"/>
    <w:tmpl w:val="0C78A7AC"/>
    <w:name w:val="NTG Table Bullet List33222222222222"/>
    <w:numStyleLink w:val="Tablebulletlist"/>
  </w:abstractNum>
  <w:abstractNum w:abstractNumId="57" w15:restartNumberingAfterBreak="0">
    <w:nsid w:val="5D444259"/>
    <w:multiLevelType w:val="multilevel"/>
    <w:tmpl w:val="0C78A7AC"/>
    <w:name w:val="NTG Table Bullet List332222"/>
    <w:numStyleLink w:val="Tablebulletlist"/>
  </w:abstractNum>
  <w:abstractNum w:abstractNumId="58" w15:restartNumberingAfterBreak="0">
    <w:nsid w:val="5FC71077"/>
    <w:multiLevelType w:val="hybridMultilevel"/>
    <w:tmpl w:val="BECE6F90"/>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4875D6A"/>
    <w:multiLevelType w:val="hybridMultilevel"/>
    <w:tmpl w:val="021ADD94"/>
    <w:lvl w:ilvl="0" w:tplc="AE1C0FD8">
      <w:start w:val="3"/>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9262556"/>
    <w:multiLevelType w:val="multilevel"/>
    <w:tmpl w:val="3E5E177A"/>
    <w:name w:val="NTG Table Bullet List3322222222222222"/>
    <w:numStyleLink w:val="Tablenumberlist"/>
  </w:abstractNum>
  <w:abstractNum w:abstractNumId="61" w15:restartNumberingAfterBreak="0">
    <w:nsid w:val="7453664D"/>
    <w:multiLevelType w:val="multilevel"/>
    <w:tmpl w:val="0C78A7AC"/>
    <w:name w:val="NTG Table Bullet List3322222222222222222"/>
    <w:numStyleLink w:val="Tablebulletlist"/>
  </w:abstractNum>
  <w:abstractNum w:abstractNumId="62" w15:restartNumberingAfterBreak="0">
    <w:nsid w:val="74E67912"/>
    <w:multiLevelType w:val="hybridMultilevel"/>
    <w:tmpl w:val="EB1E8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6141D1E"/>
    <w:multiLevelType w:val="multilevel"/>
    <w:tmpl w:val="0C78A7AC"/>
    <w:name w:val="NTG Table Bullet List332222222222"/>
    <w:numStyleLink w:val="Tablebulletlist"/>
  </w:abstractNum>
  <w:abstractNum w:abstractNumId="64" w15:restartNumberingAfterBreak="0">
    <w:nsid w:val="763A6883"/>
    <w:multiLevelType w:val="hybridMultilevel"/>
    <w:tmpl w:val="5C48A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6700157"/>
    <w:multiLevelType w:val="hybridMultilevel"/>
    <w:tmpl w:val="C218C01C"/>
    <w:lvl w:ilvl="0" w:tplc="0C090001">
      <w:start w:val="1"/>
      <w:numFmt w:val="bullet"/>
      <w:lvlText w:val=""/>
      <w:lvlJc w:val="left"/>
      <w:pPr>
        <w:ind w:left="720" w:hanging="360"/>
      </w:pPr>
      <w:rPr>
        <w:rFonts w:ascii="Symbol" w:hAnsi="Symbol" w:hint="default"/>
        <w:color w:val="auto"/>
      </w:rPr>
    </w:lvl>
    <w:lvl w:ilvl="1" w:tplc="0320544C">
      <w:start w:val="1"/>
      <w:numFmt w:val="decimal"/>
      <w:lvlText w:val="%2."/>
      <w:lvlJc w:val="left"/>
      <w:pPr>
        <w:ind w:left="720" w:hanging="360"/>
      </w:pPr>
      <w:rPr>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8C855DA"/>
    <w:multiLevelType w:val="hybridMultilevel"/>
    <w:tmpl w:val="B4FA4DDE"/>
    <w:lvl w:ilvl="0" w:tplc="AE1C0FD8">
      <w:start w:val="3"/>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8" w15:restartNumberingAfterBreak="0">
    <w:nsid w:val="7CA34B02"/>
    <w:multiLevelType w:val="hybridMultilevel"/>
    <w:tmpl w:val="04F69C86"/>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705102131">
    <w:abstractNumId w:val="38"/>
  </w:num>
  <w:num w:numId="2" w16cid:durableId="348915232">
    <w:abstractNumId w:val="23"/>
  </w:num>
  <w:num w:numId="3" w16cid:durableId="1916890353">
    <w:abstractNumId w:val="67"/>
  </w:num>
  <w:num w:numId="4" w16cid:durableId="79259506">
    <w:abstractNumId w:val="48"/>
  </w:num>
  <w:num w:numId="5" w16cid:durableId="922377241">
    <w:abstractNumId w:val="30"/>
  </w:num>
  <w:num w:numId="6" w16cid:durableId="387152340">
    <w:abstractNumId w:val="15"/>
  </w:num>
  <w:num w:numId="7" w16cid:durableId="441995566">
    <w:abstractNumId w:val="52"/>
  </w:num>
  <w:num w:numId="8" w16cid:durableId="801850782">
    <w:abstractNumId w:val="27"/>
  </w:num>
  <w:num w:numId="9" w16cid:durableId="338626270">
    <w:abstractNumId w:val="1"/>
  </w:num>
  <w:num w:numId="10" w16cid:durableId="1332221468">
    <w:abstractNumId w:val="29"/>
  </w:num>
  <w:num w:numId="11" w16cid:durableId="866328429">
    <w:abstractNumId w:val="20"/>
  </w:num>
  <w:num w:numId="12" w16cid:durableId="1321232477">
    <w:abstractNumId w:val="47"/>
  </w:num>
  <w:num w:numId="13" w16cid:durableId="970094192">
    <w:abstractNumId w:val="35"/>
  </w:num>
  <w:num w:numId="14" w16cid:durableId="1433865145">
    <w:abstractNumId w:val="66"/>
  </w:num>
  <w:num w:numId="15" w16cid:durableId="2013877274">
    <w:abstractNumId w:val="59"/>
  </w:num>
  <w:num w:numId="16" w16cid:durableId="854079046">
    <w:abstractNumId w:val="0"/>
  </w:num>
  <w:num w:numId="17" w16cid:durableId="1848787744">
    <w:abstractNumId w:val="50"/>
  </w:num>
  <w:num w:numId="18" w16cid:durableId="647368944">
    <w:abstractNumId w:val="39"/>
  </w:num>
  <w:num w:numId="19" w16cid:durableId="386532607">
    <w:abstractNumId w:val="36"/>
  </w:num>
  <w:num w:numId="20" w16cid:durableId="512689846">
    <w:abstractNumId w:val="51"/>
  </w:num>
  <w:num w:numId="21" w16cid:durableId="1766995342">
    <w:abstractNumId w:val="10"/>
  </w:num>
  <w:num w:numId="22" w16cid:durableId="1599170738">
    <w:abstractNumId w:val="12"/>
  </w:num>
  <w:num w:numId="23" w16cid:durableId="225607488">
    <w:abstractNumId w:val="22"/>
  </w:num>
  <w:num w:numId="24" w16cid:durableId="1325864430">
    <w:abstractNumId w:val="45"/>
  </w:num>
  <w:num w:numId="25" w16cid:durableId="1251817969">
    <w:abstractNumId w:val="21"/>
  </w:num>
  <w:num w:numId="26" w16cid:durableId="951202259">
    <w:abstractNumId w:val="2"/>
  </w:num>
  <w:num w:numId="27" w16cid:durableId="2084985827">
    <w:abstractNumId w:val="18"/>
  </w:num>
  <w:num w:numId="28" w16cid:durableId="1853688377">
    <w:abstractNumId w:val="8"/>
  </w:num>
  <w:num w:numId="29" w16cid:durableId="890581758">
    <w:abstractNumId w:val="62"/>
  </w:num>
  <w:num w:numId="30" w16cid:durableId="771708636">
    <w:abstractNumId w:val="64"/>
  </w:num>
  <w:num w:numId="31" w16cid:durableId="693458442">
    <w:abstractNumId w:val="28"/>
  </w:num>
  <w:num w:numId="32" w16cid:durableId="1360932441">
    <w:abstractNumId w:val="24"/>
  </w:num>
  <w:num w:numId="33" w16cid:durableId="1040206608">
    <w:abstractNumId w:val="44"/>
  </w:num>
  <w:num w:numId="34" w16cid:durableId="1324894814">
    <w:abstractNumId w:val="40"/>
  </w:num>
  <w:num w:numId="35" w16cid:durableId="1048652322">
    <w:abstractNumId w:val="42"/>
  </w:num>
  <w:num w:numId="36" w16cid:durableId="1957252044">
    <w:abstractNumId w:val="37"/>
  </w:num>
  <w:num w:numId="37" w16cid:durableId="1880244538">
    <w:abstractNumId w:val="65"/>
  </w:num>
  <w:num w:numId="38" w16cid:durableId="718475788">
    <w:abstractNumId w:val="34"/>
  </w:num>
  <w:num w:numId="39" w16cid:durableId="197860807">
    <w:abstractNumId w:val="43"/>
  </w:num>
  <w:num w:numId="40" w16cid:durableId="719593387">
    <w:abstractNumId w:val="4"/>
  </w:num>
  <w:num w:numId="41" w16cid:durableId="1773552640">
    <w:abstractNumId w:val="58"/>
  </w:num>
  <w:num w:numId="42" w16cid:durableId="2119371835">
    <w:abstractNumId w:val="68"/>
  </w:num>
  <w:num w:numId="43" w16cid:durableId="168867187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337"/>
    <w:rsid w:val="00001DDF"/>
    <w:rsid w:val="00001FD0"/>
    <w:rsid w:val="0000322D"/>
    <w:rsid w:val="00007670"/>
    <w:rsid w:val="00010665"/>
    <w:rsid w:val="0002097B"/>
    <w:rsid w:val="0002393A"/>
    <w:rsid w:val="00027481"/>
    <w:rsid w:val="00027DB8"/>
    <w:rsid w:val="00031A96"/>
    <w:rsid w:val="00040BF3"/>
    <w:rsid w:val="0004211C"/>
    <w:rsid w:val="00046C59"/>
    <w:rsid w:val="00051362"/>
    <w:rsid w:val="00051F45"/>
    <w:rsid w:val="00052953"/>
    <w:rsid w:val="0005341A"/>
    <w:rsid w:val="00056DEF"/>
    <w:rsid w:val="00056EDC"/>
    <w:rsid w:val="00063587"/>
    <w:rsid w:val="00063D76"/>
    <w:rsid w:val="00063FC1"/>
    <w:rsid w:val="0006635A"/>
    <w:rsid w:val="00067F17"/>
    <w:rsid w:val="000720BE"/>
    <w:rsid w:val="0007259C"/>
    <w:rsid w:val="000739C3"/>
    <w:rsid w:val="000801B3"/>
    <w:rsid w:val="00080202"/>
    <w:rsid w:val="00080DCD"/>
    <w:rsid w:val="00080E22"/>
    <w:rsid w:val="00081FE2"/>
    <w:rsid w:val="00082573"/>
    <w:rsid w:val="000840A3"/>
    <w:rsid w:val="000845A2"/>
    <w:rsid w:val="00085062"/>
    <w:rsid w:val="00086A5F"/>
    <w:rsid w:val="00087431"/>
    <w:rsid w:val="00087DD4"/>
    <w:rsid w:val="000911EF"/>
    <w:rsid w:val="000962C5"/>
    <w:rsid w:val="000962E0"/>
    <w:rsid w:val="0009684F"/>
    <w:rsid w:val="00097865"/>
    <w:rsid w:val="000A17B2"/>
    <w:rsid w:val="000A4317"/>
    <w:rsid w:val="000A559C"/>
    <w:rsid w:val="000B2CA1"/>
    <w:rsid w:val="000D1F29"/>
    <w:rsid w:val="000D5337"/>
    <w:rsid w:val="000D633D"/>
    <w:rsid w:val="000E342B"/>
    <w:rsid w:val="000E3ED2"/>
    <w:rsid w:val="000E4734"/>
    <w:rsid w:val="000E5DD2"/>
    <w:rsid w:val="000F2958"/>
    <w:rsid w:val="000F3850"/>
    <w:rsid w:val="000F604F"/>
    <w:rsid w:val="00104E7F"/>
    <w:rsid w:val="001137EC"/>
    <w:rsid w:val="001152F5"/>
    <w:rsid w:val="00117743"/>
    <w:rsid w:val="00117F5B"/>
    <w:rsid w:val="00132658"/>
    <w:rsid w:val="00133394"/>
    <w:rsid w:val="001350F4"/>
    <w:rsid w:val="00137182"/>
    <w:rsid w:val="001376F7"/>
    <w:rsid w:val="00150DC0"/>
    <w:rsid w:val="0015394D"/>
    <w:rsid w:val="00154BEA"/>
    <w:rsid w:val="00156CD4"/>
    <w:rsid w:val="0016153B"/>
    <w:rsid w:val="00162207"/>
    <w:rsid w:val="00164A3E"/>
    <w:rsid w:val="00166FF6"/>
    <w:rsid w:val="00176123"/>
    <w:rsid w:val="00177FBC"/>
    <w:rsid w:val="00181620"/>
    <w:rsid w:val="00184CB4"/>
    <w:rsid w:val="00187130"/>
    <w:rsid w:val="00194EF1"/>
    <w:rsid w:val="001957AD"/>
    <w:rsid w:val="00196F8E"/>
    <w:rsid w:val="001A2B7F"/>
    <w:rsid w:val="001A3AFD"/>
    <w:rsid w:val="001A496C"/>
    <w:rsid w:val="001A576A"/>
    <w:rsid w:val="001B21A4"/>
    <w:rsid w:val="001B28DA"/>
    <w:rsid w:val="001B2B6C"/>
    <w:rsid w:val="001B51AA"/>
    <w:rsid w:val="001C141E"/>
    <w:rsid w:val="001D01C4"/>
    <w:rsid w:val="001D2F5C"/>
    <w:rsid w:val="001D4F99"/>
    <w:rsid w:val="001D52B0"/>
    <w:rsid w:val="001D5A18"/>
    <w:rsid w:val="001D7CA4"/>
    <w:rsid w:val="001E057F"/>
    <w:rsid w:val="001E14EB"/>
    <w:rsid w:val="001F0008"/>
    <w:rsid w:val="001F59E6"/>
    <w:rsid w:val="00203F1C"/>
    <w:rsid w:val="00206936"/>
    <w:rsid w:val="00206C6F"/>
    <w:rsid w:val="00206FBD"/>
    <w:rsid w:val="00207746"/>
    <w:rsid w:val="00216439"/>
    <w:rsid w:val="00217E5F"/>
    <w:rsid w:val="00221F86"/>
    <w:rsid w:val="00226210"/>
    <w:rsid w:val="00230031"/>
    <w:rsid w:val="002325C9"/>
    <w:rsid w:val="00234460"/>
    <w:rsid w:val="00235C01"/>
    <w:rsid w:val="002471AD"/>
    <w:rsid w:val="00247343"/>
    <w:rsid w:val="00252ACF"/>
    <w:rsid w:val="00254D46"/>
    <w:rsid w:val="00265C56"/>
    <w:rsid w:val="002715FA"/>
    <w:rsid w:val="002716CD"/>
    <w:rsid w:val="00273E66"/>
    <w:rsid w:val="00274D4B"/>
    <w:rsid w:val="002806F5"/>
    <w:rsid w:val="00281577"/>
    <w:rsid w:val="0028597B"/>
    <w:rsid w:val="002873B8"/>
    <w:rsid w:val="00287AF2"/>
    <w:rsid w:val="00287D73"/>
    <w:rsid w:val="00292386"/>
    <w:rsid w:val="002926BC"/>
    <w:rsid w:val="00293A72"/>
    <w:rsid w:val="002A0160"/>
    <w:rsid w:val="002A30C3"/>
    <w:rsid w:val="002A58DE"/>
    <w:rsid w:val="002A6F6A"/>
    <w:rsid w:val="002A7712"/>
    <w:rsid w:val="002B38F7"/>
    <w:rsid w:val="002B4F50"/>
    <w:rsid w:val="002B5591"/>
    <w:rsid w:val="002B6AA4"/>
    <w:rsid w:val="002C1FE9"/>
    <w:rsid w:val="002C6E6B"/>
    <w:rsid w:val="002D106D"/>
    <w:rsid w:val="002D1531"/>
    <w:rsid w:val="002D153D"/>
    <w:rsid w:val="002D3A57"/>
    <w:rsid w:val="002D6524"/>
    <w:rsid w:val="002D7D05"/>
    <w:rsid w:val="002E20C8"/>
    <w:rsid w:val="002E4290"/>
    <w:rsid w:val="002E4D8D"/>
    <w:rsid w:val="002E66A6"/>
    <w:rsid w:val="002F0DB1"/>
    <w:rsid w:val="002F2885"/>
    <w:rsid w:val="002F45A1"/>
    <w:rsid w:val="002F625B"/>
    <w:rsid w:val="002F79E1"/>
    <w:rsid w:val="0030203D"/>
    <w:rsid w:val="003037F9"/>
    <w:rsid w:val="0030583E"/>
    <w:rsid w:val="00307FE1"/>
    <w:rsid w:val="003103B2"/>
    <w:rsid w:val="003164BA"/>
    <w:rsid w:val="00316DC6"/>
    <w:rsid w:val="003258E6"/>
    <w:rsid w:val="00335420"/>
    <w:rsid w:val="00337240"/>
    <w:rsid w:val="00340B2D"/>
    <w:rsid w:val="00341310"/>
    <w:rsid w:val="00342283"/>
    <w:rsid w:val="00342C43"/>
    <w:rsid w:val="00343A87"/>
    <w:rsid w:val="00344A36"/>
    <w:rsid w:val="003456F4"/>
    <w:rsid w:val="00346102"/>
    <w:rsid w:val="00347F23"/>
    <w:rsid w:val="00347FB6"/>
    <w:rsid w:val="003504FD"/>
    <w:rsid w:val="00350881"/>
    <w:rsid w:val="00351B85"/>
    <w:rsid w:val="003557B1"/>
    <w:rsid w:val="00357D55"/>
    <w:rsid w:val="00363513"/>
    <w:rsid w:val="003657E5"/>
    <w:rsid w:val="0036589C"/>
    <w:rsid w:val="00371312"/>
    <w:rsid w:val="00371767"/>
    <w:rsid w:val="00371DC7"/>
    <w:rsid w:val="00372C9D"/>
    <w:rsid w:val="00377B21"/>
    <w:rsid w:val="0038161F"/>
    <w:rsid w:val="00382A7F"/>
    <w:rsid w:val="00390862"/>
    <w:rsid w:val="00390CE3"/>
    <w:rsid w:val="00394876"/>
    <w:rsid w:val="00394AAF"/>
    <w:rsid w:val="00394CE5"/>
    <w:rsid w:val="0039746B"/>
    <w:rsid w:val="003A6341"/>
    <w:rsid w:val="003A721F"/>
    <w:rsid w:val="003B049C"/>
    <w:rsid w:val="003B197B"/>
    <w:rsid w:val="003B67FD"/>
    <w:rsid w:val="003B6A61"/>
    <w:rsid w:val="003C2198"/>
    <w:rsid w:val="003C4941"/>
    <w:rsid w:val="003D0F63"/>
    <w:rsid w:val="003D42C0"/>
    <w:rsid w:val="003D4A8F"/>
    <w:rsid w:val="003D5B29"/>
    <w:rsid w:val="003D7818"/>
    <w:rsid w:val="003E2445"/>
    <w:rsid w:val="003E3BB2"/>
    <w:rsid w:val="003E4985"/>
    <w:rsid w:val="003E4CF5"/>
    <w:rsid w:val="003F3933"/>
    <w:rsid w:val="003F5B58"/>
    <w:rsid w:val="0040222A"/>
    <w:rsid w:val="004041C2"/>
    <w:rsid w:val="00404690"/>
    <w:rsid w:val="004047BC"/>
    <w:rsid w:val="004100F7"/>
    <w:rsid w:val="004132B9"/>
    <w:rsid w:val="00414CB3"/>
    <w:rsid w:val="0041563D"/>
    <w:rsid w:val="00416C72"/>
    <w:rsid w:val="00426E25"/>
    <w:rsid w:val="00427D9C"/>
    <w:rsid w:val="00427E7E"/>
    <w:rsid w:val="00431C24"/>
    <w:rsid w:val="00434360"/>
    <w:rsid w:val="0043465D"/>
    <w:rsid w:val="00435082"/>
    <w:rsid w:val="00443B6E"/>
    <w:rsid w:val="00450636"/>
    <w:rsid w:val="00453571"/>
    <w:rsid w:val="0045420A"/>
    <w:rsid w:val="004554D4"/>
    <w:rsid w:val="00461744"/>
    <w:rsid w:val="00461CD5"/>
    <w:rsid w:val="00466185"/>
    <w:rsid w:val="00466303"/>
    <w:rsid w:val="004668A7"/>
    <w:rsid w:val="00466D96"/>
    <w:rsid w:val="00467747"/>
    <w:rsid w:val="00470017"/>
    <w:rsid w:val="0047105A"/>
    <w:rsid w:val="00473774"/>
    <w:rsid w:val="00473C98"/>
    <w:rsid w:val="00474965"/>
    <w:rsid w:val="00475A76"/>
    <w:rsid w:val="00477D3A"/>
    <w:rsid w:val="0048196C"/>
    <w:rsid w:val="00482DF8"/>
    <w:rsid w:val="004864DE"/>
    <w:rsid w:val="00494BE5"/>
    <w:rsid w:val="004A0EBA"/>
    <w:rsid w:val="004A2538"/>
    <w:rsid w:val="004A331E"/>
    <w:rsid w:val="004B0C15"/>
    <w:rsid w:val="004B35EA"/>
    <w:rsid w:val="004B5586"/>
    <w:rsid w:val="004B674A"/>
    <w:rsid w:val="004B69E4"/>
    <w:rsid w:val="004C5A40"/>
    <w:rsid w:val="004C6AF4"/>
    <w:rsid w:val="004C6C39"/>
    <w:rsid w:val="004D0080"/>
    <w:rsid w:val="004D075F"/>
    <w:rsid w:val="004D1B76"/>
    <w:rsid w:val="004D1F1F"/>
    <w:rsid w:val="004D344E"/>
    <w:rsid w:val="004D464A"/>
    <w:rsid w:val="004D7160"/>
    <w:rsid w:val="004D7388"/>
    <w:rsid w:val="004E019E"/>
    <w:rsid w:val="004E06EC"/>
    <w:rsid w:val="004E0A3F"/>
    <w:rsid w:val="004E2CB7"/>
    <w:rsid w:val="004F016A"/>
    <w:rsid w:val="004F2153"/>
    <w:rsid w:val="004F4DFA"/>
    <w:rsid w:val="00500F94"/>
    <w:rsid w:val="00502FB3"/>
    <w:rsid w:val="00503DE9"/>
    <w:rsid w:val="0050452B"/>
    <w:rsid w:val="0050530C"/>
    <w:rsid w:val="00505DEA"/>
    <w:rsid w:val="00507782"/>
    <w:rsid w:val="00507850"/>
    <w:rsid w:val="00512A04"/>
    <w:rsid w:val="00520499"/>
    <w:rsid w:val="005249F5"/>
    <w:rsid w:val="005260F7"/>
    <w:rsid w:val="00526520"/>
    <w:rsid w:val="00540D86"/>
    <w:rsid w:val="00543BD1"/>
    <w:rsid w:val="005538DA"/>
    <w:rsid w:val="00556113"/>
    <w:rsid w:val="0055616B"/>
    <w:rsid w:val="00562F76"/>
    <w:rsid w:val="00564C12"/>
    <w:rsid w:val="005654B8"/>
    <w:rsid w:val="00570D94"/>
    <w:rsid w:val="005711E2"/>
    <w:rsid w:val="005762CC"/>
    <w:rsid w:val="00582D3D"/>
    <w:rsid w:val="005879B1"/>
    <w:rsid w:val="00590040"/>
    <w:rsid w:val="0059009D"/>
    <w:rsid w:val="00595386"/>
    <w:rsid w:val="00597234"/>
    <w:rsid w:val="005A16EB"/>
    <w:rsid w:val="005A310E"/>
    <w:rsid w:val="005A4AC0"/>
    <w:rsid w:val="005A4FF7"/>
    <w:rsid w:val="005A539B"/>
    <w:rsid w:val="005A5FDF"/>
    <w:rsid w:val="005B0FB7"/>
    <w:rsid w:val="005B122A"/>
    <w:rsid w:val="005B1FCB"/>
    <w:rsid w:val="005B3AB0"/>
    <w:rsid w:val="005B44C6"/>
    <w:rsid w:val="005B5AC2"/>
    <w:rsid w:val="005B75CA"/>
    <w:rsid w:val="005C1F48"/>
    <w:rsid w:val="005C2833"/>
    <w:rsid w:val="005C74D5"/>
    <w:rsid w:val="005E144D"/>
    <w:rsid w:val="005E1500"/>
    <w:rsid w:val="005E3A43"/>
    <w:rsid w:val="005F0B17"/>
    <w:rsid w:val="005F2380"/>
    <w:rsid w:val="005F6602"/>
    <w:rsid w:val="005F77C7"/>
    <w:rsid w:val="005F7AC4"/>
    <w:rsid w:val="00603A8A"/>
    <w:rsid w:val="00620675"/>
    <w:rsid w:val="00622910"/>
    <w:rsid w:val="006254B6"/>
    <w:rsid w:val="00627FC8"/>
    <w:rsid w:val="006433C3"/>
    <w:rsid w:val="00650905"/>
    <w:rsid w:val="00650F5B"/>
    <w:rsid w:val="0065191F"/>
    <w:rsid w:val="006670D7"/>
    <w:rsid w:val="006719EA"/>
    <w:rsid w:val="00671E98"/>
    <w:rsid w:val="00671F13"/>
    <w:rsid w:val="0067400A"/>
    <w:rsid w:val="00683702"/>
    <w:rsid w:val="006847AD"/>
    <w:rsid w:val="00685843"/>
    <w:rsid w:val="0069114B"/>
    <w:rsid w:val="006944C1"/>
    <w:rsid w:val="0069717D"/>
    <w:rsid w:val="006A756A"/>
    <w:rsid w:val="006B7D1B"/>
    <w:rsid w:val="006C0EC2"/>
    <w:rsid w:val="006C2BE1"/>
    <w:rsid w:val="006D26A1"/>
    <w:rsid w:val="006D57E9"/>
    <w:rsid w:val="006D66F7"/>
    <w:rsid w:val="006E257F"/>
    <w:rsid w:val="007019DE"/>
    <w:rsid w:val="00705C9D"/>
    <w:rsid w:val="00705F13"/>
    <w:rsid w:val="00706189"/>
    <w:rsid w:val="0070624C"/>
    <w:rsid w:val="00710ABD"/>
    <w:rsid w:val="00714F1D"/>
    <w:rsid w:val="00715225"/>
    <w:rsid w:val="0071700C"/>
    <w:rsid w:val="00720662"/>
    <w:rsid w:val="00720CC6"/>
    <w:rsid w:val="00722DDB"/>
    <w:rsid w:val="00724728"/>
    <w:rsid w:val="00724F98"/>
    <w:rsid w:val="00726981"/>
    <w:rsid w:val="00730B9B"/>
    <w:rsid w:val="0073182E"/>
    <w:rsid w:val="00731A6D"/>
    <w:rsid w:val="007332FF"/>
    <w:rsid w:val="007408F5"/>
    <w:rsid w:val="00741EAE"/>
    <w:rsid w:val="00753E40"/>
    <w:rsid w:val="00754CC9"/>
    <w:rsid w:val="00755248"/>
    <w:rsid w:val="0076190B"/>
    <w:rsid w:val="0076355D"/>
    <w:rsid w:val="00763A2D"/>
    <w:rsid w:val="007676A4"/>
    <w:rsid w:val="00771040"/>
    <w:rsid w:val="00776BCD"/>
    <w:rsid w:val="00777795"/>
    <w:rsid w:val="0077793B"/>
    <w:rsid w:val="00781DBE"/>
    <w:rsid w:val="00783A57"/>
    <w:rsid w:val="00783B75"/>
    <w:rsid w:val="00784C92"/>
    <w:rsid w:val="007859CD"/>
    <w:rsid w:val="00785C24"/>
    <w:rsid w:val="007907E4"/>
    <w:rsid w:val="007949BF"/>
    <w:rsid w:val="00796461"/>
    <w:rsid w:val="007A2A24"/>
    <w:rsid w:val="007A66DE"/>
    <w:rsid w:val="007A6A4F"/>
    <w:rsid w:val="007A7308"/>
    <w:rsid w:val="007B03F5"/>
    <w:rsid w:val="007B4935"/>
    <w:rsid w:val="007B5C09"/>
    <w:rsid w:val="007B5DA2"/>
    <w:rsid w:val="007C0429"/>
    <w:rsid w:val="007C0966"/>
    <w:rsid w:val="007C123B"/>
    <w:rsid w:val="007C19E7"/>
    <w:rsid w:val="007C5CFD"/>
    <w:rsid w:val="007C64B2"/>
    <w:rsid w:val="007C6D9F"/>
    <w:rsid w:val="007D0F31"/>
    <w:rsid w:val="007D4893"/>
    <w:rsid w:val="007D79C9"/>
    <w:rsid w:val="007E61A0"/>
    <w:rsid w:val="007E70CF"/>
    <w:rsid w:val="007E74A4"/>
    <w:rsid w:val="007F1B6F"/>
    <w:rsid w:val="007F25B4"/>
    <w:rsid w:val="007F263F"/>
    <w:rsid w:val="007F38B5"/>
    <w:rsid w:val="0080122E"/>
    <w:rsid w:val="008015A8"/>
    <w:rsid w:val="00805A90"/>
    <w:rsid w:val="00805C9C"/>
    <w:rsid w:val="0080766E"/>
    <w:rsid w:val="00811169"/>
    <w:rsid w:val="00815297"/>
    <w:rsid w:val="008170DB"/>
    <w:rsid w:val="00817BA1"/>
    <w:rsid w:val="00822908"/>
    <w:rsid w:val="00823022"/>
    <w:rsid w:val="0082634E"/>
    <w:rsid w:val="008313C4"/>
    <w:rsid w:val="00835434"/>
    <w:rsid w:val="008358C0"/>
    <w:rsid w:val="00842838"/>
    <w:rsid w:val="00844FC9"/>
    <w:rsid w:val="0085152D"/>
    <w:rsid w:val="008543D6"/>
    <w:rsid w:val="00854EC1"/>
    <w:rsid w:val="0085717D"/>
    <w:rsid w:val="0085797F"/>
    <w:rsid w:val="008605A3"/>
    <w:rsid w:val="00861DC3"/>
    <w:rsid w:val="00864711"/>
    <w:rsid w:val="00866FC7"/>
    <w:rsid w:val="00867019"/>
    <w:rsid w:val="00867ACD"/>
    <w:rsid w:val="00872EF1"/>
    <w:rsid w:val="008735A9"/>
    <w:rsid w:val="0087789F"/>
    <w:rsid w:val="00877BC5"/>
    <w:rsid w:val="00877D20"/>
    <w:rsid w:val="00881C48"/>
    <w:rsid w:val="00885B80"/>
    <w:rsid w:val="00885C30"/>
    <w:rsid w:val="00885E9B"/>
    <w:rsid w:val="0089368E"/>
    <w:rsid w:val="00893C96"/>
    <w:rsid w:val="00893D01"/>
    <w:rsid w:val="0089500A"/>
    <w:rsid w:val="00897C94"/>
    <w:rsid w:val="008A370B"/>
    <w:rsid w:val="008A4B30"/>
    <w:rsid w:val="008A7C12"/>
    <w:rsid w:val="008B03CE"/>
    <w:rsid w:val="008B529E"/>
    <w:rsid w:val="008C17FB"/>
    <w:rsid w:val="008C70BB"/>
    <w:rsid w:val="008D1B00"/>
    <w:rsid w:val="008D57B8"/>
    <w:rsid w:val="008D6654"/>
    <w:rsid w:val="008D7877"/>
    <w:rsid w:val="008E03FC"/>
    <w:rsid w:val="008E510B"/>
    <w:rsid w:val="008F42C3"/>
    <w:rsid w:val="008F4F54"/>
    <w:rsid w:val="00902B13"/>
    <w:rsid w:val="00903DD0"/>
    <w:rsid w:val="00911941"/>
    <w:rsid w:val="009142A8"/>
    <w:rsid w:val="0092024D"/>
    <w:rsid w:val="00920C04"/>
    <w:rsid w:val="00925146"/>
    <w:rsid w:val="00925F0F"/>
    <w:rsid w:val="00932F6B"/>
    <w:rsid w:val="009444F0"/>
    <w:rsid w:val="009468BC"/>
    <w:rsid w:val="00947FAE"/>
    <w:rsid w:val="009567E9"/>
    <w:rsid w:val="009616DF"/>
    <w:rsid w:val="00962AA9"/>
    <w:rsid w:val="0096542F"/>
    <w:rsid w:val="00965538"/>
    <w:rsid w:val="0096629F"/>
    <w:rsid w:val="00967FA7"/>
    <w:rsid w:val="00971645"/>
    <w:rsid w:val="00971D4B"/>
    <w:rsid w:val="00977919"/>
    <w:rsid w:val="009809DE"/>
    <w:rsid w:val="00983000"/>
    <w:rsid w:val="009870FA"/>
    <w:rsid w:val="009918D1"/>
    <w:rsid w:val="00991AF3"/>
    <w:rsid w:val="009921C3"/>
    <w:rsid w:val="0099551D"/>
    <w:rsid w:val="009A5897"/>
    <w:rsid w:val="009A5F24"/>
    <w:rsid w:val="009B0B3E"/>
    <w:rsid w:val="009B1913"/>
    <w:rsid w:val="009B6657"/>
    <w:rsid w:val="009B6966"/>
    <w:rsid w:val="009C17DD"/>
    <w:rsid w:val="009D040D"/>
    <w:rsid w:val="009D0EB5"/>
    <w:rsid w:val="009D14F9"/>
    <w:rsid w:val="009D2B74"/>
    <w:rsid w:val="009D63FF"/>
    <w:rsid w:val="009E175D"/>
    <w:rsid w:val="009E3CC2"/>
    <w:rsid w:val="009E6155"/>
    <w:rsid w:val="009E7EB3"/>
    <w:rsid w:val="009F06BD"/>
    <w:rsid w:val="009F0B17"/>
    <w:rsid w:val="009F2A4D"/>
    <w:rsid w:val="009F3113"/>
    <w:rsid w:val="00A00828"/>
    <w:rsid w:val="00A027DF"/>
    <w:rsid w:val="00A03290"/>
    <w:rsid w:val="00A0387E"/>
    <w:rsid w:val="00A05BFD"/>
    <w:rsid w:val="00A07490"/>
    <w:rsid w:val="00A10655"/>
    <w:rsid w:val="00A12B64"/>
    <w:rsid w:val="00A12C99"/>
    <w:rsid w:val="00A22C38"/>
    <w:rsid w:val="00A25193"/>
    <w:rsid w:val="00A26E80"/>
    <w:rsid w:val="00A31AE8"/>
    <w:rsid w:val="00A336FE"/>
    <w:rsid w:val="00A34038"/>
    <w:rsid w:val="00A35CD3"/>
    <w:rsid w:val="00A3739D"/>
    <w:rsid w:val="00A37DDA"/>
    <w:rsid w:val="00A408D2"/>
    <w:rsid w:val="00A45005"/>
    <w:rsid w:val="00A50B2A"/>
    <w:rsid w:val="00A567EE"/>
    <w:rsid w:val="00A70DD8"/>
    <w:rsid w:val="00A76790"/>
    <w:rsid w:val="00A85D0C"/>
    <w:rsid w:val="00A925EC"/>
    <w:rsid w:val="00A929AA"/>
    <w:rsid w:val="00A92B6B"/>
    <w:rsid w:val="00AA375D"/>
    <w:rsid w:val="00AA541E"/>
    <w:rsid w:val="00AB5205"/>
    <w:rsid w:val="00AB5DA6"/>
    <w:rsid w:val="00AB7469"/>
    <w:rsid w:val="00AC46AF"/>
    <w:rsid w:val="00AC768C"/>
    <w:rsid w:val="00AD0DA4"/>
    <w:rsid w:val="00AD4169"/>
    <w:rsid w:val="00AE25C6"/>
    <w:rsid w:val="00AE306C"/>
    <w:rsid w:val="00AE7A7D"/>
    <w:rsid w:val="00AF28C1"/>
    <w:rsid w:val="00AF374E"/>
    <w:rsid w:val="00B02EF1"/>
    <w:rsid w:val="00B03A39"/>
    <w:rsid w:val="00B047F4"/>
    <w:rsid w:val="00B07C97"/>
    <w:rsid w:val="00B11C67"/>
    <w:rsid w:val="00B14257"/>
    <w:rsid w:val="00B15754"/>
    <w:rsid w:val="00B16002"/>
    <w:rsid w:val="00B2046E"/>
    <w:rsid w:val="00B20E8B"/>
    <w:rsid w:val="00B250C0"/>
    <w:rsid w:val="00B257E1"/>
    <w:rsid w:val="00B2599A"/>
    <w:rsid w:val="00B27AC4"/>
    <w:rsid w:val="00B343CC"/>
    <w:rsid w:val="00B40BFE"/>
    <w:rsid w:val="00B5084A"/>
    <w:rsid w:val="00B606A1"/>
    <w:rsid w:val="00B614F7"/>
    <w:rsid w:val="00B61B26"/>
    <w:rsid w:val="00B64C86"/>
    <w:rsid w:val="00B65E6B"/>
    <w:rsid w:val="00B675B2"/>
    <w:rsid w:val="00B70120"/>
    <w:rsid w:val="00B75040"/>
    <w:rsid w:val="00B81261"/>
    <w:rsid w:val="00B8223E"/>
    <w:rsid w:val="00B832AE"/>
    <w:rsid w:val="00B86678"/>
    <w:rsid w:val="00B87DE3"/>
    <w:rsid w:val="00B91665"/>
    <w:rsid w:val="00B92F9B"/>
    <w:rsid w:val="00B941B3"/>
    <w:rsid w:val="00B96513"/>
    <w:rsid w:val="00BA1D47"/>
    <w:rsid w:val="00BA66F0"/>
    <w:rsid w:val="00BB1ABD"/>
    <w:rsid w:val="00BB2239"/>
    <w:rsid w:val="00BB2AE7"/>
    <w:rsid w:val="00BB6464"/>
    <w:rsid w:val="00BC1BB8"/>
    <w:rsid w:val="00BD35F4"/>
    <w:rsid w:val="00BD7FE1"/>
    <w:rsid w:val="00BE21E7"/>
    <w:rsid w:val="00BE37CA"/>
    <w:rsid w:val="00BE4B80"/>
    <w:rsid w:val="00BE6144"/>
    <w:rsid w:val="00BE61E9"/>
    <w:rsid w:val="00BE635A"/>
    <w:rsid w:val="00BF17E9"/>
    <w:rsid w:val="00BF235F"/>
    <w:rsid w:val="00BF2ABB"/>
    <w:rsid w:val="00BF5099"/>
    <w:rsid w:val="00BF50DD"/>
    <w:rsid w:val="00C01465"/>
    <w:rsid w:val="00C105D9"/>
    <w:rsid w:val="00C10B5E"/>
    <w:rsid w:val="00C10F10"/>
    <w:rsid w:val="00C15D4D"/>
    <w:rsid w:val="00C175DC"/>
    <w:rsid w:val="00C177A4"/>
    <w:rsid w:val="00C17F46"/>
    <w:rsid w:val="00C30171"/>
    <w:rsid w:val="00C309D8"/>
    <w:rsid w:val="00C43519"/>
    <w:rsid w:val="00C45263"/>
    <w:rsid w:val="00C51537"/>
    <w:rsid w:val="00C52BC3"/>
    <w:rsid w:val="00C530F0"/>
    <w:rsid w:val="00C61AFA"/>
    <w:rsid w:val="00C61D64"/>
    <w:rsid w:val="00C62099"/>
    <w:rsid w:val="00C62A34"/>
    <w:rsid w:val="00C64EA3"/>
    <w:rsid w:val="00C705B2"/>
    <w:rsid w:val="00C725AB"/>
    <w:rsid w:val="00C72867"/>
    <w:rsid w:val="00C75E81"/>
    <w:rsid w:val="00C83BB6"/>
    <w:rsid w:val="00C84AC1"/>
    <w:rsid w:val="00C86609"/>
    <w:rsid w:val="00C91E08"/>
    <w:rsid w:val="00C9211F"/>
    <w:rsid w:val="00C92B4C"/>
    <w:rsid w:val="00C954F6"/>
    <w:rsid w:val="00CA36A0"/>
    <w:rsid w:val="00CA6BC5"/>
    <w:rsid w:val="00CC29D4"/>
    <w:rsid w:val="00CC571B"/>
    <w:rsid w:val="00CC61CD"/>
    <w:rsid w:val="00CC6C02"/>
    <w:rsid w:val="00CC737B"/>
    <w:rsid w:val="00CD5011"/>
    <w:rsid w:val="00CD5D6E"/>
    <w:rsid w:val="00CE640F"/>
    <w:rsid w:val="00CE76BC"/>
    <w:rsid w:val="00CF1D9F"/>
    <w:rsid w:val="00CF3928"/>
    <w:rsid w:val="00CF4845"/>
    <w:rsid w:val="00CF4988"/>
    <w:rsid w:val="00CF540E"/>
    <w:rsid w:val="00CF6F4E"/>
    <w:rsid w:val="00D0215B"/>
    <w:rsid w:val="00D02F07"/>
    <w:rsid w:val="00D15D88"/>
    <w:rsid w:val="00D16F21"/>
    <w:rsid w:val="00D22BC2"/>
    <w:rsid w:val="00D27D49"/>
    <w:rsid w:val="00D27EBE"/>
    <w:rsid w:val="00D32297"/>
    <w:rsid w:val="00D36A49"/>
    <w:rsid w:val="00D43B55"/>
    <w:rsid w:val="00D44123"/>
    <w:rsid w:val="00D47DC7"/>
    <w:rsid w:val="00D5063F"/>
    <w:rsid w:val="00D517C6"/>
    <w:rsid w:val="00D569A8"/>
    <w:rsid w:val="00D61622"/>
    <w:rsid w:val="00D6289F"/>
    <w:rsid w:val="00D62A1B"/>
    <w:rsid w:val="00D64BE9"/>
    <w:rsid w:val="00D71D84"/>
    <w:rsid w:val="00D72464"/>
    <w:rsid w:val="00D7278A"/>
    <w:rsid w:val="00D72A57"/>
    <w:rsid w:val="00D760FF"/>
    <w:rsid w:val="00D768EB"/>
    <w:rsid w:val="00D81E17"/>
    <w:rsid w:val="00D82D1E"/>
    <w:rsid w:val="00D832D9"/>
    <w:rsid w:val="00D909D7"/>
    <w:rsid w:val="00D90F00"/>
    <w:rsid w:val="00D93972"/>
    <w:rsid w:val="00D96804"/>
    <w:rsid w:val="00D975C0"/>
    <w:rsid w:val="00DA5285"/>
    <w:rsid w:val="00DB191D"/>
    <w:rsid w:val="00DB4F91"/>
    <w:rsid w:val="00DB6D0A"/>
    <w:rsid w:val="00DC06BE"/>
    <w:rsid w:val="00DC1F0F"/>
    <w:rsid w:val="00DC3117"/>
    <w:rsid w:val="00DC4E2A"/>
    <w:rsid w:val="00DC5DD9"/>
    <w:rsid w:val="00DC6C0A"/>
    <w:rsid w:val="00DC6D2D"/>
    <w:rsid w:val="00DD167E"/>
    <w:rsid w:val="00DD4E59"/>
    <w:rsid w:val="00DE33B5"/>
    <w:rsid w:val="00DE45FC"/>
    <w:rsid w:val="00DE5E18"/>
    <w:rsid w:val="00DF0487"/>
    <w:rsid w:val="00DF5EA4"/>
    <w:rsid w:val="00DF7E21"/>
    <w:rsid w:val="00E02681"/>
    <w:rsid w:val="00E02792"/>
    <w:rsid w:val="00E034D8"/>
    <w:rsid w:val="00E04CC0"/>
    <w:rsid w:val="00E07F95"/>
    <w:rsid w:val="00E10137"/>
    <w:rsid w:val="00E13A83"/>
    <w:rsid w:val="00E15816"/>
    <w:rsid w:val="00E160D5"/>
    <w:rsid w:val="00E21586"/>
    <w:rsid w:val="00E239FF"/>
    <w:rsid w:val="00E27D7B"/>
    <w:rsid w:val="00E30556"/>
    <w:rsid w:val="00E30981"/>
    <w:rsid w:val="00E33136"/>
    <w:rsid w:val="00E34D7C"/>
    <w:rsid w:val="00E3723D"/>
    <w:rsid w:val="00E44C89"/>
    <w:rsid w:val="00E457A6"/>
    <w:rsid w:val="00E54F9E"/>
    <w:rsid w:val="00E554E4"/>
    <w:rsid w:val="00E61BA2"/>
    <w:rsid w:val="00E63864"/>
    <w:rsid w:val="00E6403F"/>
    <w:rsid w:val="00E66F9F"/>
    <w:rsid w:val="00E75451"/>
    <w:rsid w:val="00E75EA9"/>
    <w:rsid w:val="00E76AD6"/>
    <w:rsid w:val="00E770C4"/>
    <w:rsid w:val="00E84C5A"/>
    <w:rsid w:val="00E861DB"/>
    <w:rsid w:val="00E908F1"/>
    <w:rsid w:val="00E93406"/>
    <w:rsid w:val="00E956C5"/>
    <w:rsid w:val="00E95C39"/>
    <w:rsid w:val="00EA2C39"/>
    <w:rsid w:val="00EB0A3C"/>
    <w:rsid w:val="00EB0A96"/>
    <w:rsid w:val="00EB60BC"/>
    <w:rsid w:val="00EB77F9"/>
    <w:rsid w:val="00EC5769"/>
    <w:rsid w:val="00EC7200"/>
    <w:rsid w:val="00EC7D00"/>
    <w:rsid w:val="00ED0304"/>
    <w:rsid w:val="00ED2431"/>
    <w:rsid w:val="00ED2CFE"/>
    <w:rsid w:val="00ED34F3"/>
    <w:rsid w:val="00ED4FF7"/>
    <w:rsid w:val="00ED5B7B"/>
    <w:rsid w:val="00ED76A1"/>
    <w:rsid w:val="00EE2971"/>
    <w:rsid w:val="00EE38FA"/>
    <w:rsid w:val="00EE3E2C"/>
    <w:rsid w:val="00EE58C1"/>
    <w:rsid w:val="00EE5D23"/>
    <w:rsid w:val="00EE6ECD"/>
    <w:rsid w:val="00EE750D"/>
    <w:rsid w:val="00EF3CA4"/>
    <w:rsid w:val="00EF49A8"/>
    <w:rsid w:val="00EF7314"/>
    <w:rsid w:val="00EF7859"/>
    <w:rsid w:val="00F014DA"/>
    <w:rsid w:val="00F02591"/>
    <w:rsid w:val="00F05C77"/>
    <w:rsid w:val="00F15F1F"/>
    <w:rsid w:val="00F24556"/>
    <w:rsid w:val="00F3040B"/>
    <w:rsid w:val="00F30774"/>
    <w:rsid w:val="00F30AE1"/>
    <w:rsid w:val="00F33E7D"/>
    <w:rsid w:val="00F37806"/>
    <w:rsid w:val="00F403BB"/>
    <w:rsid w:val="00F473F0"/>
    <w:rsid w:val="00F5696E"/>
    <w:rsid w:val="00F60EFF"/>
    <w:rsid w:val="00F615D6"/>
    <w:rsid w:val="00F649AE"/>
    <w:rsid w:val="00F67D2D"/>
    <w:rsid w:val="00F733A1"/>
    <w:rsid w:val="00F850B8"/>
    <w:rsid w:val="00F855EA"/>
    <w:rsid w:val="00F858F2"/>
    <w:rsid w:val="00F860CC"/>
    <w:rsid w:val="00F94398"/>
    <w:rsid w:val="00F968A5"/>
    <w:rsid w:val="00F96FD5"/>
    <w:rsid w:val="00FB2B56"/>
    <w:rsid w:val="00FB329C"/>
    <w:rsid w:val="00FB55D5"/>
    <w:rsid w:val="00FC12BF"/>
    <w:rsid w:val="00FC19BA"/>
    <w:rsid w:val="00FC2C60"/>
    <w:rsid w:val="00FD3E6F"/>
    <w:rsid w:val="00FD51B9"/>
    <w:rsid w:val="00FD5849"/>
    <w:rsid w:val="00FD77B2"/>
    <w:rsid w:val="00FE03E4"/>
    <w:rsid w:val="00FE2A39"/>
    <w:rsid w:val="00FE3977"/>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4E7CE"/>
  <w15:docId w15:val="{84A4196B-FF51-BD48-899F-5073C2E7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0"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qFormat/>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aliases w:val="List Paragraph1,List Paragraph11,List Paragraph111,L,F5 List Paragraph,Dot pt,CV text,Table text,Medium Grid 1 - Accent 21,Numbered Paragraph,List Paragraph2,NFP GP Bulleted List,FooterText,numbered,Paragraphe de liste1,列出段,Bullet point,列"/>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character" w:styleId="CommentReference">
    <w:name w:val="annotation reference"/>
    <w:basedOn w:val="DefaultParagraphFont"/>
    <w:uiPriority w:val="99"/>
    <w:semiHidden/>
    <w:unhideWhenUsed/>
    <w:rsid w:val="005538DA"/>
    <w:rPr>
      <w:sz w:val="16"/>
      <w:szCs w:val="16"/>
    </w:rPr>
  </w:style>
  <w:style w:type="paragraph" w:styleId="CommentText">
    <w:name w:val="annotation text"/>
    <w:basedOn w:val="Normal"/>
    <w:link w:val="CommentTextChar"/>
    <w:uiPriority w:val="99"/>
    <w:unhideWhenUsed/>
    <w:rsid w:val="005538DA"/>
    <w:rPr>
      <w:sz w:val="20"/>
      <w:szCs w:val="20"/>
    </w:rPr>
  </w:style>
  <w:style w:type="character" w:customStyle="1" w:styleId="CommentTextChar">
    <w:name w:val="Comment Text Char"/>
    <w:basedOn w:val="DefaultParagraphFont"/>
    <w:link w:val="CommentText"/>
    <w:uiPriority w:val="99"/>
    <w:rsid w:val="005538DA"/>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5538DA"/>
    <w:rPr>
      <w:b/>
      <w:bCs/>
    </w:rPr>
  </w:style>
  <w:style w:type="character" w:customStyle="1" w:styleId="CommentSubjectChar">
    <w:name w:val="Comment Subject Char"/>
    <w:basedOn w:val="CommentTextChar"/>
    <w:link w:val="CommentSubject"/>
    <w:uiPriority w:val="99"/>
    <w:semiHidden/>
    <w:rsid w:val="005538DA"/>
    <w:rPr>
      <w:rFonts w:ascii="Lato" w:hAnsi="Lato"/>
      <w:b/>
      <w:bCs/>
      <w:sz w:val="20"/>
      <w:szCs w:val="20"/>
    </w:rPr>
  </w:style>
  <w:style w:type="character" w:customStyle="1" w:styleId="ListParagraphChar">
    <w:name w:val="List Paragraph Char"/>
    <w:aliases w:val="List Paragraph1 Char,List Paragraph11 Char,List Paragraph111 Char,L Char,F5 List Paragraph Char,Dot pt Char,CV text Char,Table text Char,Medium Grid 1 - Accent 21 Char,Numbered Paragraph Char,List Paragraph2 Char,FooterText Char"/>
    <w:basedOn w:val="DefaultParagraphFont"/>
    <w:link w:val="ListParagraph"/>
    <w:uiPriority w:val="34"/>
    <w:qFormat/>
    <w:locked/>
    <w:rsid w:val="009142A8"/>
    <w:rPr>
      <w:rFonts w:ascii="Lato" w:eastAsiaTheme="minorEastAsia" w:hAnsi="Lato"/>
      <w:iCs/>
    </w:rPr>
  </w:style>
  <w:style w:type="paragraph" w:styleId="Revision">
    <w:name w:val="Revision"/>
    <w:hidden/>
    <w:uiPriority w:val="99"/>
    <w:semiHidden/>
    <w:rsid w:val="00337240"/>
    <w:pPr>
      <w:spacing w:after="0"/>
    </w:pPr>
    <w:rPr>
      <w:rFonts w:ascii="Lato" w:hAnsi="Lato"/>
    </w:rPr>
  </w:style>
  <w:style w:type="numbering" w:customStyle="1" w:styleId="Style1">
    <w:name w:val="Style1"/>
    <w:basedOn w:val="NoList"/>
    <w:uiPriority w:val="99"/>
    <w:rsid w:val="0050452B"/>
    <w:pPr>
      <w:numPr>
        <w:numId w:val="19"/>
      </w:numPr>
    </w:pPr>
  </w:style>
  <w:style w:type="paragraph" w:customStyle="1" w:styleId="Style2">
    <w:name w:val="Style2"/>
    <w:basedOn w:val="ListParagraph"/>
    <w:qFormat/>
    <w:rsid w:val="0050452B"/>
    <w:rPr>
      <w:lang w:eastAsia="en-AU"/>
    </w:rPr>
  </w:style>
  <w:style w:type="character" w:styleId="FootnoteReference">
    <w:name w:val="footnote reference"/>
    <w:basedOn w:val="DefaultParagraphFont"/>
    <w:uiPriority w:val="99"/>
    <w:unhideWhenUsed/>
    <w:rsid w:val="00217E5F"/>
    <w:rPr>
      <w:vertAlign w:val="superscript"/>
    </w:rPr>
  </w:style>
  <w:style w:type="character" w:customStyle="1" w:styleId="UnresolvedMention1">
    <w:name w:val="Unresolved Mention1"/>
    <w:basedOn w:val="DefaultParagraphFont"/>
    <w:uiPriority w:val="99"/>
    <w:semiHidden/>
    <w:unhideWhenUsed/>
    <w:rsid w:val="00893D01"/>
    <w:rPr>
      <w:color w:val="605E5C"/>
      <w:shd w:val="clear" w:color="auto" w:fill="E1DFDD"/>
    </w:rPr>
  </w:style>
  <w:style w:type="character" w:styleId="FollowedHyperlink">
    <w:name w:val="FollowedHyperlink"/>
    <w:basedOn w:val="DefaultParagraphFont"/>
    <w:uiPriority w:val="99"/>
    <w:semiHidden/>
    <w:unhideWhenUsed/>
    <w:rsid w:val="00B64C86"/>
    <w:rPr>
      <w:color w:val="8C4799" w:themeColor="followedHyperlink"/>
      <w:u w:val="single"/>
    </w:rPr>
  </w:style>
  <w:style w:type="paragraph" w:customStyle="1" w:styleId="Tableleft">
    <w:name w:val="Table left"/>
    <w:rsid w:val="00783B75"/>
    <w:pPr>
      <w:overflowPunct w:val="0"/>
      <w:autoSpaceDE w:val="0"/>
      <w:autoSpaceDN w:val="0"/>
      <w:adjustRightInd w:val="0"/>
      <w:spacing w:before="80" w:after="40" w:line="240" w:lineRule="atLeast"/>
    </w:pPr>
    <w:rPr>
      <w:rFonts w:ascii="Times New Roman" w:eastAsia="Times New Roman" w:hAnsi="Times New Roman"/>
      <w:szCs w:val="20"/>
    </w:rPr>
  </w:style>
  <w:style w:type="character" w:customStyle="1" w:styleId="UnresolvedMention2">
    <w:name w:val="Unresolved Mention2"/>
    <w:basedOn w:val="DefaultParagraphFont"/>
    <w:uiPriority w:val="99"/>
    <w:semiHidden/>
    <w:unhideWhenUsed/>
    <w:rsid w:val="0048196C"/>
    <w:rPr>
      <w:color w:val="605E5C"/>
      <w:shd w:val="clear" w:color="auto" w:fill="E1DFDD"/>
    </w:rPr>
  </w:style>
  <w:style w:type="table" w:customStyle="1" w:styleId="NTGtable1">
    <w:name w:val="NTG table 1"/>
    <w:basedOn w:val="TableNormal"/>
    <w:uiPriority w:val="99"/>
    <w:rsid w:val="00F968A5"/>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character" w:customStyle="1" w:styleId="cf01">
    <w:name w:val="cf01"/>
    <w:basedOn w:val="DefaultParagraphFont"/>
    <w:rsid w:val="005B75CA"/>
    <w:rPr>
      <w:rFonts w:ascii="Segoe UI" w:hAnsi="Segoe UI" w:cs="Segoe UI" w:hint="default"/>
      <w:sz w:val="18"/>
      <w:szCs w:val="18"/>
    </w:rPr>
  </w:style>
  <w:style w:type="paragraph" w:styleId="FootnoteText">
    <w:name w:val="footnote text"/>
    <w:basedOn w:val="Normal"/>
    <w:link w:val="FootnoteTextChar"/>
    <w:uiPriority w:val="99"/>
    <w:semiHidden/>
    <w:unhideWhenUsed/>
    <w:rsid w:val="00DE45FC"/>
    <w:pPr>
      <w:spacing w:after="0"/>
    </w:pPr>
    <w:rPr>
      <w:sz w:val="20"/>
      <w:szCs w:val="20"/>
    </w:rPr>
  </w:style>
  <w:style w:type="character" w:customStyle="1" w:styleId="FootnoteTextChar">
    <w:name w:val="Footnote Text Char"/>
    <w:basedOn w:val="DefaultParagraphFont"/>
    <w:link w:val="FootnoteText"/>
    <w:uiPriority w:val="99"/>
    <w:semiHidden/>
    <w:rsid w:val="00DE45FC"/>
    <w:rPr>
      <w:rFonts w:ascii="Lato" w:hAnsi="La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islation.nt.gov.au/en/Legislation/DOMESTIC-AND-FAMILY-VIOLENCE-ACT-2007" TargetMode="External"/><Relationship Id="rId18" Type="http://schemas.openxmlformats.org/officeDocument/2006/relationships/hyperlink" Target="https://legislation.nt.gov.au/en/Legislation/FINANCIAL-MANAGEMENT-ACT-1995" TargetMode="External"/><Relationship Id="rId26" Type="http://schemas.openxmlformats.org/officeDocument/2006/relationships/hyperlink" Target="https://education.nt.gov.au/policies/student-enrolment/enrolment" TargetMode="External"/><Relationship Id="rId39" Type="http://schemas.openxmlformats.org/officeDocument/2006/relationships/fontTable" Target="fontTable.xml"/><Relationship Id="rId21" Type="http://schemas.openxmlformats.org/officeDocument/2006/relationships/hyperlink" Target="https://legislation.nt.gov.au/en/Legislation/EDUCATION-AND-CARE-SERVICES-NATIONAL-UNIFORM-LEGISLATION-ACT-2011" TargetMode="External"/><Relationship Id="rId34" Type="http://schemas.openxmlformats.org/officeDocument/2006/relationships/hyperlink" Target="mailto:enrolattend.policy@education.nt.gov.au"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education.nt.gov.au/education/reviews-and-consultations/education-act" TargetMode="External"/><Relationship Id="rId20" Type="http://schemas.openxmlformats.org/officeDocument/2006/relationships/hyperlink" Target="https://legislation.nt.gov.au/Legislation/PUBLIC-SECTOR-EMPLOYMENT-AND-MANAGEMENT-ACT-1993" TargetMode="External"/><Relationship Id="rId29" Type="http://schemas.openxmlformats.org/officeDocument/2006/relationships/hyperlink" Target="https://education.nt.gov.au/policies/student-enrolment/enrolmen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cation.nt.gov.au/education/reviews-and-consultations/education-act" TargetMode="External"/><Relationship Id="rId24" Type="http://schemas.openxmlformats.org/officeDocument/2006/relationships/hyperlink" Target="https://education.nt.gov.au/policies/student-enrolment/enrolment" TargetMode="External"/><Relationship Id="rId32" Type="http://schemas.openxmlformats.org/officeDocument/2006/relationships/hyperlink" Target="https://education.nt.gov.au/policies/early-childhood-education-and-care" TargetMode="External"/><Relationship Id="rId37" Type="http://schemas.openxmlformats.org/officeDocument/2006/relationships/header" Target="header2.xml"/><Relationship Id="rId40"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education.nt.gov.au/education/reviews-and-consultations/education-act" TargetMode="External"/><Relationship Id="rId23" Type="http://schemas.openxmlformats.org/officeDocument/2006/relationships/hyperlink" Target="https://education.nt.gov.au/policies/student-enrolment" TargetMode="External"/><Relationship Id="rId28" Type="http://schemas.openxmlformats.org/officeDocument/2006/relationships/hyperlink" Target="https://nt.gov.au/learning/international-education/study-at-an-nt-government-school/how-to-enrol-at-a-government-school" TargetMode="External"/><Relationship Id="rId36" Type="http://schemas.openxmlformats.org/officeDocument/2006/relationships/footer" Target="footer1.xml"/><Relationship Id="rId10" Type="http://schemas.openxmlformats.org/officeDocument/2006/relationships/hyperlink" Target="https://education.nt.gov.au/education/reviews-and-consultations/education-act" TargetMode="External"/><Relationship Id="rId19" Type="http://schemas.openxmlformats.org/officeDocument/2006/relationships/hyperlink" Target="https://legislation.nt.gov.au/en/Legislation/INFORMATION-ACT-2002" TargetMode="External"/><Relationship Id="rId31" Type="http://schemas.openxmlformats.org/officeDocument/2006/relationships/hyperlink" Target="https://education.nt.gov.au/policies/early-childhood-education-and-care/preschool-specific-policy" TargetMode="External"/><Relationship Id="rId4" Type="http://schemas.openxmlformats.org/officeDocument/2006/relationships/styles" Target="styles.xml"/><Relationship Id="rId9" Type="http://schemas.openxmlformats.org/officeDocument/2006/relationships/hyperlink" Target="https://education.nt.gov.au/education/reviews-and-consultations/education-act" TargetMode="External"/><Relationship Id="rId14" Type="http://schemas.openxmlformats.org/officeDocument/2006/relationships/hyperlink" Target="https://education.nt.gov.au/education/reviews-and-consultations/education-act" TargetMode="External"/><Relationship Id="rId22" Type="http://schemas.openxmlformats.org/officeDocument/2006/relationships/hyperlink" Target="http://www.legislation.nsw.gov.au/%23/view/regulation/2011/653" TargetMode="External"/><Relationship Id="rId27" Type="http://schemas.openxmlformats.org/officeDocument/2006/relationships/hyperlink" Target="https://education.nt.gov.au/policies/student-enrolment" TargetMode="External"/><Relationship Id="rId30" Type="http://schemas.openxmlformats.org/officeDocument/2006/relationships/hyperlink" Target="https://education.nt.gov.au/policies/student-enrolment/enrolment"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legislation.nt.gov.au/en/Legislation/CARE-AND-PROTECTION-OF-CHILDREN-ACT-2007" TargetMode="External"/><Relationship Id="rId17" Type="http://schemas.openxmlformats.org/officeDocument/2006/relationships/hyperlink" Target="https://legislation.nt.gov.au/Legislation/EDUCATION-ACT-2015" TargetMode="External"/><Relationship Id="rId25" Type="http://schemas.openxmlformats.org/officeDocument/2006/relationships/hyperlink" Target="https://education.nt.gov.au/policies/student-enrolment/enrolment" TargetMode="External"/><Relationship Id="rId33" Type="http://schemas.openxmlformats.org/officeDocument/2006/relationships/hyperlink" Target="https://federalfinancialrelations.gov.au/agreements/preschool-reform-agreement" TargetMode="External"/><Relationship Id="rId38"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4676D981D148A4BE4B522E4C6B788D"/>
        <w:category>
          <w:name w:val="General"/>
          <w:gallery w:val="placeholder"/>
        </w:category>
        <w:types>
          <w:type w:val="bbPlcHdr"/>
        </w:types>
        <w:behaviors>
          <w:behavior w:val="content"/>
        </w:behaviors>
        <w:guid w:val="{C344ECD2-220A-40C1-9213-C84D80F4CA36}"/>
      </w:docPartPr>
      <w:docPartBody>
        <w:p w:rsidR="00CB369E" w:rsidRDefault="005C4666" w:rsidP="005C4666">
          <w:pPr>
            <w:pStyle w:val="004676D981D148A4BE4B522E4C6B788D"/>
          </w:pPr>
          <w:r w:rsidRPr="007418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666"/>
    <w:rsid w:val="00042E4D"/>
    <w:rsid w:val="000F4360"/>
    <w:rsid w:val="0013717C"/>
    <w:rsid w:val="00233E13"/>
    <w:rsid w:val="005C4666"/>
    <w:rsid w:val="00666274"/>
    <w:rsid w:val="006B5412"/>
    <w:rsid w:val="006D4CEA"/>
    <w:rsid w:val="00787C34"/>
    <w:rsid w:val="00836E52"/>
    <w:rsid w:val="008921CB"/>
    <w:rsid w:val="008A7C38"/>
    <w:rsid w:val="008D47F4"/>
    <w:rsid w:val="0097306F"/>
    <w:rsid w:val="009E30E0"/>
    <w:rsid w:val="009F7E80"/>
    <w:rsid w:val="00AC33D7"/>
    <w:rsid w:val="00B21854"/>
    <w:rsid w:val="00BD15F4"/>
    <w:rsid w:val="00CB369E"/>
    <w:rsid w:val="00CC3DB6"/>
    <w:rsid w:val="00FB05BA"/>
    <w:rsid w:val="00FD1A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4666"/>
    <w:rPr>
      <w:color w:val="808080"/>
    </w:rPr>
  </w:style>
  <w:style w:type="paragraph" w:customStyle="1" w:styleId="004676D981D148A4BE4B522E4C6B788D">
    <w:name w:val="004676D981D148A4BE4B522E4C6B788D"/>
    <w:rsid w:val="005C46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8A3564-6E24-477B-9B5C-1AF5662C4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2611</Words>
  <Characters>14885</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Enrolment and attendance birth to year 12 – policy</vt:lpstr>
    </vt:vector>
  </TitlesOfParts>
  <Company>&lt;NAME&gt;</Company>
  <LinksUpToDate>false</LinksUpToDate>
  <CharactersWithSpaces>17462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and attendance birth to year 12 – policy</dc:title>
  <dc:creator>Northern Territory Government</dc:creator>
  <cp:lastModifiedBy>Kathy Bochow</cp:lastModifiedBy>
  <cp:revision>2</cp:revision>
  <cp:lastPrinted>2019-07-29T01:45:00Z</cp:lastPrinted>
  <dcterms:created xsi:type="dcterms:W3CDTF">2023-05-21T22:47:00Z</dcterms:created>
  <dcterms:modified xsi:type="dcterms:W3CDTF">2023-05-21T22:47:00Z</dcterms:modified>
</cp:coreProperties>
</file>