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CF" w:rsidRPr="000B3800" w:rsidRDefault="003704A4" w:rsidP="00256753">
      <w:pPr>
        <w:pStyle w:val="Title"/>
        <w:tabs>
          <w:tab w:val="left" w:pos="330"/>
          <w:tab w:val="left" w:pos="8055"/>
        </w:tabs>
        <w:jc w:val="left"/>
        <w:rPr>
          <w:rFonts w:ascii="Lato" w:hAnsi="Lato"/>
          <w:sz w:val="17"/>
          <w:szCs w:val="17"/>
        </w:rPr>
      </w:pPr>
      <w:r>
        <w:rPr>
          <w:sz w:val="28"/>
        </w:rPr>
        <w:tab/>
      </w:r>
      <w:r w:rsidR="00256753">
        <w:rPr>
          <w:sz w:val="28"/>
        </w:rPr>
        <w:tab/>
      </w:r>
      <w:r w:rsidR="00256753">
        <w:rPr>
          <w:sz w:val="28"/>
        </w:rPr>
        <w:tab/>
      </w:r>
      <w:r w:rsidR="000B3800" w:rsidRPr="000B3800">
        <w:rPr>
          <w:rFonts w:ascii="Lato" w:hAnsi="Lato"/>
          <w:b w:val="0"/>
          <w:sz w:val="17"/>
          <w:szCs w:val="17"/>
        </w:rPr>
        <w:t>DEPARTMENT OF</w:t>
      </w:r>
      <w:r w:rsidR="000B3800">
        <w:rPr>
          <w:rFonts w:ascii="Lato" w:hAnsi="Lato"/>
          <w:sz w:val="17"/>
          <w:szCs w:val="17"/>
        </w:rPr>
        <w:tab/>
      </w:r>
      <w:r w:rsidR="000B3800" w:rsidRPr="000B3800">
        <w:rPr>
          <w:rFonts w:ascii="Lato" w:hAnsi="Lato"/>
          <w:sz w:val="17"/>
          <w:szCs w:val="17"/>
        </w:rPr>
        <w:t>EDUCATION</w:t>
      </w:r>
    </w:p>
    <w:p w:rsidR="00981557" w:rsidRDefault="00981557">
      <w:pPr>
        <w:pStyle w:val="Title"/>
        <w:jc w:val="right"/>
        <w:rPr>
          <w:sz w:val="28"/>
        </w:rPr>
      </w:pPr>
    </w:p>
    <w:p w:rsidR="001349CF" w:rsidRDefault="007F4B82">
      <w:pPr>
        <w:pStyle w:val="Title"/>
      </w:pPr>
      <w:r>
        <w:t>Assessment Groups – Stage 2</w:t>
      </w:r>
    </w:p>
    <w:p w:rsidR="004B61BA" w:rsidRDefault="004B61BA" w:rsidP="004B61BA">
      <w:pPr>
        <w:autoSpaceDE w:val="0"/>
        <w:autoSpaceDN w:val="0"/>
        <w:adjustRightInd w:val="0"/>
        <w:jc w:val="center"/>
        <w:rPr>
          <w:rFonts w:ascii="Arial-ItalicMT" w:hAnsi="Arial-ItalicMT" w:cs="Arial-ItalicMT"/>
          <w:i/>
          <w:iCs/>
          <w:sz w:val="20"/>
          <w:lang w:eastAsia="en-AU"/>
        </w:rPr>
      </w:pPr>
      <w:r>
        <w:rPr>
          <w:rFonts w:ascii="Arial-ItalicMT" w:hAnsi="Arial-ItalicMT" w:cs="Arial-ItalicMT"/>
          <w:i/>
          <w:iCs/>
          <w:sz w:val="20"/>
          <w:lang w:eastAsia="en-AU"/>
        </w:rPr>
        <w:t>This information sheet explains the purpose of and process for forming assessment groups</w:t>
      </w:r>
    </w:p>
    <w:p w:rsidR="004B61BA" w:rsidRPr="002A1531" w:rsidRDefault="004B61BA" w:rsidP="004B61BA">
      <w:pPr>
        <w:pStyle w:val="Title"/>
        <w:rPr>
          <w:b w:val="0"/>
        </w:rPr>
      </w:pPr>
      <w:proofErr w:type="gramStart"/>
      <w:r w:rsidRPr="002A1531">
        <w:rPr>
          <w:rFonts w:ascii="Arial-ItalicMT" w:hAnsi="Arial-ItalicMT" w:cs="Arial-ItalicMT"/>
          <w:b w:val="0"/>
          <w:i/>
          <w:iCs/>
          <w:sz w:val="20"/>
          <w:lang w:eastAsia="en-AU"/>
        </w:rPr>
        <w:t>for</w:t>
      </w:r>
      <w:proofErr w:type="gramEnd"/>
      <w:r w:rsidRPr="002A1531">
        <w:rPr>
          <w:rFonts w:ascii="Arial-ItalicMT" w:hAnsi="Arial-ItalicMT" w:cs="Arial-ItalicMT"/>
          <w:b w:val="0"/>
          <w:i/>
          <w:iCs/>
          <w:sz w:val="20"/>
          <w:lang w:eastAsia="en-AU"/>
        </w:rPr>
        <w:t xml:space="preserve"> school assessment and external assessment results and quality assurance purposes.</w:t>
      </w:r>
    </w:p>
    <w:p w:rsidR="00981557" w:rsidRPr="009D6792" w:rsidRDefault="00981557" w:rsidP="009D6792">
      <w:pPr>
        <w:rPr>
          <w:rFonts w:cs="Arial"/>
          <w:b/>
          <w:sz w:val="24"/>
          <w:szCs w:val="24"/>
        </w:rPr>
      </w:pPr>
    </w:p>
    <w:p w:rsidR="00FA73FE" w:rsidRPr="00FA73FE" w:rsidRDefault="00FA73FE" w:rsidP="00FA73FE">
      <w:pPr>
        <w:pStyle w:val="ISBodytextafterintroduction"/>
        <w:spacing w:before="120"/>
      </w:pPr>
      <w:r w:rsidRPr="00446C28">
        <w:t xml:space="preserve">This form outlines the minimum requirements that </w:t>
      </w:r>
      <w:r>
        <w:t xml:space="preserve">the </w:t>
      </w:r>
      <w:r w:rsidRPr="00446C28">
        <w:t>Senior Years Curriculum team requests to ensure that the assessment groups are conducted appropriately.  You may like to expand on these requirements to suit your needs.</w:t>
      </w:r>
    </w:p>
    <w:p w:rsidR="002A1531" w:rsidRDefault="002A1531" w:rsidP="00FA73FE">
      <w:pPr>
        <w:pStyle w:val="ISBodytextafterintroduction"/>
        <w:spacing w:before="120"/>
      </w:pPr>
      <w:r>
        <w:t>School assessment results, predicted results for external assessment, and quality assurance processes are organised by assessment group. The term ‘assessment group’ is used in addition to ‘</w:t>
      </w:r>
      <w:proofErr w:type="gramStart"/>
      <w:r>
        <w:t>class’</w:t>
      </w:r>
      <w:proofErr w:type="gramEnd"/>
      <w:r>
        <w:t xml:space="preserve"> on SACE enrolment and results information.</w:t>
      </w:r>
    </w:p>
    <w:p w:rsidR="002A1531" w:rsidRDefault="002A1531" w:rsidP="00446C28">
      <w:pPr>
        <w:pStyle w:val="ISBodyText"/>
      </w:pPr>
      <w:r>
        <w:t xml:space="preserve">Online results sheets for school assessment and for predicted examination results (external assessment) are displayed by assessment group. The results sheets are available, via </w:t>
      </w:r>
      <w:r>
        <w:rPr>
          <w:rStyle w:val="ISArial10ptitalics"/>
          <w:iCs w:val="0"/>
        </w:rPr>
        <w:t>Schools Online</w:t>
      </w:r>
      <w:r>
        <w:t>, to the teaching school and the assessment school. Each class involved in an assessment group is listed sequentially on the online results sheet for that assessment group.</w:t>
      </w:r>
    </w:p>
    <w:p w:rsidR="002A1531" w:rsidRDefault="002A1531" w:rsidP="002A1531">
      <w:pPr>
        <w:pStyle w:val="ISBodyText"/>
      </w:pPr>
      <w:r>
        <w:t>Online results sheets for external assessment investigations are displayed by class.</w:t>
      </w:r>
    </w:p>
    <w:p w:rsidR="002A1531" w:rsidRDefault="002A1531" w:rsidP="00446C28">
      <w:pPr>
        <w:pStyle w:val="ISBodytextafterintroduction"/>
        <w:spacing w:before="0"/>
      </w:pPr>
      <w:r>
        <w:t>For final moderation (on site) of Physical Education, results sheets are printed by the SACE Board and sent to the assessment school. The results sheets list students by assessment group. Each class involved in an assessment group is listed sequentially on the results sheet for that assessment group.</w:t>
      </w:r>
    </w:p>
    <w:p w:rsidR="002A1531" w:rsidRDefault="002A1531" w:rsidP="00446C28">
      <w:pPr>
        <w:pStyle w:val="ISBodytextafterintroduction"/>
        <w:spacing w:before="120"/>
      </w:pPr>
      <w:r>
        <w:t xml:space="preserve">For predicted performance results for external assessment of Dance, Drama, Ensemble Performance, Performance Special Study, and Solo Performance, teachers prepare a results sheet (using a form provided on the relevant subject </w:t>
      </w:r>
      <w:proofErr w:type="spellStart"/>
      <w:r>
        <w:t>minisite</w:t>
      </w:r>
      <w:proofErr w:type="spellEnd"/>
      <w:r>
        <w:t>) that lists students by assessment group.</w:t>
      </w:r>
    </w:p>
    <w:p w:rsidR="001349CF" w:rsidRPr="00446C28" w:rsidRDefault="001349CF" w:rsidP="00446C28">
      <w:pPr>
        <w:pStyle w:val="ISBodytextafterintroduction"/>
        <w:spacing w:before="120"/>
      </w:pPr>
      <w:r w:rsidRPr="00446C28">
        <w:t xml:space="preserve">The </w:t>
      </w:r>
      <w:r w:rsidR="007F4B82" w:rsidRPr="00446C28">
        <w:t>assessment group</w:t>
      </w:r>
      <w:r w:rsidRPr="00446C28">
        <w:t xml:space="preserve"> process has the advantage of providing professional development for teachers in the given subject area, </w:t>
      </w:r>
      <w:r w:rsidR="00FA73FE">
        <w:t xml:space="preserve">and will </w:t>
      </w:r>
      <w:r w:rsidRPr="00446C28">
        <w:t xml:space="preserve">require additional time and organisation.  As such, it is paramount that the teachers involved in the </w:t>
      </w:r>
      <w:r w:rsidR="00EB5992" w:rsidRPr="00446C28">
        <w:t>assessment group</w:t>
      </w:r>
      <w:r w:rsidRPr="00446C28">
        <w:t>:</w:t>
      </w:r>
    </w:p>
    <w:p w:rsidR="001349CF" w:rsidRPr="00446C28" w:rsidRDefault="001349CF" w:rsidP="00FA73FE">
      <w:pPr>
        <w:pStyle w:val="ISBodytextafterintroduction"/>
        <w:numPr>
          <w:ilvl w:val="0"/>
          <w:numId w:val="12"/>
        </w:numPr>
        <w:spacing w:before="120"/>
      </w:pPr>
      <w:r w:rsidRPr="00446C28">
        <w:t>Come with a positive attitude</w:t>
      </w:r>
      <w:r w:rsidR="002A1531" w:rsidRPr="00446C28">
        <w:t xml:space="preserve"> and be </w:t>
      </w:r>
      <w:r w:rsidRPr="00446C28">
        <w:t>prepared to share the responsibilities of linking equitably</w:t>
      </w:r>
    </w:p>
    <w:p w:rsidR="001349CF" w:rsidRPr="00446C28" w:rsidRDefault="001349CF" w:rsidP="00FA73FE">
      <w:pPr>
        <w:pStyle w:val="ISBodytextafterintroduction"/>
        <w:numPr>
          <w:ilvl w:val="0"/>
          <w:numId w:val="12"/>
        </w:numPr>
        <w:spacing w:before="0"/>
      </w:pPr>
      <w:r w:rsidRPr="00446C28">
        <w:t>Are open to achieving a mutually acceptable agreement</w:t>
      </w:r>
      <w:r w:rsidR="002A1531" w:rsidRPr="00446C28">
        <w:t xml:space="preserve"> and to </w:t>
      </w:r>
      <w:r w:rsidRPr="00446C28">
        <w:t>discuss</w:t>
      </w:r>
      <w:r w:rsidR="002A1531" w:rsidRPr="00446C28">
        <w:t>ing</w:t>
      </w:r>
      <w:r w:rsidR="00FA73FE">
        <w:t xml:space="preserve"> the process and resolving</w:t>
      </w:r>
      <w:r w:rsidRPr="00446C28">
        <w:t xml:space="preserve"> any difficulties appropriately.  </w:t>
      </w:r>
    </w:p>
    <w:p w:rsidR="001349CF" w:rsidRPr="00446C28" w:rsidRDefault="00482244" w:rsidP="00446C28">
      <w:pPr>
        <w:pStyle w:val="ISBodytextafterintroduction"/>
        <w:spacing w:before="120"/>
      </w:pPr>
      <w:r w:rsidRPr="00446C28">
        <w:t xml:space="preserve">Some </w:t>
      </w:r>
      <w:r w:rsidR="00EB5992" w:rsidRPr="00446C28">
        <w:t>Subject Outlines</w:t>
      </w:r>
      <w:r w:rsidR="001349CF" w:rsidRPr="00446C28">
        <w:t xml:space="preserve"> allow teachers to choose option topics.  It is not a requirement for </w:t>
      </w:r>
      <w:r w:rsidR="00EB5992" w:rsidRPr="00446C28">
        <w:t>assessment groups</w:t>
      </w:r>
      <w:r w:rsidR="001349CF" w:rsidRPr="00446C28">
        <w:t xml:space="preserve"> to </w:t>
      </w:r>
      <w:r w:rsidR="002A1531" w:rsidRPr="00446C28">
        <w:t>use identical l</w:t>
      </w:r>
      <w:r w:rsidR="00EB5992" w:rsidRPr="00446C28">
        <w:t xml:space="preserve">earning </w:t>
      </w:r>
      <w:r w:rsidR="002A1531" w:rsidRPr="00446C28">
        <w:t>and a</w:t>
      </w:r>
      <w:r w:rsidR="004B61BA" w:rsidRPr="00446C28">
        <w:t>ssessment</w:t>
      </w:r>
      <w:r w:rsidR="00EB5992" w:rsidRPr="00446C28">
        <w:t xml:space="preserve"> plans. </w:t>
      </w:r>
    </w:p>
    <w:p w:rsidR="001349CF" w:rsidRPr="00446C28" w:rsidRDefault="001349CF" w:rsidP="00446C28">
      <w:pPr>
        <w:pStyle w:val="ISBodytextafterintroduction"/>
        <w:spacing w:before="120"/>
      </w:pPr>
      <w:r w:rsidRPr="00446C28">
        <w:t xml:space="preserve">It is the teachers’ responsibility to </w:t>
      </w:r>
      <w:r w:rsidR="00FA73FE">
        <w:t>arrange an appropriate link, however</w:t>
      </w:r>
      <w:r w:rsidRPr="00446C28">
        <w:t xml:space="preserve"> </w:t>
      </w:r>
      <w:r w:rsidR="00E262CF" w:rsidRPr="00446C28">
        <w:t>Senior Years Curriculum</w:t>
      </w:r>
      <w:r w:rsidRPr="00446C28">
        <w:t xml:space="preserve"> staff can provide information and support during the process. Please contact the relevant </w:t>
      </w:r>
      <w:r w:rsidR="00EB5992" w:rsidRPr="00446C28">
        <w:t>NTCET Consultant</w:t>
      </w:r>
      <w:r w:rsidRPr="00446C28">
        <w:t xml:space="preserve"> for further advice.</w:t>
      </w:r>
    </w:p>
    <w:p w:rsidR="001349CF" w:rsidRPr="00446C28" w:rsidRDefault="001349CF" w:rsidP="00446C28">
      <w:pPr>
        <w:pStyle w:val="ISBodytextafterintroduction"/>
        <w:spacing w:before="120"/>
      </w:pPr>
      <w:r w:rsidRPr="00446C28">
        <w:t xml:space="preserve">If a teacher or teachers cannot meet the requirements of this agreement, then the teachers can decide to break the </w:t>
      </w:r>
      <w:r w:rsidR="00EB5992" w:rsidRPr="00446C28">
        <w:t>assessment group</w:t>
      </w:r>
      <w:r w:rsidRPr="00446C28">
        <w:t xml:space="preserve">.  In this case, if the number of students in a class is less than three (or could drop below this level at some stage) </w:t>
      </w:r>
      <w:r w:rsidR="00FA73FE">
        <w:t xml:space="preserve">forming </w:t>
      </w:r>
      <w:r w:rsidRPr="00446C28">
        <w:t xml:space="preserve">a new </w:t>
      </w:r>
      <w:r w:rsidR="00EB5992" w:rsidRPr="00446C28">
        <w:t>assessment group</w:t>
      </w:r>
      <w:r w:rsidRPr="00446C28">
        <w:t xml:space="preserve"> will </w:t>
      </w:r>
      <w:r w:rsidR="00EB5992" w:rsidRPr="00446C28">
        <w:t>be recommended</w:t>
      </w:r>
      <w:r w:rsidRPr="00446C28">
        <w:t xml:space="preserve">.  As such, it is vitally important to resolve any difficulties early in the year.  Please ensure you contact </w:t>
      </w:r>
      <w:r w:rsidR="00E262CF" w:rsidRPr="00446C28">
        <w:t xml:space="preserve">Senior Years Curriculum </w:t>
      </w:r>
      <w:r w:rsidRPr="00446C28">
        <w:t xml:space="preserve">should you have any concerns with any aspect of the </w:t>
      </w:r>
      <w:r w:rsidR="00EB5992" w:rsidRPr="00446C28">
        <w:t>assessment group</w:t>
      </w:r>
      <w:r w:rsidRPr="00446C28">
        <w:t xml:space="preserve"> process.</w:t>
      </w:r>
    </w:p>
    <w:p w:rsidR="001349CF" w:rsidRPr="00446C28" w:rsidRDefault="001349CF" w:rsidP="00446C28">
      <w:pPr>
        <w:pStyle w:val="ISBodytextafterintroduction"/>
        <w:spacing w:before="120"/>
      </w:pPr>
      <w:r w:rsidRPr="00446C28">
        <w:t xml:space="preserve">It is a requirement that all schools involved in </w:t>
      </w:r>
      <w:r w:rsidR="00EB5992" w:rsidRPr="00446C28">
        <w:t>an assessment group</w:t>
      </w:r>
      <w:r w:rsidRPr="00446C28">
        <w:t xml:space="preserve"> complete and submit this form every year.  Do not assume that </w:t>
      </w:r>
      <w:r w:rsidR="00EB5992" w:rsidRPr="00446C28">
        <w:t>an assessment group</w:t>
      </w:r>
      <w:r w:rsidR="00FA73FE">
        <w:t xml:space="preserve"> for a previous year will continue</w:t>
      </w:r>
      <w:r w:rsidRPr="00446C28">
        <w:t>.</w:t>
      </w:r>
    </w:p>
    <w:p w:rsidR="001349CF" w:rsidRPr="00446C28" w:rsidRDefault="001349CF" w:rsidP="00446C28">
      <w:pPr>
        <w:pStyle w:val="ISBodytextafterintroduction"/>
        <w:spacing w:before="0"/>
      </w:pPr>
    </w:p>
    <w:p w:rsidR="001349CF" w:rsidRPr="00446C28" w:rsidRDefault="001349CF" w:rsidP="00446C28">
      <w:pPr>
        <w:pStyle w:val="ISBodytextafterintroduction"/>
        <w:spacing w:before="0"/>
      </w:pPr>
      <w:r w:rsidRPr="00446C28">
        <w:t>Please forward this completed form to:</w:t>
      </w:r>
    </w:p>
    <w:p w:rsidR="00981557" w:rsidRPr="002A1531" w:rsidRDefault="00981557">
      <w:pPr>
        <w:pStyle w:val="BodyText"/>
        <w:rPr>
          <w:rFonts w:cs="Arial"/>
          <w:bCs/>
          <w:sz w:val="20"/>
        </w:rPr>
      </w:pPr>
    </w:p>
    <w:p w:rsidR="00FB5CAB" w:rsidRPr="002A1531" w:rsidRDefault="002A1531">
      <w:pPr>
        <w:pStyle w:val="BodyText"/>
        <w:ind w:left="1440"/>
        <w:rPr>
          <w:rFonts w:cs="Arial"/>
          <w:bCs/>
          <w:sz w:val="20"/>
        </w:rPr>
      </w:pPr>
      <w:r>
        <w:rPr>
          <w:rFonts w:cs="Arial"/>
          <w:bCs/>
          <w:sz w:val="20"/>
        </w:rPr>
        <w:t>Certification Officers</w:t>
      </w:r>
    </w:p>
    <w:p w:rsidR="00E262CF" w:rsidRPr="002A1531" w:rsidRDefault="00FA73FE">
      <w:pPr>
        <w:autoSpaceDE w:val="0"/>
        <w:autoSpaceDN w:val="0"/>
        <w:adjustRightInd w:val="0"/>
        <w:spacing w:line="240" w:lineRule="atLeast"/>
        <w:ind w:left="1440"/>
        <w:rPr>
          <w:rFonts w:cs="Arial"/>
          <w:bCs/>
          <w:sz w:val="20"/>
        </w:rPr>
      </w:pPr>
      <w:r>
        <w:rPr>
          <w:bCs/>
          <w:sz w:val="20"/>
        </w:rPr>
        <w:t>Senior Years Curriculum</w:t>
      </w:r>
    </w:p>
    <w:p w:rsidR="001349CF" w:rsidRPr="002A1531" w:rsidRDefault="00106C56">
      <w:pPr>
        <w:autoSpaceDE w:val="0"/>
        <w:autoSpaceDN w:val="0"/>
        <w:adjustRightInd w:val="0"/>
        <w:spacing w:line="240" w:lineRule="atLeast"/>
        <w:ind w:left="1440"/>
        <w:rPr>
          <w:rFonts w:cs="Arial"/>
          <w:color w:val="000000"/>
          <w:sz w:val="20"/>
          <w:lang w:val="en-US"/>
        </w:rPr>
      </w:pPr>
      <w:r>
        <w:rPr>
          <w:rFonts w:cs="Arial"/>
          <w:color w:val="000000"/>
          <w:sz w:val="20"/>
          <w:lang w:val="en-US"/>
        </w:rPr>
        <w:t>11</w:t>
      </w:r>
      <w:r w:rsidRPr="00106C56">
        <w:rPr>
          <w:rFonts w:cs="Arial"/>
          <w:color w:val="000000"/>
          <w:sz w:val="20"/>
          <w:vertAlign w:val="superscript"/>
          <w:lang w:val="en-US"/>
        </w:rPr>
        <w:t>th</w:t>
      </w:r>
      <w:r>
        <w:rPr>
          <w:rFonts w:cs="Arial"/>
          <w:color w:val="000000"/>
          <w:sz w:val="20"/>
          <w:lang w:val="en-US"/>
        </w:rPr>
        <w:t xml:space="preserve"> Floor</w:t>
      </w:r>
      <w:r w:rsidR="002F60F7">
        <w:rPr>
          <w:rFonts w:cs="Arial"/>
          <w:color w:val="000000"/>
          <w:sz w:val="20"/>
          <w:lang w:val="en-US"/>
        </w:rPr>
        <w:t>,</w:t>
      </w:r>
      <w:r>
        <w:rPr>
          <w:rFonts w:cs="Arial"/>
          <w:color w:val="000000"/>
          <w:sz w:val="20"/>
          <w:lang w:val="en-US"/>
        </w:rPr>
        <w:t xml:space="preserve"> Mitchell Centre</w:t>
      </w:r>
    </w:p>
    <w:p w:rsidR="001349CF" w:rsidRPr="002A1531" w:rsidRDefault="001349CF">
      <w:pPr>
        <w:autoSpaceDE w:val="0"/>
        <w:autoSpaceDN w:val="0"/>
        <w:adjustRightInd w:val="0"/>
        <w:spacing w:line="240" w:lineRule="atLeast"/>
        <w:ind w:left="1440"/>
        <w:rPr>
          <w:rFonts w:cs="Arial"/>
          <w:color w:val="000000"/>
          <w:sz w:val="20"/>
          <w:lang w:val="en-US"/>
        </w:rPr>
      </w:pPr>
      <w:r w:rsidRPr="002A1531">
        <w:rPr>
          <w:rFonts w:cs="Arial"/>
          <w:color w:val="000000"/>
          <w:sz w:val="20"/>
          <w:lang w:val="en-US"/>
        </w:rPr>
        <w:t>GPO Box 4281</w:t>
      </w:r>
    </w:p>
    <w:p w:rsidR="001349CF" w:rsidRDefault="001349CF">
      <w:pPr>
        <w:autoSpaceDE w:val="0"/>
        <w:autoSpaceDN w:val="0"/>
        <w:adjustRightInd w:val="0"/>
        <w:spacing w:line="240" w:lineRule="atLeast"/>
        <w:ind w:left="1440"/>
        <w:rPr>
          <w:rFonts w:cs="Arial"/>
          <w:color w:val="000000"/>
          <w:sz w:val="20"/>
          <w:lang w:val="en-US"/>
        </w:rPr>
      </w:pPr>
      <w:r w:rsidRPr="002A1531">
        <w:rPr>
          <w:rFonts w:cs="Arial"/>
          <w:color w:val="000000"/>
          <w:sz w:val="20"/>
          <w:lang w:val="en-US"/>
        </w:rPr>
        <w:t>Darwin, NT, 0801</w:t>
      </w:r>
    </w:p>
    <w:p w:rsidR="000B3800" w:rsidRDefault="000B3800">
      <w:pPr>
        <w:autoSpaceDE w:val="0"/>
        <w:autoSpaceDN w:val="0"/>
        <w:adjustRightInd w:val="0"/>
        <w:spacing w:line="240" w:lineRule="atLeast"/>
        <w:ind w:left="1440"/>
        <w:rPr>
          <w:rFonts w:cs="Arial"/>
          <w:color w:val="000000"/>
          <w:sz w:val="20"/>
          <w:lang w:val="en-US"/>
        </w:rPr>
      </w:pPr>
    </w:p>
    <w:p w:rsidR="000B3800" w:rsidRDefault="000B3800">
      <w:pPr>
        <w:autoSpaceDE w:val="0"/>
        <w:autoSpaceDN w:val="0"/>
        <w:adjustRightInd w:val="0"/>
        <w:spacing w:line="240" w:lineRule="atLeast"/>
        <w:ind w:left="1440"/>
        <w:rPr>
          <w:rFonts w:cs="Arial"/>
          <w:color w:val="000000"/>
          <w:sz w:val="20"/>
          <w:lang w:val="en-US"/>
        </w:rPr>
      </w:pPr>
    </w:p>
    <w:p w:rsidR="000B3800" w:rsidRPr="002A1531" w:rsidRDefault="000B3800">
      <w:pPr>
        <w:autoSpaceDE w:val="0"/>
        <w:autoSpaceDN w:val="0"/>
        <w:adjustRightInd w:val="0"/>
        <w:spacing w:line="240" w:lineRule="atLeast"/>
        <w:ind w:left="1440"/>
        <w:rPr>
          <w:rFonts w:cs="Arial"/>
          <w:color w:val="000000"/>
          <w:sz w:val="20"/>
          <w:lang w:val="en-US"/>
        </w:rPr>
      </w:pPr>
    </w:p>
    <w:p w:rsidR="00446C28" w:rsidRDefault="00446C28" w:rsidP="00446C28">
      <w:pPr>
        <w:pStyle w:val="BodyText"/>
        <w:ind w:left="1440"/>
        <w:rPr>
          <w:sz w:val="20"/>
          <w:lang w:val="en-US"/>
        </w:rPr>
      </w:pPr>
    </w:p>
    <w:p w:rsidR="00EC0484" w:rsidRDefault="00EC0484" w:rsidP="00446C28">
      <w:pPr>
        <w:pStyle w:val="BodyText"/>
        <w:ind w:left="1440"/>
        <w:rPr>
          <w:sz w:val="20"/>
          <w:lang w:val="en-US"/>
        </w:rPr>
      </w:pPr>
    </w:p>
    <w:p w:rsidR="00446C28" w:rsidRPr="00446C28" w:rsidRDefault="00446C28" w:rsidP="00446C28">
      <w:pPr>
        <w:pStyle w:val="BodyText"/>
        <w:ind w:left="1440"/>
        <w:rPr>
          <w:sz w:val="20"/>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670"/>
        <w:gridCol w:w="2268"/>
      </w:tblGrid>
      <w:tr w:rsidR="001349CF">
        <w:trPr>
          <w:trHeight w:hRule="exact" w:val="397"/>
        </w:trPr>
        <w:tc>
          <w:tcPr>
            <w:tcW w:w="2127" w:type="dxa"/>
            <w:tcBorders>
              <w:top w:val="single" w:sz="12" w:space="0" w:color="auto"/>
              <w:left w:val="single" w:sz="12" w:space="0" w:color="auto"/>
              <w:bottom w:val="single" w:sz="12" w:space="0" w:color="auto"/>
            </w:tcBorders>
            <w:vAlign w:val="center"/>
          </w:tcPr>
          <w:p w:rsidR="001349CF" w:rsidRDefault="001349CF">
            <w:pPr>
              <w:rPr>
                <w:rFonts w:cs="Arial"/>
                <w:b/>
                <w:sz w:val="24"/>
              </w:rPr>
            </w:pPr>
            <w:r>
              <w:rPr>
                <w:rFonts w:cs="Arial"/>
                <w:b/>
                <w:sz w:val="24"/>
              </w:rPr>
              <w:lastRenderedPageBreak/>
              <w:br w:type="page"/>
            </w:r>
            <w:r>
              <w:rPr>
                <w:rFonts w:cs="Arial"/>
                <w:b/>
                <w:sz w:val="24"/>
              </w:rPr>
              <w:br w:type="page"/>
            </w:r>
            <w:r>
              <w:rPr>
                <w:rFonts w:cs="Arial"/>
                <w:b/>
                <w:sz w:val="24"/>
              </w:rPr>
              <w:br w:type="page"/>
            </w:r>
            <w:r>
              <w:rPr>
                <w:rFonts w:cs="Arial"/>
                <w:b/>
                <w:sz w:val="24"/>
              </w:rPr>
              <w:br w:type="page"/>
            </w:r>
            <w:r>
              <w:rPr>
                <w:rFonts w:cs="Arial"/>
                <w:b/>
                <w:sz w:val="24"/>
              </w:rPr>
              <w:br w:type="page"/>
              <w:t>Subject</w:t>
            </w:r>
          </w:p>
        </w:tc>
        <w:tc>
          <w:tcPr>
            <w:tcW w:w="5670" w:type="dxa"/>
            <w:tcBorders>
              <w:top w:val="single" w:sz="12" w:space="0" w:color="auto"/>
              <w:bottom w:val="single" w:sz="12" w:space="0" w:color="auto"/>
            </w:tcBorders>
            <w:vAlign w:val="center"/>
          </w:tcPr>
          <w:p w:rsidR="001349CF" w:rsidRDefault="001349CF">
            <w:pPr>
              <w:rPr>
                <w:rFonts w:cs="Arial"/>
                <w:b/>
                <w:sz w:val="24"/>
              </w:rPr>
            </w:pPr>
          </w:p>
        </w:tc>
        <w:tc>
          <w:tcPr>
            <w:tcW w:w="2268" w:type="dxa"/>
            <w:tcBorders>
              <w:top w:val="single" w:sz="12" w:space="0" w:color="auto"/>
              <w:bottom w:val="single" w:sz="12" w:space="0" w:color="auto"/>
              <w:right w:val="single" w:sz="12" w:space="0" w:color="auto"/>
            </w:tcBorders>
            <w:vAlign w:val="center"/>
          </w:tcPr>
          <w:p w:rsidR="001349CF" w:rsidRDefault="001349CF">
            <w:pPr>
              <w:rPr>
                <w:rFonts w:cs="Arial"/>
                <w:b/>
                <w:sz w:val="24"/>
              </w:rPr>
            </w:pPr>
            <w:r>
              <w:rPr>
                <w:rFonts w:cs="Arial"/>
                <w:b/>
                <w:sz w:val="24"/>
              </w:rPr>
              <w:t>Code:</w:t>
            </w:r>
          </w:p>
        </w:tc>
      </w:tr>
    </w:tbl>
    <w:p w:rsidR="001349CF" w:rsidRDefault="001349CF">
      <w:pPr>
        <w:ind w:left="720" w:hanging="720"/>
        <w:rPr>
          <w:rFonts w:cs="Arial"/>
          <w:bCs/>
          <w:sz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544"/>
        <w:gridCol w:w="3402"/>
      </w:tblGrid>
      <w:tr w:rsidR="001C5F12" w:rsidTr="001C5F12">
        <w:trPr>
          <w:cantSplit/>
          <w:trHeight w:hRule="exact" w:val="369"/>
        </w:trPr>
        <w:tc>
          <w:tcPr>
            <w:tcW w:w="3119" w:type="dxa"/>
            <w:tcBorders>
              <w:top w:val="single" w:sz="12" w:space="0" w:color="auto"/>
              <w:left w:val="single" w:sz="12" w:space="0" w:color="auto"/>
              <w:bottom w:val="single" w:sz="4" w:space="0" w:color="auto"/>
            </w:tcBorders>
            <w:vAlign w:val="center"/>
          </w:tcPr>
          <w:p w:rsidR="001C5F12" w:rsidRDefault="001C5F12" w:rsidP="001C5F12">
            <w:pPr>
              <w:ind w:left="720" w:hanging="720"/>
              <w:rPr>
                <w:rFonts w:cs="Arial"/>
                <w:b/>
                <w:i/>
                <w:iCs/>
                <w:sz w:val="24"/>
              </w:rPr>
            </w:pPr>
            <w:r>
              <w:rPr>
                <w:rFonts w:cs="Arial"/>
                <w:b/>
                <w:sz w:val="24"/>
              </w:rPr>
              <w:t>Assessing school</w:t>
            </w:r>
            <w:r>
              <w:rPr>
                <w:rFonts w:cs="Arial"/>
                <w:b/>
                <w:i/>
                <w:iCs/>
                <w:sz w:val="24"/>
              </w:rPr>
              <w:t xml:space="preserve">    </w:t>
            </w:r>
          </w:p>
          <w:p w:rsidR="001C5F12" w:rsidRDefault="001C5F12">
            <w:pPr>
              <w:pStyle w:val="Heading2"/>
            </w:pPr>
          </w:p>
        </w:tc>
        <w:tc>
          <w:tcPr>
            <w:tcW w:w="3544" w:type="dxa"/>
            <w:tcBorders>
              <w:top w:val="single" w:sz="12" w:space="0" w:color="auto"/>
              <w:bottom w:val="single" w:sz="4" w:space="0" w:color="auto"/>
              <w:right w:val="single" w:sz="12" w:space="0" w:color="auto"/>
            </w:tcBorders>
            <w:vAlign w:val="center"/>
          </w:tcPr>
          <w:p w:rsidR="001C5F12" w:rsidRDefault="001C5F12">
            <w:pPr>
              <w:pStyle w:val="Heading2"/>
              <w:rPr>
                <w:rFonts w:cs="Times New Roman"/>
                <w:bCs/>
              </w:rPr>
            </w:pPr>
            <w:r>
              <w:rPr>
                <w:rFonts w:cs="Times New Roman"/>
                <w:bCs/>
              </w:rPr>
              <w:t>Teacher</w:t>
            </w:r>
          </w:p>
        </w:tc>
        <w:tc>
          <w:tcPr>
            <w:tcW w:w="3402" w:type="dxa"/>
            <w:tcBorders>
              <w:top w:val="single" w:sz="12" w:space="0" w:color="auto"/>
              <w:bottom w:val="single" w:sz="4" w:space="0" w:color="auto"/>
              <w:right w:val="single" w:sz="12" w:space="0" w:color="auto"/>
            </w:tcBorders>
            <w:vAlign w:val="center"/>
          </w:tcPr>
          <w:p w:rsidR="001C5F12" w:rsidRDefault="001C5F12">
            <w:pPr>
              <w:pStyle w:val="Heading2"/>
            </w:pPr>
            <w:r>
              <w:t>Teacher’s signature</w:t>
            </w:r>
          </w:p>
        </w:tc>
      </w:tr>
      <w:tr w:rsidR="001C5F12" w:rsidTr="001C5F12">
        <w:trPr>
          <w:cantSplit/>
          <w:trHeight w:hRule="exact" w:val="369"/>
        </w:trPr>
        <w:tc>
          <w:tcPr>
            <w:tcW w:w="3119" w:type="dxa"/>
            <w:tcBorders>
              <w:top w:val="single" w:sz="4" w:space="0" w:color="auto"/>
              <w:left w:val="single" w:sz="12" w:space="0" w:color="auto"/>
              <w:bottom w:val="single" w:sz="12" w:space="0" w:color="auto"/>
            </w:tcBorders>
            <w:vAlign w:val="center"/>
          </w:tcPr>
          <w:p w:rsidR="001C5F12" w:rsidRDefault="001C5F12">
            <w:pPr>
              <w:pStyle w:val="Heading2"/>
            </w:pPr>
          </w:p>
        </w:tc>
        <w:tc>
          <w:tcPr>
            <w:tcW w:w="3544" w:type="dxa"/>
            <w:tcBorders>
              <w:top w:val="single" w:sz="4" w:space="0" w:color="auto"/>
              <w:bottom w:val="single" w:sz="12" w:space="0" w:color="auto"/>
              <w:right w:val="single" w:sz="12" w:space="0" w:color="auto"/>
            </w:tcBorders>
            <w:vAlign w:val="center"/>
          </w:tcPr>
          <w:p w:rsidR="001C5F12" w:rsidRDefault="001C5F12">
            <w:pPr>
              <w:pStyle w:val="Heading2"/>
              <w:rPr>
                <w:rFonts w:cs="Times New Roman"/>
                <w:bCs/>
              </w:rPr>
            </w:pPr>
          </w:p>
        </w:tc>
        <w:tc>
          <w:tcPr>
            <w:tcW w:w="3402" w:type="dxa"/>
            <w:tcBorders>
              <w:top w:val="single" w:sz="4" w:space="0" w:color="auto"/>
              <w:bottom w:val="single" w:sz="12" w:space="0" w:color="auto"/>
              <w:right w:val="single" w:sz="12" w:space="0" w:color="auto"/>
            </w:tcBorders>
            <w:vAlign w:val="center"/>
          </w:tcPr>
          <w:p w:rsidR="001C5F12" w:rsidRDefault="001C5F12">
            <w:pPr>
              <w:pStyle w:val="Heading2"/>
            </w:pPr>
          </w:p>
        </w:tc>
        <w:bookmarkStart w:id="0" w:name="_GoBack"/>
        <w:bookmarkEnd w:id="0"/>
      </w:tr>
      <w:tr w:rsidR="001349CF" w:rsidTr="001C5F12">
        <w:trPr>
          <w:cantSplit/>
          <w:trHeight w:hRule="exact" w:val="369"/>
        </w:trPr>
        <w:tc>
          <w:tcPr>
            <w:tcW w:w="3119" w:type="dxa"/>
            <w:tcBorders>
              <w:top w:val="single" w:sz="12" w:space="0" w:color="auto"/>
              <w:left w:val="single" w:sz="12" w:space="0" w:color="auto"/>
            </w:tcBorders>
            <w:vAlign w:val="center"/>
          </w:tcPr>
          <w:p w:rsidR="001349CF" w:rsidRDefault="001349CF">
            <w:pPr>
              <w:pStyle w:val="Heading2"/>
            </w:pPr>
            <w:r>
              <w:t>Other school/s</w:t>
            </w:r>
          </w:p>
        </w:tc>
        <w:tc>
          <w:tcPr>
            <w:tcW w:w="3544" w:type="dxa"/>
            <w:tcBorders>
              <w:top w:val="single" w:sz="12" w:space="0" w:color="auto"/>
              <w:right w:val="single" w:sz="12" w:space="0" w:color="auto"/>
            </w:tcBorders>
            <w:vAlign w:val="center"/>
          </w:tcPr>
          <w:p w:rsidR="001349CF" w:rsidRDefault="001349CF">
            <w:pPr>
              <w:pStyle w:val="Heading2"/>
              <w:rPr>
                <w:rFonts w:cs="Times New Roman"/>
                <w:bCs/>
              </w:rPr>
            </w:pPr>
            <w:r>
              <w:rPr>
                <w:rFonts w:cs="Times New Roman"/>
                <w:bCs/>
              </w:rPr>
              <w:t>Teacher</w:t>
            </w:r>
          </w:p>
        </w:tc>
        <w:tc>
          <w:tcPr>
            <w:tcW w:w="3402" w:type="dxa"/>
            <w:tcBorders>
              <w:top w:val="single" w:sz="12" w:space="0" w:color="auto"/>
              <w:right w:val="single" w:sz="12" w:space="0" w:color="auto"/>
            </w:tcBorders>
            <w:vAlign w:val="center"/>
          </w:tcPr>
          <w:p w:rsidR="001349CF" w:rsidRDefault="001349CF">
            <w:pPr>
              <w:pStyle w:val="Heading2"/>
              <w:rPr>
                <w:rFonts w:cs="Times New Roman"/>
                <w:bCs/>
              </w:rPr>
            </w:pPr>
            <w:r>
              <w:t>Teacher’s signature</w:t>
            </w:r>
          </w:p>
        </w:tc>
      </w:tr>
      <w:tr w:rsidR="001349CF">
        <w:trPr>
          <w:cantSplit/>
          <w:trHeight w:hRule="exact" w:val="369"/>
        </w:trPr>
        <w:tc>
          <w:tcPr>
            <w:tcW w:w="3119" w:type="dxa"/>
            <w:tcBorders>
              <w:left w:val="single" w:sz="12" w:space="0" w:color="auto"/>
              <w:bottom w:val="single" w:sz="4" w:space="0" w:color="auto"/>
            </w:tcBorders>
          </w:tcPr>
          <w:p w:rsidR="001349CF" w:rsidRDefault="001349CF">
            <w:pPr>
              <w:rPr>
                <w:rFonts w:cs="Arial"/>
                <w:bCs/>
                <w:sz w:val="24"/>
              </w:rPr>
            </w:pPr>
          </w:p>
        </w:tc>
        <w:tc>
          <w:tcPr>
            <w:tcW w:w="3544" w:type="dxa"/>
            <w:tcBorders>
              <w:right w:val="single" w:sz="12" w:space="0" w:color="auto"/>
            </w:tcBorders>
          </w:tcPr>
          <w:p w:rsidR="001349CF" w:rsidRDefault="001349CF">
            <w:pPr>
              <w:rPr>
                <w:rFonts w:cs="Arial"/>
                <w:bCs/>
                <w:sz w:val="24"/>
              </w:rPr>
            </w:pPr>
          </w:p>
        </w:tc>
        <w:tc>
          <w:tcPr>
            <w:tcW w:w="3402" w:type="dxa"/>
            <w:tcBorders>
              <w:right w:val="single" w:sz="12" w:space="0" w:color="auto"/>
            </w:tcBorders>
          </w:tcPr>
          <w:p w:rsidR="001349CF" w:rsidRDefault="001349CF">
            <w:pPr>
              <w:rPr>
                <w:rFonts w:cs="Arial"/>
                <w:bCs/>
                <w:sz w:val="24"/>
              </w:rPr>
            </w:pPr>
          </w:p>
        </w:tc>
      </w:tr>
      <w:tr w:rsidR="001349CF">
        <w:trPr>
          <w:cantSplit/>
          <w:trHeight w:hRule="exact" w:val="369"/>
        </w:trPr>
        <w:tc>
          <w:tcPr>
            <w:tcW w:w="3119" w:type="dxa"/>
            <w:tcBorders>
              <w:left w:val="single" w:sz="12" w:space="0" w:color="auto"/>
              <w:bottom w:val="single" w:sz="4" w:space="0" w:color="auto"/>
            </w:tcBorders>
          </w:tcPr>
          <w:p w:rsidR="001349CF" w:rsidRDefault="001349CF">
            <w:pPr>
              <w:rPr>
                <w:rFonts w:cs="Arial"/>
                <w:bCs/>
                <w:sz w:val="24"/>
              </w:rPr>
            </w:pPr>
          </w:p>
        </w:tc>
        <w:tc>
          <w:tcPr>
            <w:tcW w:w="3544" w:type="dxa"/>
            <w:tcBorders>
              <w:right w:val="single" w:sz="12" w:space="0" w:color="auto"/>
            </w:tcBorders>
          </w:tcPr>
          <w:p w:rsidR="001349CF" w:rsidRDefault="001349CF">
            <w:pPr>
              <w:rPr>
                <w:rFonts w:cs="Arial"/>
                <w:bCs/>
                <w:sz w:val="24"/>
              </w:rPr>
            </w:pPr>
          </w:p>
        </w:tc>
        <w:tc>
          <w:tcPr>
            <w:tcW w:w="3402" w:type="dxa"/>
            <w:tcBorders>
              <w:right w:val="single" w:sz="12" w:space="0" w:color="auto"/>
            </w:tcBorders>
          </w:tcPr>
          <w:p w:rsidR="001349CF" w:rsidRDefault="001349CF">
            <w:pPr>
              <w:rPr>
                <w:rFonts w:cs="Arial"/>
                <w:bCs/>
                <w:sz w:val="24"/>
              </w:rPr>
            </w:pPr>
          </w:p>
        </w:tc>
      </w:tr>
      <w:tr w:rsidR="001349CF">
        <w:trPr>
          <w:cantSplit/>
          <w:trHeight w:hRule="exact" w:val="369"/>
        </w:trPr>
        <w:tc>
          <w:tcPr>
            <w:tcW w:w="3119" w:type="dxa"/>
            <w:tcBorders>
              <w:left w:val="single" w:sz="12" w:space="0" w:color="auto"/>
              <w:bottom w:val="single" w:sz="12" w:space="0" w:color="auto"/>
            </w:tcBorders>
          </w:tcPr>
          <w:p w:rsidR="001349CF" w:rsidRDefault="001349CF">
            <w:pPr>
              <w:rPr>
                <w:rFonts w:cs="Arial"/>
                <w:bCs/>
                <w:sz w:val="24"/>
              </w:rPr>
            </w:pPr>
          </w:p>
        </w:tc>
        <w:tc>
          <w:tcPr>
            <w:tcW w:w="3544" w:type="dxa"/>
            <w:tcBorders>
              <w:bottom w:val="single" w:sz="12" w:space="0" w:color="auto"/>
              <w:right w:val="single" w:sz="12" w:space="0" w:color="auto"/>
            </w:tcBorders>
          </w:tcPr>
          <w:p w:rsidR="001349CF" w:rsidRDefault="001349CF">
            <w:pPr>
              <w:rPr>
                <w:rFonts w:cs="Arial"/>
                <w:bCs/>
                <w:sz w:val="24"/>
              </w:rPr>
            </w:pPr>
          </w:p>
        </w:tc>
        <w:tc>
          <w:tcPr>
            <w:tcW w:w="3402" w:type="dxa"/>
            <w:tcBorders>
              <w:bottom w:val="single" w:sz="12" w:space="0" w:color="auto"/>
              <w:right w:val="single" w:sz="12" w:space="0" w:color="auto"/>
            </w:tcBorders>
          </w:tcPr>
          <w:p w:rsidR="001349CF" w:rsidRDefault="001349CF">
            <w:pPr>
              <w:rPr>
                <w:rFonts w:cs="Arial"/>
                <w:bCs/>
                <w:sz w:val="24"/>
              </w:rPr>
            </w:pPr>
          </w:p>
        </w:tc>
      </w:tr>
    </w:tbl>
    <w:p w:rsidR="001349CF" w:rsidRDefault="001349CF">
      <w:pPr>
        <w:ind w:left="720" w:hanging="720"/>
        <w:rPr>
          <w:rFonts w:cs="Arial"/>
          <w:bCs/>
          <w:sz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544"/>
        <w:gridCol w:w="3402"/>
      </w:tblGrid>
      <w:tr w:rsidR="001349CF">
        <w:trPr>
          <w:trHeight w:hRule="exact" w:val="284"/>
        </w:trPr>
        <w:tc>
          <w:tcPr>
            <w:tcW w:w="3119" w:type="dxa"/>
            <w:tcBorders>
              <w:top w:val="single" w:sz="12" w:space="0" w:color="auto"/>
              <w:left w:val="single" w:sz="12" w:space="0" w:color="auto"/>
            </w:tcBorders>
            <w:vAlign w:val="center"/>
          </w:tcPr>
          <w:p w:rsidR="001349CF" w:rsidRDefault="001349CF">
            <w:pPr>
              <w:rPr>
                <w:rFonts w:cs="Arial"/>
                <w:b/>
                <w:sz w:val="24"/>
              </w:rPr>
            </w:pPr>
            <w:r w:rsidRPr="00FB5CAB">
              <w:rPr>
                <w:rFonts w:cs="Arial"/>
                <w:b/>
                <w:sz w:val="24"/>
              </w:rPr>
              <w:t>NTCE</w:t>
            </w:r>
            <w:r w:rsidR="00FB5CAB" w:rsidRPr="00FB5CAB">
              <w:rPr>
                <w:rFonts w:cs="Arial"/>
                <w:b/>
                <w:sz w:val="24"/>
              </w:rPr>
              <w:t>T</w:t>
            </w:r>
            <w:r>
              <w:rPr>
                <w:rFonts w:cs="Arial"/>
                <w:b/>
                <w:sz w:val="24"/>
              </w:rPr>
              <w:t xml:space="preserve"> Coordinator</w:t>
            </w:r>
          </w:p>
        </w:tc>
        <w:tc>
          <w:tcPr>
            <w:tcW w:w="3544" w:type="dxa"/>
            <w:tcBorders>
              <w:top w:val="single" w:sz="12" w:space="0" w:color="auto"/>
            </w:tcBorders>
          </w:tcPr>
          <w:p w:rsidR="001349CF" w:rsidRDefault="001349CF">
            <w:pPr>
              <w:rPr>
                <w:rFonts w:cs="Arial"/>
                <w:b/>
                <w:sz w:val="24"/>
              </w:rPr>
            </w:pPr>
            <w:r>
              <w:rPr>
                <w:rFonts w:cs="Arial"/>
                <w:b/>
                <w:sz w:val="24"/>
              </w:rPr>
              <w:t>School</w:t>
            </w:r>
          </w:p>
        </w:tc>
        <w:tc>
          <w:tcPr>
            <w:tcW w:w="3402" w:type="dxa"/>
            <w:tcBorders>
              <w:top w:val="single" w:sz="12" w:space="0" w:color="auto"/>
              <w:right w:val="single" w:sz="12" w:space="0" w:color="auto"/>
            </w:tcBorders>
            <w:vAlign w:val="center"/>
          </w:tcPr>
          <w:p w:rsidR="001349CF" w:rsidRDefault="001349CF">
            <w:pPr>
              <w:rPr>
                <w:rFonts w:cs="Arial"/>
                <w:b/>
                <w:sz w:val="24"/>
              </w:rPr>
            </w:pPr>
            <w:r>
              <w:rPr>
                <w:rFonts w:cs="Arial"/>
                <w:b/>
                <w:sz w:val="24"/>
              </w:rPr>
              <w:t>Signature</w:t>
            </w:r>
          </w:p>
        </w:tc>
      </w:tr>
      <w:tr w:rsidR="001349CF">
        <w:trPr>
          <w:trHeight w:hRule="exact" w:val="369"/>
        </w:trPr>
        <w:tc>
          <w:tcPr>
            <w:tcW w:w="3119" w:type="dxa"/>
            <w:tcBorders>
              <w:left w:val="single" w:sz="12" w:space="0" w:color="auto"/>
            </w:tcBorders>
          </w:tcPr>
          <w:p w:rsidR="001349CF" w:rsidRDefault="001349CF">
            <w:pPr>
              <w:rPr>
                <w:rFonts w:cs="Arial"/>
                <w:bCs/>
                <w:sz w:val="20"/>
              </w:rPr>
            </w:pPr>
          </w:p>
        </w:tc>
        <w:tc>
          <w:tcPr>
            <w:tcW w:w="3544" w:type="dxa"/>
          </w:tcPr>
          <w:p w:rsidR="001349CF" w:rsidRDefault="001349CF">
            <w:pPr>
              <w:rPr>
                <w:rFonts w:cs="Arial"/>
                <w:bCs/>
                <w:sz w:val="20"/>
              </w:rPr>
            </w:pPr>
          </w:p>
        </w:tc>
        <w:tc>
          <w:tcPr>
            <w:tcW w:w="3402" w:type="dxa"/>
            <w:tcBorders>
              <w:right w:val="single" w:sz="12" w:space="0" w:color="auto"/>
            </w:tcBorders>
          </w:tcPr>
          <w:p w:rsidR="001349CF" w:rsidRDefault="001349CF">
            <w:pPr>
              <w:rPr>
                <w:rFonts w:cs="Arial"/>
                <w:bCs/>
                <w:sz w:val="20"/>
              </w:rPr>
            </w:pPr>
          </w:p>
        </w:tc>
      </w:tr>
      <w:tr w:rsidR="001349CF">
        <w:trPr>
          <w:trHeight w:hRule="exact" w:val="369"/>
        </w:trPr>
        <w:tc>
          <w:tcPr>
            <w:tcW w:w="3119" w:type="dxa"/>
            <w:tcBorders>
              <w:left w:val="single" w:sz="12" w:space="0" w:color="auto"/>
            </w:tcBorders>
          </w:tcPr>
          <w:p w:rsidR="001349CF" w:rsidRDefault="001349CF">
            <w:pPr>
              <w:rPr>
                <w:rFonts w:cs="Arial"/>
                <w:bCs/>
                <w:sz w:val="20"/>
              </w:rPr>
            </w:pPr>
          </w:p>
        </w:tc>
        <w:tc>
          <w:tcPr>
            <w:tcW w:w="3544" w:type="dxa"/>
          </w:tcPr>
          <w:p w:rsidR="001349CF" w:rsidRDefault="001349CF">
            <w:pPr>
              <w:rPr>
                <w:rFonts w:cs="Arial"/>
                <w:bCs/>
                <w:sz w:val="20"/>
              </w:rPr>
            </w:pPr>
          </w:p>
        </w:tc>
        <w:tc>
          <w:tcPr>
            <w:tcW w:w="3402" w:type="dxa"/>
            <w:tcBorders>
              <w:right w:val="single" w:sz="12" w:space="0" w:color="auto"/>
            </w:tcBorders>
          </w:tcPr>
          <w:p w:rsidR="001349CF" w:rsidRDefault="001349CF">
            <w:pPr>
              <w:rPr>
                <w:rFonts w:cs="Arial"/>
                <w:bCs/>
                <w:sz w:val="20"/>
              </w:rPr>
            </w:pPr>
          </w:p>
        </w:tc>
      </w:tr>
      <w:tr w:rsidR="001349CF">
        <w:trPr>
          <w:trHeight w:hRule="exact" w:val="369"/>
        </w:trPr>
        <w:tc>
          <w:tcPr>
            <w:tcW w:w="3119" w:type="dxa"/>
            <w:tcBorders>
              <w:left w:val="single" w:sz="12" w:space="0" w:color="auto"/>
            </w:tcBorders>
          </w:tcPr>
          <w:p w:rsidR="001349CF" w:rsidRDefault="001349CF">
            <w:pPr>
              <w:rPr>
                <w:rFonts w:cs="Arial"/>
                <w:bCs/>
                <w:sz w:val="20"/>
              </w:rPr>
            </w:pPr>
          </w:p>
        </w:tc>
        <w:tc>
          <w:tcPr>
            <w:tcW w:w="3544" w:type="dxa"/>
          </w:tcPr>
          <w:p w:rsidR="001349CF" w:rsidRDefault="001349CF">
            <w:pPr>
              <w:rPr>
                <w:rFonts w:cs="Arial"/>
                <w:bCs/>
                <w:sz w:val="20"/>
              </w:rPr>
            </w:pPr>
          </w:p>
        </w:tc>
        <w:tc>
          <w:tcPr>
            <w:tcW w:w="3402" w:type="dxa"/>
            <w:tcBorders>
              <w:right w:val="single" w:sz="12" w:space="0" w:color="auto"/>
            </w:tcBorders>
          </w:tcPr>
          <w:p w:rsidR="001349CF" w:rsidRDefault="001349CF">
            <w:pPr>
              <w:rPr>
                <w:rFonts w:cs="Arial"/>
                <w:bCs/>
                <w:sz w:val="20"/>
              </w:rPr>
            </w:pPr>
          </w:p>
        </w:tc>
      </w:tr>
      <w:tr w:rsidR="001349CF">
        <w:trPr>
          <w:trHeight w:hRule="exact" w:val="369"/>
        </w:trPr>
        <w:tc>
          <w:tcPr>
            <w:tcW w:w="3119" w:type="dxa"/>
            <w:tcBorders>
              <w:left w:val="single" w:sz="12" w:space="0" w:color="auto"/>
              <w:bottom w:val="single" w:sz="12" w:space="0" w:color="auto"/>
            </w:tcBorders>
          </w:tcPr>
          <w:p w:rsidR="001349CF" w:rsidRDefault="001349CF">
            <w:pPr>
              <w:rPr>
                <w:rFonts w:cs="Arial"/>
                <w:bCs/>
                <w:sz w:val="20"/>
              </w:rPr>
            </w:pPr>
          </w:p>
        </w:tc>
        <w:tc>
          <w:tcPr>
            <w:tcW w:w="3544" w:type="dxa"/>
            <w:tcBorders>
              <w:bottom w:val="single" w:sz="12" w:space="0" w:color="auto"/>
            </w:tcBorders>
          </w:tcPr>
          <w:p w:rsidR="001349CF" w:rsidRDefault="001349CF">
            <w:pPr>
              <w:rPr>
                <w:rFonts w:cs="Arial"/>
                <w:bCs/>
                <w:sz w:val="20"/>
              </w:rPr>
            </w:pPr>
          </w:p>
        </w:tc>
        <w:tc>
          <w:tcPr>
            <w:tcW w:w="3402" w:type="dxa"/>
            <w:tcBorders>
              <w:bottom w:val="single" w:sz="12" w:space="0" w:color="auto"/>
              <w:right w:val="single" w:sz="12" w:space="0" w:color="auto"/>
            </w:tcBorders>
          </w:tcPr>
          <w:p w:rsidR="001349CF" w:rsidRDefault="001349CF">
            <w:pPr>
              <w:rPr>
                <w:rFonts w:cs="Arial"/>
                <w:bCs/>
                <w:sz w:val="20"/>
              </w:rPr>
            </w:pPr>
          </w:p>
        </w:tc>
      </w:tr>
    </w:tbl>
    <w:p w:rsidR="001349CF" w:rsidRDefault="001349CF">
      <w:pPr>
        <w:ind w:left="720" w:hanging="720"/>
        <w:rPr>
          <w:rFonts w:cs="Arial"/>
          <w:bCs/>
          <w:sz w:val="20"/>
        </w:rPr>
      </w:pPr>
      <w:r>
        <w:rPr>
          <w:rFonts w:cs="Arial"/>
          <w:bCs/>
          <w:sz w:val="20"/>
        </w:rPr>
        <w:tab/>
      </w:r>
      <w:r>
        <w:rPr>
          <w:rFonts w:cs="Arial"/>
          <w:bCs/>
          <w:sz w:val="20"/>
        </w:rPr>
        <w:tab/>
      </w:r>
      <w:r>
        <w:rPr>
          <w:rFonts w:cs="Arial"/>
          <w:bCs/>
          <w:sz w:val="20"/>
        </w:rPr>
        <w:tab/>
      </w:r>
      <w:r>
        <w:rPr>
          <w:rFonts w:cs="Arial"/>
          <w:bCs/>
          <w:sz w:val="20"/>
        </w:rPr>
        <w:tab/>
      </w:r>
    </w:p>
    <w:p w:rsidR="000C051D" w:rsidRDefault="000C051D">
      <w:pPr>
        <w:pStyle w:val="Heading3"/>
        <w:rPr>
          <w:rFonts w:cs="Times New Roman"/>
        </w:rPr>
      </w:pPr>
    </w:p>
    <w:p w:rsidR="001349CF" w:rsidRPr="000C051D" w:rsidRDefault="00FB5CAB">
      <w:pPr>
        <w:pStyle w:val="Heading3"/>
        <w:rPr>
          <w:rFonts w:cs="Times New Roman"/>
          <w:sz w:val="28"/>
          <w:szCs w:val="28"/>
          <w:u w:val="single"/>
        </w:rPr>
      </w:pPr>
      <w:r>
        <w:rPr>
          <w:rFonts w:cs="Times New Roman"/>
          <w:sz w:val="28"/>
          <w:szCs w:val="28"/>
          <w:u w:val="single"/>
        </w:rPr>
        <w:t>Assessment Groups</w:t>
      </w:r>
    </w:p>
    <w:p w:rsidR="000C051D" w:rsidRPr="000C051D" w:rsidRDefault="000C051D" w:rsidP="000C051D"/>
    <w:p w:rsidR="001349CF" w:rsidRDefault="001349CF">
      <w:pPr>
        <w:ind w:left="720" w:hanging="720"/>
        <w:rPr>
          <w:rFonts w:cs="Arial"/>
          <w:bCs/>
          <w:sz w:val="16"/>
        </w:rPr>
      </w:pPr>
    </w:p>
    <w:tbl>
      <w:tblPr>
        <w:tblW w:w="101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3"/>
      </w:tblGrid>
      <w:tr w:rsidR="001349CF">
        <w:trPr>
          <w:trHeight w:val="8238"/>
        </w:trPr>
        <w:tc>
          <w:tcPr>
            <w:tcW w:w="10173" w:type="dxa"/>
            <w:tcBorders>
              <w:top w:val="single" w:sz="12" w:space="0" w:color="auto"/>
              <w:left w:val="single" w:sz="12" w:space="0" w:color="auto"/>
              <w:bottom w:val="single" w:sz="12" w:space="0" w:color="auto"/>
              <w:right w:val="single" w:sz="12" w:space="0" w:color="auto"/>
            </w:tcBorders>
          </w:tcPr>
          <w:p w:rsidR="001349CF" w:rsidRDefault="001349CF">
            <w:pPr>
              <w:ind w:left="720" w:hanging="720"/>
              <w:rPr>
                <w:rFonts w:cs="Arial"/>
                <w:bCs/>
                <w:sz w:val="10"/>
              </w:rPr>
            </w:pPr>
          </w:p>
          <w:p w:rsidR="001349CF" w:rsidRDefault="001349CF">
            <w:pPr>
              <w:ind w:left="720" w:hanging="720"/>
              <w:rPr>
                <w:rFonts w:cs="Arial"/>
                <w:b/>
                <w:sz w:val="24"/>
              </w:rPr>
            </w:pPr>
            <w:r>
              <w:rPr>
                <w:rFonts w:cs="Arial"/>
                <w:bCs/>
                <w:sz w:val="24"/>
              </w:rPr>
              <w:t>Early Term 1</w:t>
            </w:r>
            <w:r>
              <w:rPr>
                <w:rFonts w:cs="Arial"/>
                <w:bCs/>
                <w:sz w:val="24"/>
              </w:rPr>
              <w:tab/>
            </w:r>
            <w:r>
              <w:rPr>
                <w:rFonts w:cs="Arial"/>
                <w:bCs/>
                <w:sz w:val="24"/>
              </w:rPr>
              <w:tab/>
            </w:r>
            <w:r>
              <w:rPr>
                <w:rFonts w:cs="Arial"/>
                <w:b/>
                <w:sz w:val="24"/>
              </w:rPr>
              <w:t>Establish processes for the year</w:t>
            </w:r>
          </w:p>
          <w:p w:rsidR="001349CF" w:rsidRDefault="001349CF">
            <w:pPr>
              <w:ind w:left="720" w:hanging="720"/>
              <w:rPr>
                <w:rFonts w:cs="Arial"/>
                <w:bCs/>
                <w:sz w:val="16"/>
              </w:rPr>
            </w:pPr>
          </w:p>
          <w:p w:rsidR="006F41B0" w:rsidRDefault="006F41B0" w:rsidP="006F41B0">
            <w:pPr>
              <w:pStyle w:val="ISBodyText"/>
            </w:pPr>
            <w:r>
              <w:t xml:space="preserve">Schools notify the SACE Board of assessment groups for each subject, using </w:t>
            </w:r>
            <w:r>
              <w:rPr>
                <w:rStyle w:val="ISArial10ptitalics"/>
                <w:iCs w:val="0"/>
              </w:rPr>
              <w:t>Schools Online</w:t>
            </w:r>
            <w:r>
              <w:t>.</w:t>
            </w:r>
          </w:p>
          <w:p w:rsidR="006F41B0" w:rsidRDefault="006F41B0" w:rsidP="006F41B0">
            <w:pPr>
              <w:pStyle w:val="ISBodyText"/>
            </w:pPr>
            <w:r>
              <w:t>When two or more schools combine to form an assessment grou</w:t>
            </w:r>
            <w:r w:rsidR="00FA73FE">
              <w:t>p, the principal and the NTCET C</w:t>
            </w:r>
            <w:r>
              <w:t xml:space="preserve">oordinator in each school must be notified. Teachers and school leaders decide which school will be the ‘assessment’ school. </w:t>
            </w:r>
          </w:p>
          <w:p w:rsidR="006F41B0" w:rsidRDefault="006F41B0" w:rsidP="006F41B0">
            <w:pPr>
              <w:pStyle w:val="ISBodyText"/>
            </w:pPr>
            <w:r>
              <w:t>All students in an assessment group will be included in the school assessment and predicted results sheets.</w:t>
            </w:r>
          </w:p>
          <w:p w:rsidR="006F41B0" w:rsidRDefault="006F41B0" w:rsidP="006F41B0">
            <w:pPr>
              <w:pStyle w:val="ISBodyText"/>
            </w:pPr>
            <w:r>
              <w:t>The ‘contact’ and ‘teaching’ schools for the students should remain unchanged.</w:t>
            </w:r>
          </w:p>
          <w:p w:rsidR="006F41B0" w:rsidRDefault="006F41B0" w:rsidP="006F41B0">
            <w:pPr>
              <w:pStyle w:val="ISBodyText"/>
            </w:pPr>
            <w:r>
              <w:t xml:space="preserve">See </w:t>
            </w:r>
            <w:hyperlink r:id="rId7" w:history="1">
              <w:r>
                <w:rPr>
                  <w:rStyle w:val="Hyperlink"/>
                  <w:lang w:val="en-GB"/>
                </w:rPr>
                <w:t xml:space="preserve">Information Sheet 33 </w:t>
              </w:r>
            </w:hyperlink>
            <w:r>
              <w:t>for details of school categories.</w:t>
            </w:r>
          </w:p>
          <w:p w:rsidR="006F41B0" w:rsidRDefault="006F41B0" w:rsidP="006F41B0">
            <w:pPr>
              <w:pStyle w:val="ISBodyText"/>
            </w:pPr>
            <w:r>
              <w:t>Each school submits a learning and assessment plan to the SACE Board for approval. Schools may share a common plan or submit different plans. All schools using a common learning and assessment plan must be listed in the space provided on the plan pro forma. Each school should keep a copy of the approved plan.</w:t>
            </w:r>
          </w:p>
          <w:p w:rsidR="006F41B0" w:rsidRDefault="006F41B0" w:rsidP="006F41B0">
            <w:pPr>
              <w:pStyle w:val="ISBodyText"/>
            </w:pPr>
            <w:r>
              <w:t>For subjects with on-site marking or moderation, it is expected that classes combined in an assessment group will be marked or moderated on the same site. Schools negotiate the location of this site. If classes combine to form an assessment group after the due date for submission of dates for on-site marking or moderation, the assessment school must notify the SACE Board immediately.</w:t>
            </w:r>
          </w:p>
          <w:p w:rsidR="006F41B0" w:rsidRPr="006F41B0" w:rsidRDefault="006F41B0" w:rsidP="006F41B0">
            <w:pPr>
              <w:rPr>
                <w:lang w:eastAsia="zh-CN" w:bidi="he-IL"/>
              </w:rPr>
            </w:pPr>
          </w:p>
          <w:p w:rsidR="001349CF" w:rsidRPr="009D6792" w:rsidRDefault="001944E0">
            <w:pPr>
              <w:tabs>
                <w:tab w:val="num" w:pos="3240"/>
              </w:tabs>
              <w:jc w:val="both"/>
              <w:rPr>
                <w:rFonts w:cs="Arial"/>
                <w:bCs/>
                <w:szCs w:val="22"/>
              </w:rPr>
            </w:pPr>
            <w:r>
              <w:rPr>
                <w:rFonts w:cs="Arial"/>
                <w:bCs/>
                <w:noProof/>
                <w:szCs w:val="22"/>
                <w:lang w:eastAsia="en-AU"/>
              </w:rPr>
              <mc:AlternateContent>
                <mc:Choice Requires="wps">
                  <w:drawing>
                    <wp:anchor distT="0" distB="0" distL="114300" distR="114300" simplePos="0" relativeHeight="251657728" behindDoc="0" locked="0" layoutInCell="1" allowOverlap="1" wp14:anchorId="2F19908E" wp14:editId="02CB7314">
                      <wp:simplePos x="0" y="0"/>
                      <wp:positionH relativeFrom="column">
                        <wp:posOffset>232410</wp:posOffset>
                      </wp:positionH>
                      <wp:positionV relativeFrom="paragraph">
                        <wp:posOffset>113665</wp:posOffset>
                      </wp:positionV>
                      <wp:extent cx="5791200" cy="958850"/>
                      <wp:effectExtent l="13335" t="8890" r="5715"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58850"/>
                              </a:xfrm>
                              <a:prstGeom prst="rect">
                                <a:avLst/>
                              </a:prstGeom>
                              <a:solidFill>
                                <a:srgbClr val="FFFFFF"/>
                              </a:solidFill>
                              <a:ln w="9525">
                                <a:solidFill>
                                  <a:srgbClr val="000000"/>
                                </a:solidFill>
                                <a:miter lim="800000"/>
                                <a:headEnd/>
                                <a:tailEnd/>
                              </a:ln>
                            </wps:spPr>
                            <wps:txbx>
                              <w:txbxContent>
                                <w:p w:rsidR="004B61BA" w:rsidRDefault="004B61BA">
                                  <w:pPr>
                                    <w:pStyle w:val="Heading4"/>
                                  </w:pPr>
                                  <w:r>
                                    <w:t>Future meeting dates</w:t>
                                  </w:r>
                                </w:p>
                                <w:p w:rsidR="004B61BA" w:rsidRDefault="004B61BA">
                                  <w:pPr>
                                    <w:pStyle w:val="Para"/>
                                    <w:spacing w:before="0" w:after="60"/>
                                  </w:pPr>
                                  <w:r>
                                    <w:t>_________________________________         ____________________________</w:t>
                                  </w:r>
                                </w:p>
                                <w:p w:rsidR="004B61BA" w:rsidRDefault="004B61BA">
                                  <w:pPr>
                                    <w:pStyle w:val="Para"/>
                                    <w:spacing w:before="60" w:after="60"/>
                                  </w:pPr>
                                  <w:r>
                                    <w:t>_________________________________         ____________________________</w:t>
                                  </w:r>
                                </w:p>
                                <w:p w:rsidR="004B61BA" w:rsidRDefault="004B61BA">
                                  <w:pPr>
                                    <w:pStyle w:val="Para"/>
                                    <w:spacing w:before="60" w:after="60"/>
                                  </w:pPr>
                                  <w:r>
                                    <w:t>_________________________________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9908E" id="Rectangle 9" o:spid="_x0000_s1026" style="position:absolute;left:0;text-align:left;margin-left:18.3pt;margin-top:8.95pt;width:45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">
                      <v:textbox>
                        <w:txbxContent>
                          <w:p w:rsidR="004B61BA" w:rsidRDefault="004B61BA">
                            <w:pPr>
                              <w:pStyle w:val="Heading4"/>
                            </w:pPr>
                            <w:r>
                              <w:t>Future meeting dates</w:t>
                            </w:r>
                          </w:p>
                          <w:p w:rsidR="004B61BA" w:rsidRDefault="004B61BA">
                            <w:pPr>
                              <w:pStyle w:val="Para"/>
                              <w:spacing w:before="0" w:after="60"/>
                            </w:pPr>
                            <w:r>
                              <w:t>_________________________________         ____________________________</w:t>
                            </w:r>
                          </w:p>
                          <w:p w:rsidR="004B61BA" w:rsidRDefault="004B61BA">
                            <w:pPr>
                              <w:pStyle w:val="Para"/>
                              <w:spacing w:before="60" w:after="60"/>
                            </w:pPr>
                            <w:r>
                              <w:t>_________________________________         ____________________________</w:t>
                            </w:r>
                          </w:p>
                          <w:p w:rsidR="004B61BA" w:rsidRDefault="004B61BA">
                            <w:pPr>
                              <w:pStyle w:val="Para"/>
                              <w:spacing w:before="60" w:after="60"/>
                            </w:pPr>
                            <w:r>
                              <w:t>_________________________________         ____________________________</w:t>
                            </w:r>
                          </w:p>
                        </w:txbxContent>
                      </v:textbox>
                    </v:rect>
                  </w:pict>
                </mc:Fallback>
              </mc:AlternateContent>
            </w:r>
          </w:p>
          <w:p w:rsidR="001349CF" w:rsidRPr="009D6792" w:rsidRDefault="001349CF">
            <w:pPr>
              <w:tabs>
                <w:tab w:val="num" w:pos="3240"/>
              </w:tabs>
              <w:jc w:val="both"/>
              <w:rPr>
                <w:rFonts w:cs="Arial"/>
                <w:bCs/>
                <w:szCs w:val="22"/>
              </w:rPr>
            </w:pPr>
          </w:p>
          <w:p w:rsidR="001349CF" w:rsidRPr="009D6792" w:rsidRDefault="001349CF">
            <w:pPr>
              <w:tabs>
                <w:tab w:val="num" w:pos="3240"/>
              </w:tabs>
              <w:jc w:val="both"/>
              <w:rPr>
                <w:rFonts w:cs="Arial"/>
                <w:bCs/>
                <w:szCs w:val="22"/>
              </w:rPr>
            </w:pPr>
          </w:p>
          <w:p w:rsidR="001349CF" w:rsidRPr="009D6792" w:rsidRDefault="001349CF">
            <w:pPr>
              <w:tabs>
                <w:tab w:val="num" w:pos="3240"/>
              </w:tabs>
              <w:jc w:val="both"/>
              <w:rPr>
                <w:rFonts w:cs="Arial"/>
                <w:bCs/>
                <w:szCs w:val="22"/>
              </w:rPr>
            </w:pPr>
          </w:p>
          <w:p w:rsidR="001349CF" w:rsidRPr="009D6792" w:rsidRDefault="001349CF">
            <w:pPr>
              <w:tabs>
                <w:tab w:val="num" w:pos="3240"/>
              </w:tabs>
              <w:jc w:val="both"/>
              <w:rPr>
                <w:rFonts w:cs="Arial"/>
                <w:bCs/>
                <w:szCs w:val="22"/>
              </w:rPr>
            </w:pPr>
          </w:p>
          <w:p w:rsidR="001349CF" w:rsidRPr="009D6792" w:rsidRDefault="001349CF">
            <w:pPr>
              <w:tabs>
                <w:tab w:val="num" w:pos="3240"/>
              </w:tabs>
              <w:jc w:val="both"/>
              <w:rPr>
                <w:rFonts w:cs="Arial"/>
                <w:bCs/>
                <w:szCs w:val="22"/>
              </w:rPr>
            </w:pPr>
          </w:p>
          <w:p w:rsidR="001349CF" w:rsidRPr="009D6792" w:rsidRDefault="001349CF">
            <w:pPr>
              <w:tabs>
                <w:tab w:val="num" w:pos="3240"/>
              </w:tabs>
              <w:jc w:val="both"/>
              <w:rPr>
                <w:rFonts w:cs="Arial"/>
                <w:bCs/>
                <w:szCs w:val="22"/>
              </w:rPr>
            </w:pPr>
          </w:p>
          <w:p w:rsidR="009D6792" w:rsidRPr="009D6792" w:rsidRDefault="009D6792">
            <w:pPr>
              <w:tabs>
                <w:tab w:val="num" w:pos="3240"/>
              </w:tabs>
              <w:jc w:val="both"/>
              <w:rPr>
                <w:rFonts w:cs="Arial"/>
                <w:bCs/>
                <w:szCs w:val="22"/>
              </w:rPr>
            </w:pPr>
          </w:p>
          <w:p w:rsidR="001349CF" w:rsidRPr="00676E1E" w:rsidRDefault="001349CF" w:rsidP="004B61BA">
            <w:pPr>
              <w:numPr>
                <w:ilvl w:val="0"/>
                <w:numId w:val="6"/>
              </w:numPr>
              <w:jc w:val="both"/>
              <w:rPr>
                <w:rFonts w:cs="Arial"/>
                <w:bCs/>
                <w:sz w:val="20"/>
              </w:rPr>
            </w:pPr>
            <w:r w:rsidRPr="00676E1E">
              <w:rPr>
                <w:rFonts w:cs="Arial"/>
                <w:bCs/>
                <w:sz w:val="20"/>
              </w:rPr>
              <w:t>A</w:t>
            </w:r>
            <w:r w:rsidR="00676E1E" w:rsidRPr="00676E1E">
              <w:rPr>
                <w:rFonts w:cs="Arial"/>
                <w:bCs/>
                <w:sz w:val="20"/>
              </w:rPr>
              <w:t>rrange to attend PD together, where</w:t>
            </w:r>
            <w:r w:rsidRPr="00676E1E">
              <w:rPr>
                <w:rFonts w:cs="Arial"/>
                <w:bCs/>
                <w:sz w:val="20"/>
              </w:rPr>
              <w:t xml:space="preserve"> possible.</w:t>
            </w:r>
          </w:p>
          <w:p w:rsidR="001349CF" w:rsidRPr="00C83480" w:rsidRDefault="001349CF" w:rsidP="00C83480">
            <w:pPr>
              <w:numPr>
                <w:ilvl w:val="0"/>
                <w:numId w:val="6"/>
              </w:numPr>
              <w:jc w:val="both"/>
              <w:rPr>
                <w:rFonts w:cs="Arial"/>
                <w:bCs/>
                <w:szCs w:val="22"/>
              </w:rPr>
            </w:pPr>
            <w:r w:rsidRPr="00676E1E">
              <w:rPr>
                <w:rFonts w:cs="Arial"/>
                <w:bCs/>
                <w:sz w:val="20"/>
              </w:rPr>
              <w:t>Processes for dealing with difficulties and con</w:t>
            </w:r>
            <w:r w:rsidR="00FB5CAB" w:rsidRPr="00676E1E">
              <w:rPr>
                <w:rFonts w:cs="Arial"/>
                <w:bCs/>
                <w:sz w:val="20"/>
              </w:rPr>
              <w:t>cerns.  This should be discussed</w:t>
            </w:r>
            <w:r w:rsidRPr="00676E1E">
              <w:rPr>
                <w:rFonts w:cs="Arial"/>
                <w:bCs/>
                <w:sz w:val="20"/>
              </w:rPr>
              <w:t xml:space="preserve"> before the process begins.  If necessary, identify who can provide assistance and advice during the assessment process (e.g. subject expert, </w:t>
            </w:r>
            <w:r w:rsidR="002A1531" w:rsidRPr="00676E1E">
              <w:rPr>
                <w:rFonts w:cs="Arial"/>
                <w:bCs/>
                <w:sz w:val="20"/>
              </w:rPr>
              <w:t>NTCET Consultant</w:t>
            </w:r>
            <w:r w:rsidRPr="00676E1E">
              <w:rPr>
                <w:rFonts w:cs="Arial"/>
                <w:bCs/>
                <w:sz w:val="20"/>
              </w:rPr>
              <w:t>) Note: an objective third party can assist during the shared marking process should there be problems reaching agreement in regards to standards.</w:t>
            </w:r>
          </w:p>
        </w:tc>
      </w:tr>
    </w:tbl>
    <w:p w:rsidR="001349CF" w:rsidRDefault="001349CF">
      <w:pPr>
        <w:ind w:left="720" w:hanging="720"/>
        <w:rPr>
          <w:rFonts w:cs="Arial"/>
          <w:bCs/>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663"/>
      </w:tblGrid>
      <w:tr w:rsidR="001349CF">
        <w:tc>
          <w:tcPr>
            <w:tcW w:w="10173" w:type="dxa"/>
            <w:gridSpan w:val="2"/>
            <w:tcBorders>
              <w:top w:val="single" w:sz="12" w:space="0" w:color="auto"/>
              <w:left w:val="single" w:sz="12" w:space="0" w:color="auto"/>
              <w:right w:val="single" w:sz="12" w:space="0" w:color="auto"/>
            </w:tcBorders>
          </w:tcPr>
          <w:p w:rsidR="001349CF" w:rsidRDefault="001349CF">
            <w:pPr>
              <w:pStyle w:val="Heading1"/>
              <w:rPr>
                <w:sz w:val="16"/>
              </w:rPr>
            </w:pPr>
          </w:p>
          <w:p w:rsidR="001349CF" w:rsidRDefault="001349CF">
            <w:pPr>
              <w:pStyle w:val="Heading1"/>
              <w:rPr>
                <w:b/>
                <w:bCs w:val="0"/>
                <w:sz w:val="24"/>
              </w:rPr>
            </w:pPr>
            <w:r>
              <w:rPr>
                <w:sz w:val="24"/>
              </w:rPr>
              <w:t>During Term 2</w:t>
            </w:r>
            <w:r>
              <w:rPr>
                <w:sz w:val="24"/>
              </w:rPr>
              <w:tab/>
            </w:r>
            <w:r>
              <w:rPr>
                <w:b/>
                <w:bCs w:val="0"/>
                <w:sz w:val="24"/>
              </w:rPr>
              <w:t>Shared assessment task/s</w:t>
            </w:r>
          </w:p>
          <w:p w:rsidR="001349CF" w:rsidRDefault="001349CF">
            <w:pPr>
              <w:rPr>
                <w:sz w:val="16"/>
              </w:rPr>
            </w:pPr>
          </w:p>
          <w:p w:rsidR="006F41B0" w:rsidRDefault="006F41B0" w:rsidP="006F41B0">
            <w:pPr>
              <w:pStyle w:val="ISBodyText"/>
            </w:pPr>
            <w:r>
              <w:t>Teachers must agree on assessment results for all students in an assessment group made up of combined classes.</w:t>
            </w:r>
          </w:p>
          <w:p w:rsidR="006F41B0" w:rsidRDefault="006F41B0" w:rsidP="006F41B0">
            <w:pPr>
              <w:pStyle w:val="ISBodyText"/>
            </w:pPr>
            <w:r>
              <w:t>Teachers may agree to use one or more common assessment tasks, or tasks that address the same specific features of the assessment design criteria, but are based on different themes or topics.</w:t>
            </w:r>
          </w:p>
          <w:p w:rsidR="006F41B0" w:rsidRDefault="006F41B0" w:rsidP="006F41B0">
            <w:pPr>
              <w:pStyle w:val="ISBodyText"/>
            </w:pPr>
            <w:r>
              <w:t>Teachers may exchange student work with the other teacher(s) in the assessment group:</w:t>
            </w:r>
          </w:p>
          <w:p w:rsidR="006F41B0" w:rsidRDefault="006F41B0" w:rsidP="006F41B0">
            <w:pPr>
              <w:pStyle w:val="ISBullets"/>
            </w:pPr>
            <w:r>
              <w:t>before it is assessed, to interpret and apply the performance standards</w:t>
            </w:r>
            <w:r w:rsidR="00676E1E">
              <w:t xml:space="preserve"> consistently</w:t>
            </w:r>
            <w:r>
              <w:t xml:space="preserve"> to the same student work, and discuss their assessment decisions</w:t>
            </w:r>
          </w:p>
          <w:p w:rsidR="006F41B0" w:rsidRDefault="006F41B0" w:rsidP="006F41B0">
            <w:pPr>
              <w:pStyle w:val="ISBullets"/>
            </w:pPr>
            <w:proofErr w:type="gramStart"/>
            <w:r>
              <w:t>after</w:t>
            </w:r>
            <w:proofErr w:type="gramEnd"/>
            <w:r>
              <w:t xml:space="preserve"> it is assessed, to give each other feedback on their interpretation and application of the performance standards.</w:t>
            </w:r>
          </w:p>
          <w:p w:rsidR="00446C28" w:rsidRDefault="00446C28" w:rsidP="00446C28">
            <w:pPr>
              <w:pStyle w:val="ISBodyText"/>
            </w:pPr>
            <w:r>
              <w:t>All schools involved in an assessment group receive copies of the subject enrolment and assessment group confirmation list for the group. Each school submits confirmation of the enrolments of students at that school.</w:t>
            </w:r>
          </w:p>
          <w:p w:rsidR="001349CF" w:rsidRDefault="001349CF" w:rsidP="00446C28">
            <w:pPr>
              <w:pStyle w:val="BodyText"/>
              <w:rPr>
                <w:sz w:val="16"/>
              </w:rPr>
            </w:pPr>
          </w:p>
        </w:tc>
      </w:tr>
      <w:tr w:rsidR="001349CF" w:rsidTr="009D6792">
        <w:trPr>
          <w:trHeight w:hRule="exact" w:val="1024"/>
        </w:trPr>
        <w:tc>
          <w:tcPr>
            <w:tcW w:w="3510" w:type="dxa"/>
            <w:tcBorders>
              <w:left w:val="single" w:sz="12" w:space="0" w:color="auto"/>
            </w:tcBorders>
          </w:tcPr>
          <w:p w:rsidR="001349CF" w:rsidRDefault="001349CF">
            <w:pPr>
              <w:pStyle w:val="Heading5"/>
              <w:rPr>
                <w:sz w:val="22"/>
                <w:szCs w:val="22"/>
              </w:rPr>
            </w:pPr>
            <w:r w:rsidRPr="009D6792">
              <w:rPr>
                <w:sz w:val="22"/>
                <w:szCs w:val="22"/>
              </w:rPr>
              <w:t>Task description</w:t>
            </w:r>
          </w:p>
          <w:p w:rsidR="009D6792" w:rsidRDefault="009D6792" w:rsidP="009D6792"/>
          <w:p w:rsidR="009D6792" w:rsidRDefault="009D6792" w:rsidP="009D6792"/>
          <w:p w:rsidR="009D6792" w:rsidRPr="009D6792" w:rsidRDefault="009D6792" w:rsidP="009D6792"/>
        </w:tc>
        <w:tc>
          <w:tcPr>
            <w:tcW w:w="6663" w:type="dxa"/>
            <w:tcBorders>
              <w:right w:val="single" w:sz="12" w:space="0" w:color="auto"/>
            </w:tcBorders>
          </w:tcPr>
          <w:p w:rsidR="001349CF" w:rsidRDefault="001349CF"/>
          <w:p w:rsidR="009D6792" w:rsidRDefault="009D6792"/>
          <w:p w:rsidR="009D6792" w:rsidRDefault="009D6792"/>
          <w:p w:rsidR="009D6792" w:rsidRDefault="009D6792"/>
        </w:tc>
      </w:tr>
      <w:tr w:rsidR="001349CF">
        <w:trPr>
          <w:trHeight w:val="1785"/>
        </w:trPr>
        <w:tc>
          <w:tcPr>
            <w:tcW w:w="3510" w:type="dxa"/>
            <w:tcBorders>
              <w:left w:val="single" w:sz="12" w:space="0" w:color="auto"/>
              <w:bottom w:val="single" w:sz="12" w:space="0" w:color="auto"/>
            </w:tcBorders>
          </w:tcPr>
          <w:p w:rsidR="009D6792" w:rsidRDefault="009D6792">
            <w:pPr>
              <w:pStyle w:val="Heading5"/>
              <w:rPr>
                <w:sz w:val="22"/>
                <w:szCs w:val="22"/>
              </w:rPr>
            </w:pPr>
          </w:p>
          <w:p w:rsidR="001349CF" w:rsidRPr="009D6792" w:rsidRDefault="001349CF">
            <w:pPr>
              <w:pStyle w:val="Heading5"/>
              <w:rPr>
                <w:sz w:val="22"/>
                <w:szCs w:val="22"/>
              </w:rPr>
            </w:pPr>
            <w:r w:rsidRPr="009D6792">
              <w:rPr>
                <w:sz w:val="22"/>
                <w:szCs w:val="22"/>
              </w:rPr>
              <w:t>Process for sharing assessment</w:t>
            </w:r>
          </w:p>
          <w:p w:rsidR="001349CF" w:rsidRPr="009D6792" w:rsidRDefault="001349CF">
            <w:pPr>
              <w:rPr>
                <w:szCs w:val="22"/>
              </w:rPr>
            </w:pPr>
          </w:p>
          <w:p w:rsidR="009D6792" w:rsidRPr="009D6792" w:rsidRDefault="001349CF">
            <w:pPr>
              <w:rPr>
                <w:szCs w:val="22"/>
              </w:rPr>
            </w:pPr>
            <w:r w:rsidRPr="009D6792">
              <w:rPr>
                <w:szCs w:val="22"/>
              </w:rPr>
              <w:t>This may include:</w:t>
            </w:r>
          </w:p>
          <w:p w:rsidR="001349CF" w:rsidRPr="009D6792" w:rsidRDefault="001349CF">
            <w:pPr>
              <w:numPr>
                <w:ilvl w:val="0"/>
                <w:numId w:val="4"/>
              </w:numPr>
              <w:rPr>
                <w:szCs w:val="22"/>
              </w:rPr>
            </w:pPr>
            <w:r w:rsidRPr="009D6792">
              <w:rPr>
                <w:szCs w:val="22"/>
              </w:rPr>
              <w:t>Comparing student work samples</w:t>
            </w:r>
          </w:p>
          <w:p w:rsidR="001349CF" w:rsidRPr="009D6792" w:rsidRDefault="001349CF">
            <w:pPr>
              <w:numPr>
                <w:ilvl w:val="0"/>
                <w:numId w:val="4"/>
              </w:numPr>
              <w:rPr>
                <w:szCs w:val="22"/>
              </w:rPr>
            </w:pPr>
            <w:r w:rsidRPr="009D6792">
              <w:rPr>
                <w:szCs w:val="22"/>
              </w:rPr>
              <w:t>Conducting shared marking</w:t>
            </w:r>
          </w:p>
          <w:p w:rsidR="001349CF" w:rsidRPr="009D6792" w:rsidRDefault="001349CF">
            <w:pPr>
              <w:numPr>
                <w:ilvl w:val="0"/>
                <w:numId w:val="4"/>
              </w:numPr>
              <w:rPr>
                <w:szCs w:val="22"/>
              </w:rPr>
            </w:pPr>
            <w:r w:rsidRPr="009D6792">
              <w:rPr>
                <w:szCs w:val="22"/>
              </w:rPr>
              <w:t>Double marking</w:t>
            </w:r>
          </w:p>
          <w:p w:rsidR="009D6792" w:rsidRDefault="001349CF" w:rsidP="009D6792">
            <w:pPr>
              <w:numPr>
                <w:ilvl w:val="0"/>
                <w:numId w:val="4"/>
              </w:numPr>
              <w:rPr>
                <w:szCs w:val="22"/>
              </w:rPr>
            </w:pPr>
            <w:r w:rsidRPr="009D6792">
              <w:rPr>
                <w:szCs w:val="22"/>
              </w:rPr>
              <w:t>Discussing work with a third party</w:t>
            </w:r>
          </w:p>
          <w:p w:rsidR="00676E1E" w:rsidRPr="00446C28" w:rsidRDefault="00676E1E" w:rsidP="00676E1E">
            <w:pPr>
              <w:rPr>
                <w:szCs w:val="22"/>
              </w:rPr>
            </w:pPr>
          </w:p>
        </w:tc>
        <w:tc>
          <w:tcPr>
            <w:tcW w:w="6663" w:type="dxa"/>
            <w:tcBorders>
              <w:bottom w:val="single" w:sz="12" w:space="0" w:color="auto"/>
              <w:right w:val="single" w:sz="12" w:space="0" w:color="auto"/>
            </w:tcBorders>
          </w:tcPr>
          <w:p w:rsidR="001349CF" w:rsidRDefault="001349CF"/>
        </w:tc>
      </w:tr>
      <w:tr w:rsidR="001349CF">
        <w:tc>
          <w:tcPr>
            <w:tcW w:w="10173" w:type="dxa"/>
            <w:gridSpan w:val="2"/>
            <w:tcBorders>
              <w:top w:val="single" w:sz="12" w:space="0" w:color="auto"/>
              <w:left w:val="nil"/>
              <w:bottom w:val="single" w:sz="12" w:space="0" w:color="auto"/>
              <w:right w:val="nil"/>
            </w:tcBorders>
          </w:tcPr>
          <w:p w:rsidR="001349CF" w:rsidRDefault="001349CF">
            <w:pPr>
              <w:pStyle w:val="Heading1"/>
              <w:rPr>
                <w:sz w:val="20"/>
              </w:rPr>
            </w:pPr>
          </w:p>
        </w:tc>
      </w:tr>
      <w:tr w:rsidR="001349CF">
        <w:tc>
          <w:tcPr>
            <w:tcW w:w="10173" w:type="dxa"/>
            <w:gridSpan w:val="2"/>
            <w:tcBorders>
              <w:top w:val="single" w:sz="12" w:space="0" w:color="auto"/>
              <w:left w:val="single" w:sz="12" w:space="0" w:color="auto"/>
              <w:right w:val="single" w:sz="12" w:space="0" w:color="auto"/>
            </w:tcBorders>
          </w:tcPr>
          <w:p w:rsidR="001349CF" w:rsidRPr="009D6792" w:rsidRDefault="001349CF">
            <w:pPr>
              <w:pStyle w:val="Heading1"/>
              <w:rPr>
                <w:sz w:val="22"/>
                <w:szCs w:val="22"/>
              </w:rPr>
            </w:pPr>
          </w:p>
          <w:p w:rsidR="001349CF" w:rsidRPr="00C83480" w:rsidRDefault="001349CF">
            <w:pPr>
              <w:pStyle w:val="Heading1"/>
              <w:rPr>
                <w:b/>
                <w:bCs w:val="0"/>
                <w:sz w:val="24"/>
                <w:szCs w:val="24"/>
              </w:rPr>
            </w:pPr>
            <w:r w:rsidRPr="00C83480">
              <w:rPr>
                <w:sz w:val="24"/>
                <w:szCs w:val="24"/>
              </w:rPr>
              <w:t>During Term 3</w:t>
            </w:r>
            <w:r w:rsidRPr="00C83480">
              <w:rPr>
                <w:sz w:val="24"/>
                <w:szCs w:val="24"/>
              </w:rPr>
              <w:tab/>
            </w:r>
            <w:r w:rsidR="000C051D" w:rsidRPr="00C83480">
              <w:rPr>
                <w:sz w:val="24"/>
                <w:szCs w:val="24"/>
              </w:rPr>
              <w:t xml:space="preserve">  </w:t>
            </w:r>
            <w:r w:rsidR="00C83480" w:rsidRPr="00C83480">
              <w:rPr>
                <w:sz w:val="24"/>
                <w:szCs w:val="24"/>
              </w:rPr>
              <w:t xml:space="preserve">       </w:t>
            </w:r>
            <w:r w:rsidRPr="00C83480">
              <w:rPr>
                <w:b/>
                <w:bCs w:val="0"/>
                <w:sz w:val="24"/>
                <w:szCs w:val="24"/>
              </w:rPr>
              <w:t>Shared assessment task/s</w:t>
            </w:r>
          </w:p>
          <w:p w:rsidR="001349CF" w:rsidRPr="009D6792" w:rsidRDefault="001349CF">
            <w:pPr>
              <w:rPr>
                <w:szCs w:val="22"/>
              </w:rPr>
            </w:pPr>
          </w:p>
          <w:p w:rsidR="001349CF" w:rsidRPr="00FC71E3" w:rsidRDefault="001349CF">
            <w:pPr>
              <w:pStyle w:val="BodyText"/>
              <w:rPr>
                <w:sz w:val="20"/>
              </w:rPr>
            </w:pPr>
            <w:r w:rsidRPr="00FC71E3">
              <w:rPr>
                <w:sz w:val="20"/>
              </w:rPr>
              <w:t xml:space="preserve">Identify assessment task/s that you can undertake during Term 3.  Ensure that this task reflects the nature of the external assessment.  You may decide to conduct this task during Term 4.  You may decide to conduct more than one assessment task. </w:t>
            </w:r>
            <w:r w:rsidR="00FB5CAB" w:rsidRPr="00FC71E3">
              <w:rPr>
                <w:sz w:val="20"/>
              </w:rPr>
              <w:t>All</w:t>
            </w:r>
            <w:r w:rsidRPr="00FC71E3">
              <w:rPr>
                <w:sz w:val="20"/>
              </w:rPr>
              <w:t xml:space="preserve"> subjects have an external component</w:t>
            </w:r>
            <w:r w:rsidR="006F41B0" w:rsidRPr="00FC71E3">
              <w:rPr>
                <w:sz w:val="20"/>
              </w:rPr>
              <w:t xml:space="preserve"> usually completed</w:t>
            </w:r>
            <w:r w:rsidRPr="00FC71E3">
              <w:rPr>
                <w:sz w:val="20"/>
              </w:rPr>
              <w:t xml:space="preserve"> during Term</w:t>
            </w:r>
            <w:r w:rsidR="00FB5CAB" w:rsidRPr="00FC71E3">
              <w:rPr>
                <w:sz w:val="20"/>
              </w:rPr>
              <w:t>s</w:t>
            </w:r>
            <w:r w:rsidRPr="00FC71E3">
              <w:rPr>
                <w:sz w:val="20"/>
              </w:rPr>
              <w:t xml:space="preserve"> 3</w:t>
            </w:r>
            <w:r w:rsidR="00FB5CAB" w:rsidRPr="00FC71E3">
              <w:rPr>
                <w:sz w:val="20"/>
              </w:rPr>
              <w:t xml:space="preserve"> or 4</w:t>
            </w:r>
            <w:r w:rsidRPr="00FC71E3">
              <w:rPr>
                <w:sz w:val="20"/>
              </w:rPr>
              <w:t xml:space="preserve">.  </w:t>
            </w:r>
          </w:p>
          <w:p w:rsidR="001349CF" w:rsidRPr="009D6792" w:rsidRDefault="001349CF">
            <w:pPr>
              <w:rPr>
                <w:szCs w:val="22"/>
              </w:rPr>
            </w:pPr>
          </w:p>
        </w:tc>
      </w:tr>
      <w:tr w:rsidR="001349CF" w:rsidTr="009D6792">
        <w:trPr>
          <w:trHeight w:hRule="exact" w:val="962"/>
        </w:trPr>
        <w:tc>
          <w:tcPr>
            <w:tcW w:w="3510" w:type="dxa"/>
            <w:tcBorders>
              <w:left w:val="single" w:sz="12" w:space="0" w:color="auto"/>
              <w:bottom w:val="single" w:sz="4" w:space="0" w:color="auto"/>
            </w:tcBorders>
          </w:tcPr>
          <w:p w:rsidR="001349CF" w:rsidRPr="009D6792" w:rsidRDefault="001349CF">
            <w:pPr>
              <w:pStyle w:val="Heading5"/>
              <w:rPr>
                <w:sz w:val="22"/>
                <w:szCs w:val="22"/>
              </w:rPr>
            </w:pPr>
            <w:r w:rsidRPr="009D6792">
              <w:rPr>
                <w:sz w:val="22"/>
                <w:szCs w:val="22"/>
              </w:rPr>
              <w:t>Task description</w:t>
            </w:r>
          </w:p>
        </w:tc>
        <w:tc>
          <w:tcPr>
            <w:tcW w:w="6663" w:type="dxa"/>
            <w:tcBorders>
              <w:bottom w:val="single" w:sz="4" w:space="0" w:color="auto"/>
              <w:right w:val="single" w:sz="12" w:space="0" w:color="auto"/>
            </w:tcBorders>
          </w:tcPr>
          <w:p w:rsidR="001349CF" w:rsidRDefault="001349CF"/>
        </w:tc>
      </w:tr>
      <w:tr w:rsidR="001349CF">
        <w:trPr>
          <w:trHeight w:val="1764"/>
        </w:trPr>
        <w:tc>
          <w:tcPr>
            <w:tcW w:w="3510" w:type="dxa"/>
            <w:tcBorders>
              <w:left w:val="single" w:sz="12" w:space="0" w:color="auto"/>
              <w:bottom w:val="single" w:sz="12" w:space="0" w:color="auto"/>
            </w:tcBorders>
          </w:tcPr>
          <w:p w:rsidR="009D6792" w:rsidRDefault="009D6792">
            <w:pPr>
              <w:rPr>
                <w:b/>
                <w:bCs/>
                <w:szCs w:val="22"/>
              </w:rPr>
            </w:pPr>
          </w:p>
          <w:p w:rsidR="001349CF" w:rsidRPr="009D6792" w:rsidRDefault="001349CF">
            <w:pPr>
              <w:rPr>
                <w:b/>
                <w:bCs/>
                <w:szCs w:val="22"/>
              </w:rPr>
            </w:pPr>
            <w:r w:rsidRPr="009D6792">
              <w:rPr>
                <w:b/>
                <w:bCs/>
                <w:szCs w:val="22"/>
              </w:rPr>
              <w:t>Process for sharing assessment</w:t>
            </w:r>
          </w:p>
          <w:p w:rsidR="001349CF" w:rsidRPr="009D6792" w:rsidRDefault="001349CF">
            <w:pPr>
              <w:rPr>
                <w:b/>
                <w:bCs/>
                <w:szCs w:val="22"/>
              </w:rPr>
            </w:pPr>
          </w:p>
          <w:p w:rsidR="001349CF" w:rsidRPr="009D6792" w:rsidRDefault="001349CF">
            <w:pPr>
              <w:rPr>
                <w:szCs w:val="22"/>
              </w:rPr>
            </w:pPr>
            <w:r w:rsidRPr="009D6792">
              <w:rPr>
                <w:szCs w:val="22"/>
              </w:rPr>
              <w:t>This may include:</w:t>
            </w:r>
          </w:p>
          <w:p w:rsidR="001349CF" w:rsidRPr="009D6792" w:rsidRDefault="001349CF">
            <w:pPr>
              <w:numPr>
                <w:ilvl w:val="0"/>
                <w:numId w:val="4"/>
              </w:numPr>
              <w:rPr>
                <w:szCs w:val="22"/>
              </w:rPr>
            </w:pPr>
            <w:r w:rsidRPr="009D6792">
              <w:rPr>
                <w:szCs w:val="22"/>
              </w:rPr>
              <w:t>Comparing student work samples</w:t>
            </w:r>
          </w:p>
          <w:p w:rsidR="001349CF" w:rsidRPr="009D6792" w:rsidRDefault="001349CF">
            <w:pPr>
              <w:numPr>
                <w:ilvl w:val="0"/>
                <w:numId w:val="4"/>
              </w:numPr>
              <w:rPr>
                <w:szCs w:val="22"/>
              </w:rPr>
            </w:pPr>
            <w:r w:rsidRPr="009D6792">
              <w:rPr>
                <w:szCs w:val="22"/>
              </w:rPr>
              <w:t>Conducting shared marking</w:t>
            </w:r>
          </w:p>
          <w:p w:rsidR="001349CF" w:rsidRPr="009D6792" w:rsidRDefault="001349CF">
            <w:pPr>
              <w:numPr>
                <w:ilvl w:val="0"/>
                <w:numId w:val="4"/>
              </w:numPr>
              <w:rPr>
                <w:szCs w:val="22"/>
              </w:rPr>
            </w:pPr>
            <w:r w:rsidRPr="009D6792">
              <w:rPr>
                <w:szCs w:val="22"/>
              </w:rPr>
              <w:t>Double marking</w:t>
            </w:r>
          </w:p>
          <w:p w:rsidR="001349CF" w:rsidRPr="009D6792" w:rsidRDefault="001349CF">
            <w:pPr>
              <w:numPr>
                <w:ilvl w:val="0"/>
                <w:numId w:val="4"/>
              </w:numPr>
              <w:rPr>
                <w:szCs w:val="22"/>
              </w:rPr>
            </w:pPr>
            <w:r w:rsidRPr="009D6792">
              <w:rPr>
                <w:szCs w:val="22"/>
              </w:rPr>
              <w:t>Discussing work with a third party</w:t>
            </w:r>
          </w:p>
          <w:p w:rsidR="001349CF" w:rsidRPr="009D6792" w:rsidRDefault="001349CF">
            <w:pPr>
              <w:rPr>
                <w:b/>
                <w:bCs/>
                <w:szCs w:val="22"/>
              </w:rPr>
            </w:pPr>
          </w:p>
        </w:tc>
        <w:tc>
          <w:tcPr>
            <w:tcW w:w="6663" w:type="dxa"/>
            <w:tcBorders>
              <w:bottom w:val="single" w:sz="12" w:space="0" w:color="auto"/>
              <w:right w:val="single" w:sz="12" w:space="0" w:color="auto"/>
            </w:tcBorders>
          </w:tcPr>
          <w:p w:rsidR="001349CF" w:rsidRDefault="001349CF"/>
        </w:tc>
      </w:tr>
    </w:tbl>
    <w:p w:rsidR="001349CF" w:rsidRDefault="001349CF">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1349CF">
        <w:tc>
          <w:tcPr>
            <w:tcW w:w="10173" w:type="dxa"/>
            <w:tcBorders>
              <w:top w:val="single" w:sz="12" w:space="0" w:color="auto"/>
              <w:left w:val="single" w:sz="12" w:space="0" w:color="auto"/>
              <w:bottom w:val="single" w:sz="12" w:space="0" w:color="auto"/>
              <w:right w:val="single" w:sz="12" w:space="0" w:color="auto"/>
            </w:tcBorders>
          </w:tcPr>
          <w:p w:rsidR="001349CF" w:rsidRDefault="001349CF">
            <w:pPr>
              <w:pStyle w:val="Heading1"/>
              <w:rPr>
                <w:sz w:val="16"/>
              </w:rPr>
            </w:pPr>
          </w:p>
          <w:p w:rsidR="00016471" w:rsidRDefault="00016471">
            <w:pPr>
              <w:pStyle w:val="Heading1"/>
              <w:rPr>
                <w:sz w:val="24"/>
              </w:rPr>
            </w:pPr>
          </w:p>
          <w:p w:rsidR="001349CF" w:rsidRDefault="001349CF">
            <w:pPr>
              <w:pStyle w:val="Heading1"/>
              <w:rPr>
                <w:b/>
                <w:bCs w:val="0"/>
                <w:sz w:val="24"/>
              </w:rPr>
            </w:pPr>
            <w:r>
              <w:rPr>
                <w:sz w:val="24"/>
              </w:rPr>
              <w:t>During Term 4</w:t>
            </w:r>
            <w:r>
              <w:rPr>
                <w:sz w:val="24"/>
              </w:rPr>
              <w:tab/>
            </w:r>
            <w:r>
              <w:rPr>
                <w:b/>
                <w:bCs w:val="0"/>
                <w:sz w:val="24"/>
              </w:rPr>
              <w:t xml:space="preserve">Finalise the ranking process and </w:t>
            </w:r>
            <w:r w:rsidR="00C83480">
              <w:rPr>
                <w:b/>
                <w:bCs w:val="0"/>
                <w:sz w:val="24"/>
              </w:rPr>
              <w:t>result</w:t>
            </w:r>
            <w:r>
              <w:rPr>
                <w:b/>
                <w:bCs w:val="0"/>
                <w:sz w:val="24"/>
              </w:rPr>
              <w:t xml:space="preserve"> all </w:t>
            </w:r>
            <w:r w:rsidR="00C83480">
              <w:rPr>
                <w:b/>
                <w:bCs w:val="0"/>
                <w:sz w:val="24"/>
              </w:rPr>
              <w:t>student</w:t>
            </w:r>
            <w:r>
              <w:rPr>
                <w:b/>
                <w:bCs w:val="0"/>
                <w:sz w:val="24"/>
              </w:rPr>
              <w:t>s.</w:t>
            </w:r>
          </w:p>
          <w:p w:rsidR="001349CF" w:rsidRDefault="001349CF">
            <w:pPr>
              <w:rPr>
                <w:sz w:val="16"/>
              </w:rPr>
            </w:pPr>
          </w:p>
          <w:p w:rsidR="00446C28" w:rsidRDefault="00446C28" w:rsidP="00446C28">
            <w:pPr>
              <w:pStyle w:val="ISHeading4"/>
            </w:pPr>
            <w:r>
              <w:t>Online Results Sheets</w:t>
            </w:r>
          </w:p>
          <w:p w:rsidR="00446C28" w:rsidRDefault="00446C28" w:rsidP="00446C28">
            <w:pPr>
              <w:pStyle w:val="ISBodyText"/>
            </w:pPr>
            <w:r>
              <w:t xml:space="preserve">Schools access online results sheets using </w:t>
            </w:r>
            <w:r>
              <w:rPr>
                <w:rStyle w:val="ISArial10ptitalics"/>
                <w:iCs w:val="0"/>
              </w:rPr>
              <w:t>Schools Online</w:t>
            </w:r>
            <w:r>
              <w:t>.</w:t>
            </w:r>
          </w:p>
          <w:p w:rsidR="00446C28" w:rsidRDefault="00446C28" w:rsidP="00446C28">
            <w:pPr>
              <w:pStyle w:val="ISBodyText"/>
            </w:pPr>
            <w:r>
              <w:t>Where two or more schools combine to form an assessment group, the teacher at the assessment school liaises with the teacher(s) at the other school(s) to agree on the school assessment and predicted results for all students in the assessment group. Each school submits the results for students at that school.</w:t>
            </w:r>
          </w:p>
          <w:p w:rsidR="00446C28" w:rsidRDefault="00446C28" w:rsidP="00446C28">
            <w:pPr>
              <w:pStyle w:val="ISBodyText"/>
            </w:pPr>
            <w:r>
              <w:t xml:space="preserve">Each teacher accesses the online results sheet using </w:t>
            </w:r>
            <w:r>
              <w:rPr>
                <w:rStyle w:val="ISArial10ptitalics"/>
                <w:iCs w:val="0"/>
              </w:rPr>
              <w:t>Schools Online</w:t>
            </w:r>
            <w:r>
              <w:t xml:space="preserve"> to:</w:t>
            </w:r>
          </w:p>
          <w:p w:rsidR="00446C28" w:rsidRDefault="00446C28" w:rsidP="00446C28">
            <w:pPr>
              <w:pStyle w:val="ISBullets"/>
            </w:pPr>
            <w:r>
              <w:t>record the results for the students at their school</w:t>
            </w:r>
          </w:p>
          <w:p w:rsidR="00446C28" w:rsidRDefault="00446C28" w:rsidP="00446C28">
            <w:pPr>
              <w:pStyle w:val="ISBullets"/>
            </w:pPr>
            <w:proofErr w:type="gramStart"/>
            <w:r>
              <w:t>submit</w:t>
            </w:r>
            <w:proofErr w:type="gramEnd"/>
            <w:r>
              <w:t xml:space="preserve"> the online results sheet to the principal’s delegate at the assessment school for authorisation.</w:t>
            </w:r>
          </w:p>
          <w:p w:rsidR="00446C28" w:rsidRDefault="00446C28" w:rsidP="00446C28">
            <w:pPr>
              <w:pStyle w:val="ISBodyText"/>
            </w:pPr>
            <w:r>
              <w:t>The principal’s delegate at the assessment school authorises and submits the completed results sheets to the SACE Board.</w:t>
            </w:r>
          </w:p>
          <w:p w:rsidR="00446C28" w:rsidRDefault="00446C28" w:rsidP="00446C28">
            <w:pPr>
              <w:pStyle w:val="ISBodyText"/>
            </w:pPr>
            <w:r>
              <w:t>The consent of all principals involved is required before any changes to students’ school assessment results are requested from the SACE Board.</w:t>
            </w:r>
          </w:p>
          <w:p w:rsidR="00446C28" w:rsidRDefault="00446C28" w:rsidP="00446C28">
            <w:pPr>
              <w:pStyle w:val="ISHeading4"/>
            </w:pPr>
            <w:r>
              <w:t>Paper Results Sheets</w:t>
            </w:r>
          </w:p>
          <w:p w:rsidR="00446C28" w:rsidRDefault="00446C28" w:rsidP="00446C28">
            <w:pPr>
              <w:pStyle w:val="ISBodyText"/>
            </w:pPr>
            <w:r>
              <w:t>The SACE Board sends information requests and paper results sheets to the assessment school for school assessment results for final moderation (on site) of Physical Education.</w:t>
            </w:r>
          </w:p>
          <w:p w:rsidR="00446C28" w:rsidRDefault="00446C28" w:rsidP="00446C28">
            <w:pPr>
              <w:pStyle w:val="ISBodyText"/>
            </w:pPr>
            <w:r>
              <w:t>The teacher at the assessment school:</w:t>
            </w:r>
          </w:p>
          <w:p w:rsidR="00446C28" w:rsidRDefault="00446C28" w:rsidP="00446C28">
            <w:pPr>
              <w:pStyle w:val="ISBullets"/>
            </w:pPr>
            <w:r>
              <w:t>liaises with the teacher(s) at the other teaching school(s) to agree on the school assessment and, where relevant, on the predicted results for all students in the assessment group</w:t>
            </w:r>
          </w:p>
          <w:p w:rsidR="00446C28" w:rsidRDefault="00446C28" w:rsidP="00446C28">
            <w:pPr>
              <w:pStyle w:val="ISBullets"/>
            </w:pPr>
            <w:r>
              <w:t>records the results on the relevant results sheet</w:t>
            </w:r>
          </w:p>
          <w:p w:rsidR="00446C28" w:rsidRDefault="00446C28" w:rsidP="00446C28">
            <w:pPr>
              <w:pStyle w:val="ISBullets"/>
            </w:pPr>
            <w:r>
              <w:t>signs the results sheet</w:t>
            </w:r>
          </w:p>
          <w:p w:rsidR="00446C28" w:rsidRDefault="00446C28" w:rsidP="00446C28">
            <w:pPr>
              <w:pStyle w:val="ISBullets"/>
            </w:pPr>
            <w:proofErr w:type="gramStart"/>
            <w:r>
              <w:t>submits</w:t>
            </w:r>
            <w:proofErr w:type="gramEnd"/>
            <w:r>
              <w:t xml:space="preserve"> the results sheet to the principal of the assessment school.</w:t>
            </w:r>
          </w:p>
          <w:p w:rsidR="00446C28" w:rsidRDefault="00446C28" w:rsidP="00446C28">
            <w:pPr>
              <w:pStyle w:val="ISBodyText"/>
            </w:pPr>
            <w:r>
              <w:t>The principal at the assessment school, or the principal’s delegate:</w:t>
            </w:r>
          </w:p>
          <w:p w:rsidR="00446C28" w:rsidRDefault="00446C28" w:rsidP="00446C28">
            <w:pPr>
              <w:pStyle w:val="ISBullets"/>
            </w:pPr>
            <w:r>
              <w:t>authorises the results sheet</w:t>
            </w:r>
          </w:p>
          <w:p w:rsidR="00446C28" w:rsidRDefault="00446C28" w:rsidP="00446C28">
            <w:pPr>
              <w:pStyle w:val="ISBullets"/>
            </w:pPr>
            <w:r>
              <w:t>forwards a signed copy of the results sheet to the principal of each school involved in the assessment group</w:t>
            </w:r>
          </w:p>
          <w:p w:rsidR="00446C28" w:rsidRDefault="00446C28" w:rsidP="00446C28">
            <w:pPr>
              <w:pStyle w:val="ISBullets"/>
            </w:pPr>
            <w:proofErr w:type="gramStart"/>
            <w:r>
              <w:t>ensures</w:t>
            </w:r>
            <w:proofErr w:type="gramEnd"/>
            <w:r>
              <w:t xml:space="preserve"> that the results sheet is submitted to the SACE Board.</w:t>
            </w:r>
          </w:p>
          <w:p w:rsidR="00446C28" w:rsidRDefault="00446C28" w:rsidP="00446C28">
            <w:pPr>
              <w:pStyle w:val="ISBodyText"/>
            </w:pPr>
            <w:r>
              <w:t>The consent of all principals involved is required before any changes to students’ school assessment or, where relevant, predicted results can be requested because of exceptional circumstances.</w:t>
            </w:r>
          </w:p>
          <w:p w:rsidR="004B61BA" w:rsidRPr="00150188" w:rsidRDefault="004B61BA" w:rsidP="004B61BA">
            <w:pPr>
              <w:jc w:val="right"/>
              <w:rPr>
                <w:rFonts w:cs="Arial"/>
                <w:sz w:val="16"/>
                <w:szCs w:val="16"/>
                <w:lang w:eastAsia="en-AU"/>
              </w:rPr>
            </w:pPr>
          </w:p>
          <w:p w:rsidR="004B61BA" w:rsidRDefault="004B61BA" w:rsidP="004B61BA">
            <w:pPr>
              <w:autoSpaceDE w:val="0"/>
              <w:autoSpaceDN w:val="0"/>
              <w:adjustRightInd w:val="0"/>
              <w:rPr>
                <w:rFonts w:cs="Arial"/>
                <w:b/>
                <w:bCs/>
                <w:szCs w:val="22"/>
                <w:lang w:eastAsia="en-AU"/>
              </w:rPr>
            </w:pPr>
            <w:r w:rsidRPr="00482244">
              <w:rPr>
                <w:rFonts w:cs="Arial"/>
                <w:b/>
                <w:bCs/>
                <w:szCs w:val="22"/>
                <w:lang w:eastAsia="en-AU"/>
              </w:rPr>
              <w:t>SAMPLE FOR FINAL MODERATION</w:t>
            </w:r>
          </w:p>
          <w:p w:rsidR="00C83480" w:rsidRPr="00482244" w:rsidRDefault="00C83480" w:rsidP="004B61BA">
            <w:pPr>
              <w:autoSpaceDE w:val="0"/>
              <w:autoSpaceDN w:val="0"/>
              <w:adjustRightInd w:val="0"/>
              <w:rPr>
                <w:rFonts w:cs="Arial"/>
                <w:b/>
                <w:bCs/>
                <w:szCs w:val="22"/>
                <w:lang w:eastAsia="en-AU"/>
              </w:rPr>
            </w:pPr>
          </w:p>
          <w:p w:rsidR="001349CF" w:rsidRPr="00C83480" w:rsidRDefault="00446C28">
            <w:pPr>
              <w:pStyle w:val="BodyText"/>
              <w:rPr>
                <w:sz w:val="20"/>
              </w:rPr>
            </w:pPr>
            <w:r w:rsidRPr="00C83480">
              <w:rPr>
                <w:sz w:val="20"/>
              </w:rPr>
              <w:t xml:space="preserve">All schools involved in an assessment group can access the school assessment sample materials </w:t>
            </w:r>
            <w:r w:rsidRPr="00C83480">
              <w:rPr>
                <w:b/>
                <w:sz w:val="20"/>
              </w:rPr>
              <w:t xml:space="preserve">submission form using </w:t>
            </w:r>
            <w:r w:rsidRPr="00C83480">
              <w:rPr>
                <w:rStyle w:val="ISArial10ptitalics"/>
                <w:rFonts w:cstheme="minorBidi"/>
                <w:b/>
              </w:rPr>
              <w:t>Schools Online</w:t>
            </w:r>
            <w:r w:rsidRPr="00C83480">
              <w:rPr>
                <w:b/>
                <w:sz w:val="20"/>
              </w:rPr>
              <w:t>. This form identifies those students whose work is to be included in the sample for final</w:t>
            </w:r>
            <w:r w:rsidRPr="00C83480">
              <w:rPr>
                <w:sz w:val="20"/>
              </w:rPr>
              <w:t xml:space="preserve"> moderation. Each school separately submits the materials for final moderation to the SACE Board.</w:t>
            </w:r>
          </w:p>
          <w:p w:rsidR="00446C28" w:rsidRPr="00C83480" w:rsidRDefault="00446C28">
            <w:pPr>
              <w:pStyle w:val="BodyText"/>
              <w:rPr>
                <w:sz w:val="20"/>
              </w:rPr>
            </w:pPr>
          </w:p>
          <w:p w:rsidR="00016471" w:rsidRPr="00C83480" w:rsidRDefault="001349CF">
            <w:pPr>
              <w:pStyle w:val="BodyText"/>
              <w:rPr>
                <w:sz w:val="20"/>
              </w:rPr>
            </w:pPr>
            <w:r w:rsidRPr="00C83480">
              <w:rPr>
                <w:sz w:val="20"/>
              </w:rPr>
              <w:t>Please contact your NTCE</w:t>
            </w:r>
            <w:r w:rsidR="00482244" w:rsidRPr="00C83480">
              <w:rPr>
                <w:sz w:val="20"/>
              </w:rPr>
              <w:t>T</w:t>
            </w:r>
            <w:r w:rsidRPr="00C83480">
              <w:rPr>
                <w:sz w:val="20"/>
              </w:rPr>
              <w:t xml:space="preserve"> Coordinator if you require assistance in completing the </w:t>
            </w:r>
            <w:r w:rsidR="00016471" w:rsidRPr="00C83480">
              <w:rPr>
                <w:sz w:val="20"/>
              </w:rPr>
              <w:t>SACE Board of SA</w:t>
            </w:r>
            <w:r w:rsidRPr="00C83480">
              <w:rPr>
                <w:sz w:val="20"/>
              </w:rPr>
              <w:t xml:space="preserve"> forms.</w:t>
            </w:r>
          </w:p>
          <w:p w:rsidR="001349CF" w:rsidRDefault="001349CF">
            <w:pPr>
              <w:rPr>
                <w:sz w:val="16"/>
              </w:rPr>
            </w:pPr>
          </w:p>
        </w:tc>
      </w:tr>
    </w:tbl>
    <w:p w:rsidR="00225A99" w:rsidRDefault="00225A99" w:rsidP="004B61BA">
      <w:pPr>
        <w:rPr>
          <w:color w:val="C2CD23"/>
          <w:sz w:val="28"/>
        </w:rPr>
      </w:pPr>
    </w:p>
    <w:p w:rsidR="000D7005" w:rsidRPr="00A337C2" w:rsidRDefault="004B7AF6" w:rsidP="004B61BA">
      <w:pPr>
        <w:rPr>
          <w:color w:val="365F91" w:themeColor="accent1" w:themeShade="BF"/>
          <w:sz w:val="28"/>
        </w:rPr>
      </w:pPr>
      <w:hyperlink r:id="rId8" w:history="1">
        <w:r w:rsidR="00B70D1A" w:rsidRPr="003861AF">
          <w:rPr>
            <w:rStyle w:val="Hyperlink"/>
            <w:sz w:val="28"/>
          </w:rPr>
          <w:t>www.education.nt.gov.au</w:t>
        </w:r>
      </w:hyperlink>
    </w:p>
    <w:sectPr w:rsidR="000D7005" w:rsidRPr="00A337C2" w:rsidSect="000D7005">
      <w:headerReference w:type="even" r:id="rId9"/>
      <w:headerReference w:type="default" r:id="rId10"/>
      <w:footerReference w:type="default" r:id="rId11"/>
      <w:headerReference w:type="first" r:id="rId12"/>
      <w:footerReference w:type="first" r:id="rId13"/>
      <w:type w:val="continuous"/>
      <w:pgSz w:w="11880" w:h="16820" w:code="9"/>
      <w:pgMar w:top="568" w:right="1134" w:bottom="426"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F6" w:rsidRDefault="004B7AF6">
      <w:r>
        <w:separator/>
      </w:r>
    </w:p>
  </w:endnote>
  <w:endnote w:type="continuationSeparator" w:id="0">
    <w:p w:rsidR="004B7AF6" w:rsidRDefault="004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00" w:rsidRDefault="000B3800">
    <w:pPr>
      <w:pStyle w:val="Footer"/>
    </w:pPr>
    <w:r w:rsidRPr="001462FF">
      <w:rPr>
        <w:noProof/>
        <w:lang w:eastAsia="en-AU"/>
      </w:rPr>
      <mc:AlternateContent>
        <mc:Choice Requires="wps">
          <w:drawing>
            <wp:anchor distT="0" distB="0" distL="114300" distR="114300" simplePos="0" relativeHeight="251663360" behindDoc="0" locked="0" layoutInCell="1" allowOverlap="1" wp14:anchorId="078C0F10" wp14:editId="232A834D">
              <wp:simplePos x="0" y="0"/>
              <wp:positionH relativeFrom="margin">
                <wp:posOffset>5227955</wp:posOffset>
              </wp:positionH>
              <wp:positionV relativeFrom="margin">
                <wp:posOffset>9516110</wp:posOffset>
              </wp:positionV>
              <wp:extent cx="1583690" cy="134620"/>
              <wp:effectExtent l="0" t="0" r="16510" b="17780"/>
              <wp:wrapTight wrapText="bothSides">
                <wp:wrapPolygon edited="0">
                  <wp:start x="0" y="0"/>
                  <wp:lineTo x="0" y="21396"/>
                  <wp:lineTo x="21565" y="21396"/>
                  <wp:lineTo x="21565" y="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00" w:rsidRDefault="000B3800" w:rsidP="000B3800">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C0F10" id="_x0000_t202" coordsize="21600,21600" o:spt="202" path="m,l,21600r21600,l21600,xe">
              <v:stroke joinstyle="miter"/>
              <v:path gradientshapeok="t" o:connecttype="rect"/>
            </v:shapetype>
            <v:shape id="Text Box 9" o:spid="_x0000_s1027" type="#_x0000_t202" style="position:absolute;margin-left:411.65pt;margin-top:749.3pt;width:124.7pt;height:1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" filled="f" stroked="f">
              <v:textbox inset="0,0,0,0">
                <w:txbxContent>
                  <w:p w:rsidR="000B3800" w:rsidRDefault="000B3800" w:rsidP="000B3800">
                    <w:pPr>
                      <w:pStyle w:val="web"/>
                    </w:pPr>
                    <w:r>
                      <w:t>www.education.nt.gov.au</w:t>
                    </w:r>
                  </w:p>
                </w:txbxContent>
              </v:textbox>
              <w10:wrap type="tight"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BA" w:rsidRDefault="004B61BA" w:rsidP="00981557">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F6" w:rsidRDefault="004B7AF6">
      <w:r>
        <w:separator/>
      </w:r>
    </w:p>
  </w:footnote>
  <w:footnote w:type="continuationSeparator" w:id="0">
    <w:p w:rsidR="004B7AF6" w:rsidRDefault="004B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BA" w:rsidRDefault="004B61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61BA" w:rsidRDefault="004B6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BA" w:rsidRDefault="004B61BA">
    <w:pPr>
      <w:pStyle w:val="Header"/>
      <w:ind w:left="907"/>
      <w:rPr>
        <w:lang w:val="en-US"/>
      </w:rPr>
    </w:pPr>
    <w:r>
      <w:rPr>
        <w:lang w:val="en-US"/>
      </w:rPr>
      <w:t>PARTMENT OF EMPLOYMENT, EDUCATION AND TRAINING</w:t>
    </w:r>
  </w:p>
  <w:p w:rsidR="004B61BA" w:rsidRDefault="004B61BA">
    <w:pPr>
      <w:pStyle w:val="Header"/>
      <w:ind w:left="907"/>
      <w:rPr>
        <w:sz w:val="22"/>
        <w:lang w:val="en-US"/>
      </w:rPr>
    </w:pPr>
  </w:p>
  <w:p w:rsidR="004B61BA" w:rsidRDefault="004B61BA">
    <w:pPr>
      <w:pStyle w:val="Header"/>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CD" w:rsidRPr="00981557" w:rsidRDefault="000B3800" w:rsidP="005A33CD">
    <w:pPr>
      <w:pStyle w:val="Header"/>
      <w:tabs>
        <w:tab w:val="clear" w:pos="4153"/>
        <w:tab w:val="clear" w:pos="8306"/>
        <w:tab w:val="left" w:pos="993"/>
      </w:tabs>
    </w:pPr>
    <w:r w:rsidRPr="001462FF">
      <w:rPr>
        <w:noProof/>
        <w:lang w:eastAsia="en-AU"/>
      </w:rPr>
      <w:drawing>
        <wp:anchor distT="114300" distB="114300" distL="114300" distR="114300" simplePos="0" relativeHeight="251659264" behindDoc="1" locked="0" layoutInCell="1" allowOverlap="1" wp14:anchorId="1DAB2BC4" wp14:editId="4ABAB7E6">
          <wp:simplePos x="0" y="0"/>
          <wp:positionH relativeFrom="margin">
            <wp:posOffset>4417695</wp:posOffset>
          </wp:positionH>
          <wp:positionV relativeFrom="page">
            <wp:posOffset>38100</wp:posOffset>
          </wp:positionV>
          <wp:extent cx="704850" cy="1104900"/>
          <wp:effectExtent l="0" t="0" r="0" b="0"/>
          <wp:wrapNone/>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753" w:rsidRPr="001462FF">
      <w:rPr>
        <w:noProof/>
        <w:lang w:eastAsia="en-AU"/>
      </w:rPr>
      <w:drawing>
        <wp:anchor distT="114300" distB="114300" distL="114300" distR="114300" simplePos="0" relativeHeight="251661312" behindDoc="1" locked="0" layoutInCell="0" allowOverlap="1" wp14:anchorId="705BF047" wp14:editId="121DD619">
          <wp:simplePos x="0" y="0"/>
          <wp:positionH relativeFrom="margin">
            <wp:posOffset>-243205</wp:posOffset>
          </wp:positionH>
          <wp:positionV relativeFrom="margin">
            <wp:posOffset>-469900</wp:posOffset>
          </wp:positionV>
          <wp:extent cx="2169160" cy="701040"/>
          <wp:effectExtent l="0" t="0" r="0" b="381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753">
      <w:tab/>
    </w:r>
    <w:r w:rsidR="00256753">
      <w:tab/>
    </w:r>
    <w:r w:rsidR="00256753">
      <w:tab/>
    </w:r>
    <w:r w:rsidR="00256753">
      <w:tab/>
    </w:r>
    <w:r w:rsidR="00256753">
      <w:tab/>
    </w:r>
    <w:r w:rsidR="00256753">
      <w:tab/>
    </w:r>
    <w:r w:rsidR="00256753">
      <w:tab/>
    </w:r>
    <w:r w:rsidR="00256753">
      <w:tab/>
    </w:r>
    <w:r w:rsidR="00256753">
      <w:tab/>
    </w:r>
    <w:r w:rsidR="00256753">
      <w:tab/>
    </w:r>
    <w:r w:rsidR="00256753">
      <w:tab/>
    </w:r>
  </w:p>
  <w:p w:rsidR="004B61BA" w:rsidRPr="00981557" w:rsidRDefault="004B61BA" w:rsidP="005A33CD">
    <w:pPr>
      <w:pStyle w:val="Header"/>
      <w:tabs>
        <w:tab w:val="clear" w:pos="4153"/>
        <w:tab w:val="clear" w:pos="8306"/>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450"/>
    <w:multiLevelType w:val="hybridMultilevel"/>
    <w:tmpl w:val="E3F0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6525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D067E2C"/>
    <w:multiLevelType w:val="hybridMultilevel"/>
    <w:tmpl w:val="505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B5017"/>
    <w:multiLevelType w:val="hybridMultilevel"/>
    <w:tmpl w:val="98BAC0D2"/>
    <w:lvl w:ilvl="0" w:tplc="0E483F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6641E"/>
    <w:multiLevelType w:val="hybridMultilevel"/>
    <w:tmpl w:val="9544B50A"/>
    <w:lvl w:ilvl="0" w:tplc="0C32357E">
      <w:start w:val="1"/>
      <w:numFmt w:val="bullet"/>
      <w:pStyle w:val="ISBullets"/>
      <w:lvlText w:val=""/>
      <w:lvlJc w:val="left"/>
      <w:pPr>
        <w:ind w:left="360" w:hanging="360"/>
      </w:pPr>
      <w:rPr>
        <w:rFonts w:ascii="Symbol" w:hAnsi="Symbol" w:cs="Symbol" w:hint="default"/>
        <w:bCs w:val="0"/>
        <w:iCs w:val="0"/>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82E4D77"/>
    <w:multiLevelType w:val="hybridMultilevel"/>
    <w:tmpl w:val="1678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72F7C"/>
    <w:multiLevelType w:val="hybridMultilevel"/>
    <w:tmpl w:val="CFC6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27432"/>
    <w:multiLevelType w:val="hybridMultilevel"/>
    <w:tmpl w:val="D9C62B50"/>
    <w:lvl w:ilvl="0" w:tplc="0E483F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C0B79"/>
    <w:multiLevelType w:val="hybridMultilevel"/>
    <w:tmpl w:val="C09C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134FA7"/>
    <w:multiLevelType w:val="hybridMultilevel"/>
    <w:tmpl w:val="2186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BA07AA"/>
    <w:multiLevelType w:val="hybridMultilevel"/>
    <w:tmpl w:val="7D4C6DFA"/>
    <w:lvl w:ilvl="0" w:tplc="0E483FF4">
      <w:start w:val="1"/>
      <w:numFmt w:val="bullet"/>
      <w:lvlText w:val=""/>
      <w:lvlJc w:val="left"/>
      <w:pPr>
        <w:tabs>
          <w:tab w:val="num" w:pos="1040"/>
        </w:tabs>
        <w:ind w:left="1020" w:hanging="34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6A0F04F9"/>
    <w:multiLevelType w:val="hybridMultilevel"/>
    <w:tmpl w:val="0D3E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9"/>
  </w:num>
  <w:num w:numId="6">
    <w:abstractNumId w:val="8"/>
  </w:num>
  <w:num w:numId="7">
    <w:abstractNumId w:val="6"/>
  </w:num>
  <w:num w:numId="8">
    <w:abstractNumId w:val="0"/>
  </w:num>
  <w:num w:numId="9">
    <w:abstractNumId w:val="11"/>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3"/>
    <w:rsid w:val="00016471"/>
    <w:rsid w:val="00062D2A"/>
    <w:rsid w:val="00070903"/>
    <w:rsid w:val="00075763"/>
    <w:rsid w:val="00093F19"/>
    <w:rsid w:val="000B3800"/>
    <w:rsid w:val="000C051D"/>
    <w:rsid w:val="000D7005"/>
    <w:rsid w:val="00106C56"/>
    <w:rsid w:val="001349CF"/>
    <w:rsid w:val="00150188"/>
    <w:rsid w:val="001944E0"/>
    <w:rsid w:val="001C5F12"/>
    <w:rsid w:val="00225A99"/>
    <w:rsid w:val="00256753"/>
    <w:rsid w:val="00256EB2"/>
    <w:rsid w:val="00295123"/>
    <w:rsid w:val="002A1531"/>
    <w:rsid w:val="002F60F7"/>
    <w:rsid w:val="002F64D3"/>
    <w:rsid w:val="00342839"/>
    <w:rsid w:val="003704A4"/>
    <w:rsid w:val="003A664A"/>
    <w:rsid w:val="003B0671"/>
    <w:rsid w:val="00446C28"/>
    <w:rsid w:val="00482244"/>
    <w:rsid w:val="004B61BA"/>
    <w:rsid w:val="004B7AF6"/>
    <w:rsid w:val="005335B0"/>
    <w:rsid w:val="0057516B"/>
    <w:rsid w:val="005957DC"/>
    <w:rsid w:val="005A1930"/>
    <w:rsid w:val="005A33CD"/>
    <w:rsid w:val="005F6614"/>
    <w:rsid w:val="00601681"/>
    <w:rsid w:val="00652286"/>
    <w:rsid w:val="00676E1E"/>
    <w:rsid w:val="006B4C9F"/>
    <w:rsid w:val="006B4D06"/>
    <w:rsid w:val="006C1A89"/>
    <w:rsid w:val="006F41B0"/>
    <w:rsid w:val="00727027"/>
    <w:rsid w:val="00783561"/>
    <w:rsid w:val="00793B07"/>
    <w:rsid w:val="007F4B82"/>
    <w:rsid w:val="008B6523"/>
    <w:rsid w:val="008D5D01"/>
    <w:rsid w:val="00930F38"/>
    <w:rsid w:val="00967B3B"/>
    <w:rsid w:val="00981557"/>
    <w:rsid w:val="009D6792"/>
    <w:rsid w:val="009F0969"/>
    <w:rsid w:val="00A337C2"/>
    <w:rsid w:val="00AC6D68"/>
    <w:rsid w:val="00B70D1A"/>
    <w:rsid w:val="00C83480"/>
    <w:rsid w:val="00CA1951"/>
    <w:rsid w:val="00CD0FED"/>
    <w:rsid w:val="00D1792A"/>
    <w:rsid w:val="00E262CF"/>
    <w:rsid w:val="00EB5992"/>
    <w:rsid w:val="00EC0484"/>
    <w:rsid w:val="00F57772"/>
    <w:rsid w:val="00FA73FE"/>
    <w:rsid w:val="00FB17B9"/>
    <w:rsid w:val="00FB5CAB"/>
    <w:rsid w:val="00FC1E5B"/>
    <w:rsid w:val="00FC27F1"/>
    <w:rsid w:val="00FC7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AFDBD0-FC23-47AD-8D3A-986E7A1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720" w:hanging="720"/>
      <w:outlineLvl w:val="0"/>
    </w:pPr>
    <w:rPr>
      <w:rFonts w:cs="Arial"/>
      <w:bCs/>
      <w:sz w:val="28"/>
    </w:rPr>
  </w:style>
  <w:style w:type="paragraph" w:styleId="Heading2">
    <w:name w:val="heading 2"/>
    <w:basedOn w:val="Normal"/>
    <w:next w:val="Normal"/>
    <w:qFormat/>
    <w:pPr>
      <w:keepNext/>
      <w:outlineLvl w:val="1"/>
    </w:pPr>
    <w:rPr>
      <w:rFonts w:cs="Arial"/>
      <w:b/>
      <w:sz w:val="24"/>
    </w:rPr>
  </w:style>
  <w:style w:type="paragraph" w:styleId="Heading3">
    <w:name w:val="heading 3"/>
    <w:basedOn w:val="Normal"/>
    <w:next w:val="Normal"/>
    <w:qFormat/>
    <w:pPr>
      <w:keepNext/>
      <w:ind w:left="720" w:hanging="720"/>
      <w:outlineLvl w:val="2"/>
    </w:pPr>
    <w:rPr>
      <w:rFonts w:cs="Arial"/>
      <w:b/>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hanging="720"/>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before="240"/>
    </w:pPr>
  </w:style>
  <w:style w:type="paragraph" w:styleId="Header">
    <w:name w:val="header"/>
    <w:basedOn w:val="Normal"/>
    <w:pPr>
      <w:tabs>
        <w:tab w:val="center" w:pos="4153"/>
        <w:tab w:val="right" w:pos="8306"/>
      </w:tabs>
    </w:pPr>
    <w:rPr>
      <w:b/>
      <w:color w:val="FFFFFF"/>
      <w:sz w:val="23"/>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ind w:left="720" w:hanging="720"/>
      <w:jc w:val="center"/>
    </w:pPr>
    <w:rPr>
      <w:rFonts w:cs="Arial"/>
      <w:b/>
      <w:sz w:val="36"/>
    </w:rPr>
  </w:style>
  <w:style w:type="paragraph" w:styleId="BodyText">
    <w:name w:val="Body Text"/>
    <w:basedOn w:val="Normal"/>
    <w:pPr>
      <w:jc w:val="both"/>
    </w:pPr>
  </w:style>
  <w:style w:type="paragraph" w:styleId="BodyText2">
    <w:name w:val="Body Text 2"/>
    <w:basedOn w:val="Normal"/>
    <w:rPr>
      <w:rFonts w:cs="Arial"/>
      <w:b/>
      <w:sz w:val="24"/>
    </w:rPr>
  </w:style>
  <w:style w:type="paragraph" w:customStyle="1" w:styleId="AgencyName">
    <w:name w:val="AgencyName"/>
    <w:basedOn w:val="Normal"/>
    <w:rsid w:val="00981557"/>
    <w:pPr>
      <w:spacing w:after="120"/>
    </w:pPr>
    <w:rPr>
      <w:spacing w:val="8"/>
      <w:sz w:val="26"/>
      <w:szCs w:val="26"/>
      <w:lang w:eastAsia="en-AU"/>
    </w:rPr>
  </w:style>
  <w:style w:type="character" w:customStyle="1" w:styleId="AgencyNameBoldChar">
    <w:name w:val="AgencyNameBold Char"/>
    <w:basedOn w:val="DefaultParagraphFont"/>
    <w:rsid w:val="00981557"/>
    <w:rPr>
      <w:rFonts w:ascii="Arial" w:hAnsi="Arial"/>
      <w:b/>
      <w:bCs/>
      <w:spacing w:val="16"/>
      <w:sz w:val="26"/>
      <w:szCs w:val="26"/>
      <w:lang w:val="en-AU" w:eastAsia="en-AU" w:bidi="ar-SA"/>
    </w:rPr>
  </w:style>
  <w:style w:type="paragraph" w:styleId="BalloonText">
    <w:name w:val="Balloon Text"/>
    <w:basedOn w:val="Normal"/>
    <w:link w:val="BalloonTextChar"/>
    <w:rsid w:val="001944E0"/>
    <w:rPr>
      <w:rFonts w:ascii="Tahoma" w:hAnsi="Tahoma" w:cs="Tahoma"/>
      <w:sz w:val="16"/>
      <w:szCs w:val="16"/>
    </w:rPr>
  </w:style>
  <w:style w:type="character" w:customStyle="1" w:styleId="BalloonTextChar">
    <w:name w:val="Balloon Text Char"/>
    <w:basedOn w:val="DefaultParagraphFont"/>
    <w:link w:val="BalloonText"/>
    <w:rsid w:val="001944E0"/>
    <w:rPr>
      <w:rFonts w:ascii="Tahoma" w:hAnsi="Tahoma" w:cs="Tahoma"/>
      <w:sz w:val="16"/>
      <w:szCs w:val="16"/>
      <w:lang w:eastAsia="en-US"/>
    </w:rPr>
  </w:style>
  <w:style w:type="paragraph" w:customStyle="1" w:styleId="WebAddress">
    <w:name w:val="WebAddress"/>
    <w:basedOn w:val="AgencyName"/>
    <w:rsid w:val="005A33CD"/>
    <w:pPr>
      <w:jc w:val="right"/>
    </w:pPr>
    <w:rPr>
      <w:sz w:val="28"/>
      <w:szCs w:val="28"/>
    </w:rPr>
  </w:style>
  <w:style w:type="character" w:customStyle="1" w:styleId="AgencyNameChar">
    <w:name w:val="AgencyName Char"/>
    <w:basedOn w:val="DefaultParagraphFont"/>
    <w:rsid w:val="005A33CD"/>
    <w:rPr>
      <w:rFonts w:ascii="Arial" w:hAnsi="Arial"/>
      <w:spacing w:val="8"/>
      <w:sz w:val="26"/>
      <w:szCs w:val="26"/>
      <w:lang w:val="en-AU" w:eastAsia="en-AU" w:bidi="ar-SA"/>
    </w:rPr>
  </w:style>
  <w:style w:type="character" w:styleId="Hyperlink">
    <w:name w:val="Hyperlink"/>
    <w:basedOn w:val="DefaultParagraphFont"/>
    <w:rsid w:val="000D7005"/>
    <w:rPr>
      <w:color w:val="0000FF" w:themeColor="hyperlink"/>
      <w:u w:val="single"/>
    </w:rPr>
  </w:style>
  <w:style w:type="paragraph" w:customStyle="1" w:styleId="ISBodytextafterintroduction">
    <w:name w:val="IS_Body text (after introduction)"/>
    <w:next w:val="Normal"/>
    <w:qFormat/>
    <w:rsid w:val="002A1531"/>
    <w:pPr>
      <w:spacing w:before="440"/>
    </w:pPr>
    <w:rPr>
      <w:rFonts w:ascii="Arial" w:eastAsiaTheme="minorEastAsia" w:hAnsi="Arial" w:cs="Arial"/>
      <w:iCs/>
      <w:lang w:eastAsia="zh-CN" w:bidi="he-IL"/>
    </w:rPr>
  </w:style>
  <w:style w:type="paragraph" w:customStyle="1" w:styleId="ISBodyText">
    <w:name w:val="IS_Body Text"/>
    <w:next w:val="Normal"/>
    <w:qFormat/>
    <w:rsid w:val="002A1531"/>
    <w:pPr>
      <w:spacing w:before="120"/>
    </w:pPr>
    <w:rPr>
      <w:rFonts w:ascii="Arial" w:eastAsiaTheme="minorEastAsia" w:hAnsi="Arial" w:cs="Arial"/>
      <w:iCs/>
      <w:lang w:eastAsia="zh-CN" w:bidi="he-IL"/>
    </w:rPr>
  </w:style>
  <w:style w:type="character" w:customStyle="1" w:styleId="ISArial10ptitalics">
    <w:name w:val="IS_Arial 10 pt (italics)"/>
    <w:basedOn w:val="DefaultParagraphFont"/>
    <w:uiPriority w:val="1"/>
    <w:qFormat/>
    <w:rsid w:val="002A1531"/>
    <w:rPr>
      <w:rFonts w:ascii="Arial" w:hAnsi="Arial" w:cs="Arial" w:hint="default"/>
      <w:i/>
      <w:iCs w:val="0"/>
      <w:sz w:val="20"/>
    </w:rPr>
  </w:style>
  <w:style w:type="paragraph" w:customStyle="1" w:styleId="ISBullets">
    <w:name w:val="IS_Bullets"/>
    <w:next w:val="Normal"/>
    <w:qFormat/>
    <w:rsid w:val="006F41B0"/>
    <w:pPr>
      <w:numPr>
        <w:numId w:val="11"/>
      </w:numPr>
      <w:spacing w:before="60"/>
      <w:ind w:left="170" w:right="170" w:hanging="170"/>
    </w:pPr>
    <w:rPr>
      <w:rFonts w:ascii="Arial" w:eastAsiaTheme="minorEastAsia" w:hAnsi="Arial" w:cs="Arial"/>
      <w:iCs/>
      <w:lang w:eastAsia="zh-CN" w:bidi="he-IL"/>
    </w:rPr>
  </w:style>
  <w:style w:type="paragraph" w:customStyle="1" w:styleId="ISHeading2">
    <w:name w:val="IS_Heading 2"/>
    <w:next w:val="Normal"/>
    <w:qFormat/>
    <w:rsid w:val="00446C28"/>
    <w:pPr>
      <w:spacing w:before="440"/>
    </w:pPr>
    <w:rPr>
      <w:rFonts w:ascii="Arial Narrow Bold" w:eastAsiaTheme="minorEastAsia" w:hAnsi="Arial Narrow Bold" w:cstheme="minorBidi"/>
      <w:b/>
      <w:bCs/>
      <w:caps/>
      <w:sz w:val="28"/>
      <w:szCs w:val="28"/>
      <w:lang w:eastAsia="zh-CN" w:bidi="he-IL"/>
    </w:rPr>
  </w:style>
  <w:style w:type="paragraph" w:customStyle="1" w:styleId="ISHeading4">
    <w:name w:val="IS_Heading 4"/>
    <w:next w:val="Normal"/>
    <w:qFormat/>
    <w:rsid w:val="00446C28"/>
    <w:pPr>
      <w:spacing w:before="240"/>
    </w:pPr>
    <w:rPr>
      <w:rFonts w:ascii="Arial Narrow" w:eastAsiaTheme="minorEastAsia" w:hAnsi="Arial Narrow" w:cs="Arial"/>
      <w:b/>
      <w:bCs/>
      <w:iCs/>
      <w:sz w:val="22"/>
      <w:szCs w:val="22"/>
      <w:lang w:eastAsia="zh-CN" w:bidi="he-IL"/>
    </w:rPr>
  </w:style>
  <w:style w:type="paragraph" w:customStyle="1" w:styleId="web">
    <w:name w:val="web"/>
    <w:basedOn w:val="Normal"/>
    <w:rsid w:val="000B3800"/>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1216">
      <w:bodyDiv w:val="1"/>
      <w:marLeft w:val="0"/>
      <w:marRight w:val="0"/>
      <w:marTop w:val="0"/>
      <w:marBottom w:val="0"/>
      <w:divBdr>
        <w:top w:val="none" w:sz="0" w:space="0" w:color="auto"/>
        <w:left w:val="none" w:sz="0" w:space="0" w:color="auto"/>
        <w:bottom w:val="none" w:sz="0" w:space="0" w:color="auto"/>
        <w:right w:val="none" w:sz="0" w:space="0" w:color="auto"/>
      </w:divBdr>
    </w:div>
    <w:div w:id="572160024">
      <w:bodyDiv w:val="1"/>
      <w:marLeft w:val="0"/>
      <w:marRight w:val="0"/>
      <w:marTop w:val="0"/>
      <w:marBottom w:val="0"/>
      <w:divBdr>
        <w:top w:val="none" w:sz="0" w:space="0" w:color="auto"/>
        <w:left w:val="none" w:sz="0" w:space="0" w:color="auto"/>
        <w:bottom w:val="none" w:sz="0" w:space="0" w:color="auto"/>
        <w:right w:val="none" w:sz="0" w:space="0" w:color="auto"/>
      </w:divBdr>
    </w:div>
    <w:div w:id="1121220448">
      <w:bodyDiv w:val="1"/>
      <w:marLeft w:val="0"/>
      <w:marRight w:val="0"/>
      <w:marTop w:val="0"/>
      <w:marBottom w:val="0"/>
      <w:divBdr>
        <w:top w:val="none" w:sz="0" w:space="0" w:color="auto"/>
        <w:left w:val="none" w:sz="0" w:space="0" w:color="auto"/>
        <w:bottom w:val="none" w:sz="0" w:space="0" w:color="auto"/>
        <w:right w:val="none" w:sz="0" w:space="0" w:color="auto"/>
      </w:divBdr>
    </w:div>
    <w:div w:id="1235386091">
      <w:bodyDiv w:val="1"/>
      <w:marLeft w:val="0"/>
      <w:marRight w:val="0"/>
      <w:marTop w:val="0"/>
      <w:marBottom w:val="0"/>
      <w:divBdr>
        <w:top w:val="none" w:sz="0" w:space="0" w:color="auto"/>
        <w:left w:val="none" w:sz="0" w:space="0" w:color="auto"/>
        <w:bottom w:val="none" w:sz="0" w:space="0" w:color="auto"/>
        <w:right w:val="none" w:sz="0" w:space="0" w:color="auto"/>
      </w:divBdr>
    </w:div>
    <w:div w:id="1279796583">
      <w:bodyDiv w:val="1"/>
      <w:marLeft w:val="0"/>
      <w:marRight w:val="0"/>
      <w:marTop w:val="0"/>
      <w:marBottom w:val="0"/>
      <w:divBdr>
        <w:top w:val="none" w:sz="0" w:space="0" w:color="auto"/>
        <w:left w:val="none" w:sz="0" w:space="0" w:color="auto"/>
        <w:bottom w:val="none" w:sz="0" w:space="0" w:color="auto"/>
        <w:right w:val="none" w:sz="0" w:space="0" w:color="auto"/>
      </w:divBdr>
    </w:div>
    <w:div w:id="1379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ce.sa.edu.au/documents/652891/58be1fc3-387d-40a1-9e53-b0a03780cf08?v=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Exec Letter Template</vt:lpstr>
    </vt:vector>
  </TitlesOfParts>
  <Company>NT Department of Education</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group stage 2</dc:title>
  <dc:creator>Northern Territory Government</dc:creator>
  <cp:lastModifiedBy>Kylie Mccolley</cp:lastModifiedBy>
  <cp:revision>3</cp:revision>
  <cp:lastPrinted>2016-03-22T02:58:00Z</cp:lastPrinted>
  <dcterms:created xsi:type="dcterms:W3CDTF">2017-02-03T06:03:00Z</dcterms:created>
  <dcterms:modified xsi:type="dcterms:W3CDTF">2017-03-20T05:15:00Z</dcterms:modified>
</cp:coreProperties>
</file>