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6D" w:rsidRPr="00343B24" w:rsidRDefault="0023316D" w:rsidP="00BC4523">
      <w:pPr>
        <w:rPr>
          <w:rFonts w:ascii="Lato" w:hAnsi="Lato" w:cs="Arial"/>
          <w:b/>
          <w:bCs/>
          <w:color w:val="9CC2E5" w:themeColor="accent1" w:themeTint="99"/>
          <w:sz w:val="28"/>
          <w:szCs w:val="28"/>
        </w:rPr>
      </w:pPr>
    </w:p>
    <w:p w:rsidR="00641CF3" w:rsidRPr="004B2277" w:rsidRDefault="00641CF3" w:rsidP="00641CF3">
      <w:pPr>
        <w:ind w:left="426"/>
        <w:rPr>
          <w:rStyle w:val="Hyperlink"/>
          <w:rFonts w:ascii="Lato" w:hAnsi="Lato" w:cs="Arial"/>
          <w:bCs/>
          <w:sz w:val="24"/>
          <w:lang w:val="en-US"/>
        </w:rPr>
      </w:pPr>
      <w:r w:rsidRPr="004B2277">
        <w:rPr>
          <w:rFonts w:ascii="Lato" w:hAnsi="Lato" w:cs="Arial"/>
          <w:bCs/>
          <w:sz w:val="24"/>
          <w:lang w:val="en-US"/>
        </w:rPr>
        <w:t xml:space="preserve">This document should be read in conjunction with the guidelines for </w:t>
      </w:r>
      <w:r w:rsidR="004F7F2B" w:rsidRPr="004B2277">
        <w:rPr>
          <w:rFonts w:ascii="Lato" w:hAnsi="Lato" w:cs="Arial"/>
          <w:bCs/>
          <w:sz w:val="24"/>
          <w:lang w:val="en-US"/>
        </w:rPr>
        <w:fldChar w:fldCharType="begin"/>
      </w:r>
      <w:r w:rsidR="004F7F2B" w:rsidRPr="004B2277">
        <w:rPr>
          <w:rFonts w:ascii="Lato" w:hAnsi="Lato" w:cs="Arial"/>
          <w:bCs/>
          <w:sz w:val="24"/>
          <w:lang w:val="en-US"/>
        </w:rPr>
        <w:instrText xml:space="preserve"> HYPERLINK "https://education.nt.gov.au/education/policies/criminal-history-checks-for-prospective-mature-age-students" </w:instrText>
      </w:r>
      <w:r w:rsidR="004F7F2B" w:rsidRPr="004B2277">
        <w:rPr>
          <w:rFonts w:ascii="Lato" w:hAnsi="Lato" w:cs="Arial"/>
          <w:bCs/>
          <w:sz w:val="24"/>
          <w:lang w:val="en-US"/>
        </w:rPr>
        <w:fldChar w:fldCharType="separate"/>
      </w:r>
      <w:r w:rsidRPr="004B2277">
        <w:rPr>
          <w:rStyle w:val="Hyperlink"/>
          <w:rFonts w:ascii="Lato" w:hAnsi="Lato" w:cs="Arial"/>
          <w:bCs/>
          <w:sz w:val="24"/>
          <w:lang w:val="en-US"/>
        </w:rPr>
        <w:t>Criminal history checks for prospective mature age students.</w:t>
      </w:r>
    </w:p>
    <w:p w:rsidR="00641CF3" w:rsidRPr="004B2277" w:rsidRDefault="004F7F2B" w:rsidP="00641CF3">
      <w:pPr>
        <w:ind w:left="426"/>
        <w:rPr>
          <w:rFonts w:ascii="Lato" w:hAnsi="Lato" w:cs="Arial"/>
          <w:bCs/>
          <w:szCs w:val="20"/>
          <w:lang w:val="en-US"/>
        </w:rPr>
      </w:pPr>
      <w:r w:rsidRPr="004B2277">
        <w:rPr>
          <w:rFonts w:ascii="Lato" w:hAnsi="Lato" w:cs="Arial"/>
          <w:bCs/>
          <w:sz w:val="24"/>
          <w:lang w:val="en-US"/>
        </w:rPr>
        <w:fldChar w:fldCharType="end"/>
      </w:r>
    </w:p>
    <w:p w:rsidR="00641CF3" w:rsidRPr="004B2277" w:rsidRDefault="00641CF3" w:rsidP="00641CF3">
      <w:pPr>
        <w:pStyle w:val="Heading3"/>
        <w:numPr>
          <w:ilvl w:val="0"/>
          <w:numId w:val="47"/>
        </w:numPr>
        <w:rPr>
          <w:rFonts w:ascii="Lato" w:hAnsi="Lato"/>
          <w:sz w:val="28"/>
          <w:szCs w:val="28"/>
          <w:lang w:val="en-US"/>
        </w:rPr>
      </w:pPr>
      <w:r w:rsidRPr="004B2277">
        <w:rPr>
          <w:rFonts w:ascii="Lato" w:hAnsi="Lato"/>
          <w:sz w:val="28"/>
          <w:szCs w:val="28"/>
          <w:lang w:val="en-US"/>
        </w:rPr>
        <w:t xml:space="preserve">INTRODUCTION </w:t>
      </w:r>
    </w:p>
    <w:p w:rsidR="00641CF3" w:rsidRPr="004B2277" w:rsidRDefault="00641CF3" w:rsidP="00641CF3">
      <w:pPr>
        <w:pStyle w:val="ListParagraph"/>
        <w:spacing w:before="240" w:after="240"/>
        <w:ind w:left="425"/>
        <w:contextualSpacing w:val="0"/>
        <w:rPr>
          <w:rFonts w:ascii="Lato" w:hAnsi="Lato"/>
          <w:sz w:val="22"/>
          <w:szCs w:val="22"/>
        </w:rPr>
      </w:pPr>
      <w:r w:rsidRPr="004B2277">
        <w:rPr>
          <w:rFonts w:ascii="Lato" w:hAnsi="Lato"/>
          <w:sz w:val="22"/>
          <w:szCs w:val="22"/>
        </w:rPr>
        <w:t>The Department of Education is committed to providing a safe and supportive school learning environment and appropriate education programs that facilitate the effective transition of young people to employment or further education.</w:t>
      </w:r>
    </w:p>
    <w:p w:rsidR="00641CF3" w:rsidRPr="004B2277" w:rsidRDefault="00641CF3" w:rsidP="00641CF3">
      <w:pPr>
        <w:pStyle w:val="ListParagraph"/>
        <w:spacing w:before="240" w:after="240"/>
        <w:ind w:left="425"/>
        <w:contextualSpacing w:val="0"/>
        <w:rPr>
          <w:rFonts w:ascii="Lato" w:hAnsi="Lato"/>
          <w:sz w:val="22"/>
          <w:szCs w:val="22"/>
        </w:rPr>
      </w:pPr>
      <w:r w:rsidRPr="004B2277">
        <w:rPr>
          <w:rFonts w:ascii="Lato" w:hAnsi="Lato"/>
          <w:sz w:val="22"/>
          <w:szCs w:val="22"/>
        </w:rPr>
        <w:t>These procedures outline the steps for the department’s vetting entities to fulfil their statutory responsibility to determine if mature age student applicants have a criminal history or pending charges that will disqualify them from enrolling in any government school, including an independent public school.</w:t>
      </w:r>
    </w:p>
    <w:p w:rsidR="00641CF3" w:rsidRPr="004B2277" w:rsidRDefault="00641CF3" w:rsidP="00641CF3">
      <w:pPr>
        <w:ind w:left="425"/>
        <w:rPr>
          <w:rFonts w:ascii="Lato" w:hAnsi="Lato"/>
          <w:sz w:val="22"/>
          <w:szCs w:val="22"/>
        </w:rPr>
      </w:pPr>
      <w:r w:rsidRPr="004B2277">
        <w:rPr>
          <w:rFonts w:ascii="Lato" w:hAnsi="Lato" w:cs="Arial"/>
          <w:bCs/>
          <w:sz w:val="22"/>
          <w:szCs w:val="22"/>
          <w:lang w:val="en-US"/>
        </w:rPr>
        <w:t xml:space="preserve">Before commencing the </w:t>
      </w:r>
      <w:hyperlink r:id="rId8" w:history="1">
        <w:r w:rsidRPr="004B2277">
          <w:rPr>
            <w:rStyle w:val="Hyperlink"/>
            <w:rFonts w:ascii="Lato" w:hAnsi="Lato" w:cs="Arial"/>
            <w:bCs/>
            <w:sz w:val="22"/>
            <w:szCs w:val="22"/>
            <w:lang w:val="en-US"/>
          </w:rPr>
          <w:t>enrolment process</w:t>
        </w:r>
      </w:hyperlink>
      <w:r w:rsidRPr="004B2277">
        <w:rPr>
          <w:rStyle w:val="Hyperlink"/>
          <w:rFonts w:ascii="Lato" w:hAnsi="Lato" w:cs="Arial"/>
          <w:bCs/>
          <w:sz w:val="22"/>
          <w:szCs w:val="22"/>
          <w:lang w:val="en-US"/>
        </w:rPr>
        <w:t>,</w:t>
      </w:r>
      <w:r w:rsidRPr="004B2277">
        <w:rPr>
          <w:rStyle w:val="CommentReference"/>
          <w:rFonts w:ascii="Lato" w:hAnsi="Lato"/>
        </w:rPr>
        <w:t xml:space="preserve"> </w:t>
      </w:r>
      <w:r w:rsidRPr="004B2277">
        <w:rPr>
          <w:rFonts w:ascii="Lato" w:hAnsi="Lato" w:cs="Arial"/>
          <w:bCs/>
          <w:sz w:val="22"/>
          <w:szCs w:val="22"/>
          <w:lang w:val="en-US"/>
        </w:rPr>
        <w:t xml:space="preserve">mature age students </w:t>
      </w:r>
      <w:r w:rsidRPr="004B2277">
        <w:rPr>
          <w:rFonts w:ascii="Lato" w:hAnsi="Lato"/>
          <w:sz w:val="22"/>
          <w:szCs w:val="22"/>
        </w:rPr>
        <w:t>who are over 18 years of age and have not been enrolled in a school in the preceding 12 months (that is within 365 days of their application date), must apply to SAFE NT for a criminal history check at their own expense.</w:t>
      </w:r>
      <w:r w:rsidRPr="004B2277">
        <w:rPr>
          <w:rFonts w:ascii="Lato" w:hAnsi="Lato" w:cs="Arial"/>
          <w:bCs/>
          <w:sz w:val="22"/>
          <w:szCs w:val="22"/>
          <w:lang w:val="en-US"/>
        </w:rPr>
        <w:t xml:space="preserve"> After completing the check, SAFE NT will issue a criminal record report.</w:t>
      </w:r>
      <w:r w:rsidRPr="004B2277">
        <w:rPr>
          <w:rFonts w:ascii="Lato" w:hAnsi="Lato"/>
          <w:sz w:val="22"/>
          <w:szCs w:val="22"/>
        </w:rPr>
        <w:t xml:space="preserve"> </w:t>
      </w:r>
    </w:p>
    <w:p w:rsidR="00641CF3" w:rsidRPr="004B2277" w:rsidRDefault="00641CF3" w:rsidP="00641CF3">
      <w:pPr>
        <w:ind w:left="425"/>
        <w:rPr>
          <w:rFonts w:ascii="Lato" w:hAnsi="Lato"/>
          <w:sz w:val="22"/>
          <w:szCs w:val="22"/>
        </w:rPr>
      </w:pPr>
    </w:p>
    <w:p w:rsidR="00641CF3" w:rsidRPr="004B2277" w:rsidRDefault="00641CF3" w:rsidP="00641CF3">
      <w:pPr>
        <w:ind w:left="425"/>
        <w:rPr>
          <w:rFonts w:ascii="Lato" w:hAnsi="Lato"/>
          <w:sz w:val="22"/>
          <w:szCs w:val="22"/>
        </w:rPr>
      </w:pPr>
      <w:r w:rsidRPr="004B2277">
        <w:rPr>
          <w:rFonts w:ascii="Lato" w:hAnsi="Lato"/>
          <w:sz w:val="22"/>
          <w:szCs w:val="22"/>
        </w:rPr>
        <w:t>Continuing students who turn 18 while they are studying, or prospective students who have been enrolled in a school during the previous 12 months, are not required to obtain a criminal history check.</w:t>
      </w:r>
    </w:p>
    <w:p w:rsidR="00641CF3" w:rsidRPr="004B2277" w:rsidRDefault="00641CF3" w:rsidP="00641CF3">
      <w:pPr>
        <w:ind w:left="425"/>
        <w:rPr>
          <w:rFonts w:ascii="Lato" w:hAnsi="Lato"/>
          <w:sz w:val="22"/>
          <w:szCs w:val="22"/>
        </w:rPr>
      </w:pPr>
    </w:p>
    <w:p w:rsidR="00641CF3" w:rsidRPr="004B2277" w:rsidRDefault="00641CF3" w:rsidP="00641CF3">
      <w:pPr>
        <w:ind w:left="425"/>
        <w:rPr>
          <w:rFonts w:ascii="Lato" w:hAnsi="Lato" w:cs="Arial"/>
          <w:bCs/>
          <w:sz w:val="22"/>
          <w:szCs w:val="22"/>
          <w:lang w:val="en-US"/>
        </w:rPr>
      </w:pPr>
      <w:r w:rsidRPr="004B2277">
        <w:rPr>
          <w:rFonts w:ascii="Lato" w:hAnsi="Lato"/>
          <w:sz w:val="22"/>
          <w:szCs w:val="22"/>
        </w:rPr>
        <w:t>School principals provide advice to prospective mature age students about the enrolment application process and alternative education options that would meet the student’s needs.</w:t>
      </w:r>
    </w:p>
    <w:p w:rsidR="00641CF3" w:rsidRPr="004B2277" w:rsidRDefault="00641CF3" w:rsidP="00641CF3">
      <w:pPr>
        <w:ind w:left="425"/>
        <w:rPr>
          <w:rFonts w:ascii="Lato" w:hAnsi="Lato" w:cs="Arial"/>
          <w:bCs/>
          <w:sz w:val="22"/>
          <w:szCs w:val="22"/>
          <w:lang w:val="en-US"/>
        </w:rPr>
      </w:pPr>
    </w:p>
    <w:p w:rsidR="00641CF3" w:rsidRPr="004B2277" w:rsidRDefault="00641CF3" w:rsidP="00641CF3">
      <w:pPr>
        <w:pStyle w:val="Heading3"/>
        <w:numPr>
          <w:ilvl w:val="0"/>
          <w:numId w:val="47"/>
        </w:numPr>
        <w:spacing w:before="240" w:after="240"/>
        <w:ind w:left="714" w:hanging="357"/>
        <w:rPr>
          <w:rFonts w:ascii="Lato" w:hAnsi="Lato"/>
          <w:sz w:val="28"/>
          <w:szCs w:val="28"/>
          <w:lang w:val="en-US"/>
        </w:rPr>
      </w:pPr>
      <w:r w:rsidRPr="004B2277">
        <w:rPr>
          <w:rFonts w:ascii="Lato" w:hAnsi="Lato"/>
          <w:sz w:val="28"/>
          <w:szCs w:val="28"/>
          <w:lang w:val="en-US"/>
        </w:rPr>
        <w:t xml:space="preserve">DEFINITIONS </w:t>
      </w:r>
    </w:p>
    <w:p w:rsidR="00641CF3" w:rsidRPr="004B2277" w:rsidRDefault="00641CF3" w:rsidP="00641CF3">
      <w:pPr>
        <w:pStyle w:val="BodyText"/>
        <w:spacing w:before="240" w:after="240"/>
        <w:ind w:left="425"/>
        <w:rPr>
          <w:rFonts w:ascii="Lato" w:hAnsi="Lato" w:cs="Arial"/>
          <w:sz w:val="22"/>
          <w:szCs w:val="22"/>
        </w:rPr>
      </w:pPr>
      <w:r w:rsidRPr="004B2277">
        <w:rPr>
          <w:rFonts w:ascii="Lato" w:hAnsi="Lato" w:cs="Arial"/>
          <w:b/>
          <w:sz w:val="22"/>
          <w:szCs w:val="22"/>
        </w:rPr>
        <w:t xml:space="preserve">Criminal history checks </w:t>
      </w:r>
      <w:r w:rsidRPr="004B2277">
        <w:rPr>
          <w:rFonts w:ascii="Lato" w:hAnsi="Lato" w:cs="Arial"/>
          <w:sz w:val="22"/>
          <w:szCs w:val="22"/>
        </w:rPr>
        <w:t xml:space="preserve">are administered by the Northern Territory Police, Fire and Emergency Services (NTPFES) through SAFE NT and, after the check is completed, SAFE NT issues a criminal record report that provides details if a person has a criminal record. </w:t>
      </w:r>
    </w:p>
    <w:p w:rsidR="00641CF3" w:rsidRPr="004B2277" w:rsidRDefault="00641CF3" w:rsidP="00641CF3">
      <w:pPr>
        <w:pStyle w:val="BodyText"/>
        <w:spacing w:before="240" w:after="240"/>
        <w:ind w:left="425"/>
        <w:rPr>
          <w:rFonts w:ascii="Lato" w:hAnsi="Lato" w:cs="Arial"/>
          <w:sz w:val="22"/>
          <w:szCs w:val="22"/>
        </w:rPr>
      </w:pPr>
      <w:r w:rsidRPr="004B2277">
        <w:rPr>
          <w:rFonts w:ascii="Lato" w:hAnsi="Lato" w:cs="Arial"/>
          <w:b/>
          <w:sz w:val="22"/>
          <w:szCs w:val="22"/>
        </w:rPr>
        <w:t xml:space="preserve">Criminal records </w:t>
      </w:r>
      <w:r w:rsidRPr="004B2277">
        <w:rPr>
          <w:rFonts w:ascii="Lato" w:hAnsi="Lato" w:cs="Arial"/>
          <w:sz w:val="22"/>
          <w:szCs w:val="22"/>
        </w:rPr>
        <w:t xml:space="preserve">as defined under section 3(1) </w:t>
      </w:r>
      <w:r w:rsidRPr="004B2277">
        <w:rPr>
          <w:rFonts w:ascii="Lato" w:hAnsi="Lato" w:cs="Arial"/>
          <w:i/>
          <w:sz w:val="22"/>
          <w:szCs w:val="22"/>
        </w:rPr>
        <w:t>Criminal Records (Spent Convictions) Act</w:t>
      </w:r>
      <w:r w:rsidRPr="004B2277">
        <w:rPr>
          <w:rFonts w:ascii="Lato" w:hAnsi="Lato" w:cs="Arial"/>
          <w:sz w:val="22"/>
          <w:szCs w:val="22"/>
        </w:rPr>
        <w:t xml:space="preserve"> are records that include a conviction, finding, order, quashed conviction, pardon, charge or action in the Northern Territory or any other State or Territory of the Commonwealth.</w:t>
      </w:r>
    </w:p>
    <w:p w:rsidR="00641CF3" w:rsidRPr="004B2277" w:rsidRDefault="00641CF3" w:rsidP="00641CF3">
      <w:pPr>
        <w:pStyle w:val="BodyText"/>
        <w:spacing w:before="240" w:after="240"/>
        <w:ind w:left="425"/>
        <w:rPr>
          <w:rFonts w:ascii="Lato" w:hAnsi="Lato" w:cs="Arial"/>
          <w:sz w:val="22"/>
          <w:szCs w:val="22"/>
        </w:rPr>
      </w:pPr>
      <w:r w:rsidRPr="004B2277">
        <w:rPr>
          <w:rFonts w:ascii="Lato" w:hAnsi="Lato" w:cs="Arial"/>
          <w:b/>
          <w:sz w:val="22"/>
          <w:szCs w:val="22"/>
        </w:rPr>
        <w:t xml:space="preserve">Disqualifying offences </w:t>
      </w:r>
      <w:r w:rsidRPr="004B2277">
        <w:rPr>
          <w:rFonts w:ascii="Lato" w:hAnsi="Lato" w:cs="Arial"/>
          <w:sz w:val="22"/>
          <w:szCs w:val="22"/>
        </w:rPr>
        <w:t>are offences listed in the Education Regulations that prevent a mature age student from enrolling in any Northern Territory school. These offences are primarily of a serious sexual, violent or drug (where they involve children) related nature (Attachment A refers).</w:t>
      </w:r>
    </w:p>
    <w:p w:rsidR="00641CF3" w:rsidRPr="004B2277" w:rsidRDefault="00641CF3" w:rsidP="00641CF3">
      <w:pPr>
        <w:pStyle w:val="BodyText"/>
        <w:spacing w:after="0"/>
        <w:ind w:left="425"/>
        <w:rPr>
          <w:rFonts w:ascii="Lato" w:hAnsi="Lato" w:cs="Arial"/>
          <w:sz w:val="22"/>
          <w:szCs w:val="22"/>
        </w:rPr>
      </w:pPr>
      <w:r w:rsidRPr="004B2277">
        <w:rPr>
          <w:rFonts w:ascii="Lato" w:hAnsi="Lato" w:cs="Arial"/>
          <w:b/>
          <w:sz w:val="22"/>
          <w:szCs w:val="22"/>
        </w:rPr>
        <w:lastRenderedPageBreak/>
        <w:t xml:space="preserve">Mature age students, </w:t>
      </w:r>
      <w:r w:rsidRPr="004B2277">
        <w:rPr>
          <w:rFonts w:ascii="Lato" w:hAnsi="Lato" w:cs="Arial"/>
          <w:sz w:val="22"/>
          <w:szCs w:val="22"/>
        </w:rPr>
        <w:t>for the purposes of these procedures are referred to as the applicant and include students who are 18 years of age or older who have not been enrolled in any school, anywhere, during the preceding 12 months.</w:t>
      </w:r>
    </w:p>
    <w:p w:rsidR="00641CF3" w:rsidRPr="004B2277" w:rsidRDefault="00641CF3" w:rsidP="00641CF3">
      <w:pPr>
        <w:pStyle w:val="BodyText"/>
        <w:spacing w:after="0"/>
        <w:ind w:left="425"/>
        <w:rPr>
          <w:rFonts w:ascii="Lato" w:hAnsi="Lato" w:cs="Arial"/>
          <w:sz w:val="22"/>
          <w:szCs w:val="22"/>
        </w:rPr>
      </w:pPr>
    </w:p>
    <w:p w:rsidR="00641CF3" w:rsidRPr="004B2277" w:rsidRDefault="00641CF3" w:rsidP="00641CF3">
      <w:pPr>
        <w:pStyle w:val="BodyText"/>
        <w:spacing w:after="0"/>
        <w:ind w:left="425"/>
        <w:rPr>
          <w:rFonts w:ascii="Lato" w:hAnsi="Lato" w:cs="Arial"/>
          <w:sz w:val="22"/>
          <w:szCs w:val="22"/>
        </w:rPr>
      </w:pPr>
      <w:r w:rsidRPr="004B2277">
        <w:rPr>
          <w:rFonts w:ascii="Lato" w:hAnsi="Lato" w:cs="Arial"/>
          <w:b/>
          <w:sz w:val="22"/>
          <w:szCs w:val="22"/>
        </w:rPr>
        <w:t xml:space="preserve">Pending charges, </w:t>
      </w:r>
      <w:r w:rsidRPr="004B2277">
        <w:rPr>
          <w:rFonts w:ascii="Lato" w:hAnsi="Lato" w:cs="Arial"/>
          <w:sz w:val="22"/>
          <w:szCs w:val="22"/>
        </w:rPr>
        <w:t>for the purposes of these procedures, are for an offence of any kind in relation to the mature age student applicant. If the pending charge is for a disqualifying offence it will prevent the applicant from enrolling in any Northern Territory school.</w:t>
      </w:r>
    </w:p>
    <w:p w:rsidR="00641CF3" w:rsidRPr="004B2277" w:rsidRDefault="00641CF3" w:rsidP="00641CF3">
      <w:pPr>
        <w:pStyle w:val="BodyText"/>
        <w:spacing w:before="240" w:after="240"/>
        <w:ind w:left="425"/>
        <w:rPr>
          <w:rFonts w:ascii="Lato" w:hAnsi="Lato" w:cs="Arial"/>
          <w:sz w:val="22"/>
          <w:szCs w:val="22"/>
        </w:rPr>
      </w:pPr>
      <w:r w:rsidRPr="004B2277">
        <w:rPr>
          <w:rFonts w:ascii="Lato" w:hAnsi="Lato" w:cs="Arial"/>
          <w:b/>
          <w:sz w:val="22"/>
          <w:szCs w:val="22"/>
        </w:rPr>
        <w:t>Vetting entity</w:t>
      </w:r>
      <w:r w:rsidRPr="004B2277">
        <w:rPr>
          <w:rFonts w:ascii="Lato" w:hAnsi="Lato" w:cs="Arial"/>
          <w:sz w:val="22"/>
          <w:szCs w:val="22"/>
        </w:rPr>
        <w:t xml:space="preserve"> is a body that reviews criminal record reports and details of pending charges, submitted by prospective mature age students as part of their enrolment application, to determine if the applicant has committed offences or has pending charges that would disqualify them from enrolling in a government school. The vetting entities for the Department of Education are the Executive Directors Schools North and South.</w:t>
      </w:r>
      <w:r w:rsidRPr="004B2277">
        <w:rPr>
          <w:rFonts w:ascii="Lato" w:hAnsi="Lato" w:cs="Arial"/>
          <w:sz w:val="22"/>
          <w:szCs w:val="22"/>
        </w:rPr>
        <w:br/>
      </w:r>
    </w:p>
    <w:p w:rsidR="00641CF3" w:rsidRPr="004B2277" w:rsidRDefault="00641CF3" w:rsidP="00641CF3">
      <w:pPr>
        <w:pStyle w:val="Heading3"/>
        <w:numPr>
          <w:ilvl w:val="0"/>
          <w:numId w:val="47"/>
        </w:numPr>
        <w:spacing w:before="240" w:after="240"/>
        <w:ind w:left="714" w:hanging="357"/>
        <w:rPr>
          <w:rFonts w:ascii="Lato" w:hAnsi="Lato"/>
          <w:sz w:val="28"/>
          <w:szCs w:val="28"/>
          <w:lang w:val="en-US"/>
        </w:rPr>
      </w:pPr>
      <w:r w:rsidRPr="004B2277">
        <w:rPr>
          <w:rFonts w:ascii="Lato" w:hAnsi="Lato"/>
          <w:sz w:val="28"/>
          <w:szCs w:val="28"/>
          <w:lang w:val="en-US"/>
        </w:rPr>
        <w:t xml:space="preserve">ROLES AND RESPONSIBILITIES </w:t>
      </w:r>
    </w:p>
    <w:p w:rsidR="00641CF3" w:rsidRPr="004B2277" w:rsidRDefault="00641CF3" w:rsidP="00641CF3">
      <w:pPr>
        <w:spacing w:before="240"/>
        <w:ind w:left="357"/>
        <w:rPr>
          <w:rFonts w:ascii="Lato" w:hAnsi="Lato"/>
          <w:b/>
          <w:sz w:val="22"/>
        </w:rPr>
      </w:pPr>
      <w:r w:rsidRPr="004B2277">
        <w:rPr>
          <w:rFonts w:ascii="Lato" w:hAnsi="Lato"/>
          <w:b/>
          <w:sz w:val="22"/>
        </w:rPr>
        <w:t xml:space="preserve">The Chief Executive </w:t>
      </w:r>
    </w:p>
    <w:p w:rsidR="00641CF3" w:rsidRPr="004B2277" w:rsidRDefault="00641CF3" w:rsidP="00641CF3">
      <w:pPr>
        <w:pStyle w:val="ListParagraph"/>
        <w:numPr>
          <w:ilvl w:val="0"/>
          <w:numId w:val="46"/>
        </w:numPr>
        <w:ind w:left="714" w:hanging="357"/>
        <w:rPr>
          <w:rFonts w:ascii="Lato" w:hAnsi="Lato"/>
          <w:sz w:val="22"/>
        </w:rPr>
      </w:pPr>
      <w:r w:rsidRPr="004B2277">
        <w:rPr>
          <w:rFonts w:ascii="Lato" w:hAnsi="Lato"/>
          <w:sz w:val="22"/>
        </w:rPr>
        <w:t xml:space="preserve">Completes the final stage of the complaints process when a mature age student applicant requests a review of an enrolment decision made by a principal. </w:t>
      </w:r>
    </w:p>
    <w:p w:rsidR="00641CF3" w:rsidRPr="004B2277" w:rsidRDefault="00641CF3" w:rsidP="00641CF3">
      <w:pPr>
        <w:rPr>
          <w:rFonts w:ascii="Lato" w:hAnsi="Lato"/>
          <w:sz w:val="22"/>
        </w:rPr>
      </w:pPr>
      <w:r w:rsidRPr="004B2277">
        <w:rPr>
          <w:rFonts w:ascii="Lato" w:hAnsi="Lato"/>
          <w:sz w:val="22"/>
        </w:rPr>
        <w:t xml:space="preserve">    </w:t>
      </w:r>
    </w:p>
    <w:p w:rsidR="00641CF3" w:rsidRPr="004B2277" w:rsidRDefault="00641CF3" w:rsidP="00641CF3">
      <w:pPr>
        <w:ind w:left="340"/>
        <w:rPr>
          <w:rFonts w:ascii="Lato" w:hAnsi="Lato"/>
          <w:b/>
          <w:sz w:val="22"/>
        </w:rPr>
      </w:pPr>
      <w:r w:rsidRPr="004B2277">
        <w:rPr>
          <w:rFonts w:ascii="Lato" w:hAnsi="Lato"/>
          <w:b/>
          <w:sz w:val="22"/>
        </w:rPr>
        <w:t>The vetting entity must, according to the procedures in Part 4 below:</w:t>
      </w:r>
    </w:p>
    <w:p w:rsidR="00641CF3" w:rsidRPr="004B2277" w:rsidRDefault="00641CF3" w:rsidP="00641CF3">
      <w:pPr>
        <w:numPr>
          <w:ilvl w:val="0"/>
          <w:numId w:val="44"/>
        </w:numPr>
        <w:shd w:val="clear" w:color="auto" w:fill="FFFFFF"/>
        <w:spacing w:after="240"/>
        <w:ind w:left="754" w:hanging="357"/>
        <w:textAlignment w:val="top"/>
        <w:rPr>
          <w:rFonts w:ascii="Lato" w:hAnsi="Lato"/>
          <w:sz w:val="22"/>
        </w:rPr>
      </w:pPr>
      <w:r w:rsidRPr="004B2277">
        <w:rPr>
          <w:rFonts w:ascii="Lato" w:hAnsi="Lato"/>
          <w:sz w:val="22"/>
        </w:rPr>
        <w:t xml:space="preserve">check all criminal record reports and details of pending charges for mature age students, who have not been enrolled in a school in the preceding 12 months and wish to return to school, against the list of disqualifying offences, so that applicants with reports or pending charges for disqualifying offences are not accepted for enrolment in a government school (Attachment A Disqualifying offences, Sections 57 to 65 of the </w:t>
      </w:r>
      <w:r w:rsidRPr="004B2277">
        <w:rPr>
          <w:rFonts w:ascii="Lato" w:hAnsi="Lato"/>
          <w:i/>
          <w:sz w:val="22"/>
        </w:rPr>
        <w:t>Education Act</w:t>
      </w:r>
      <w:r w:rsidRPr="004B2277">
        <w:rPr>
          <w:rFonts w:ascii="Lato" w:hAnsi="Lato"/>
          <w:sz w:val="22"/>
        </w:rPr>
        <w:t xml:space="preserve"> and Schedule 1 of the Education Regulations refer)</w:t>
      </w:r>
    </w:p>
    <w:p w:rsidR="00641CF3" w:rsidRPr="004B2277" w:rsidRDefault="00641CF3" w:rsidP="00641CF3">
      <w:pPr>
        <w:numPr>
          <w:ilvl w:val="0"/>
          <w:numId w:val="44"/>
        </w:numPr>
        <w:shd w:val="clear" w:color="auto" w:fill="FFFFFF"/>
        <w:spacing w:after="240"/>
        <w:ind w:left="754" w:hanging="357"/>
        <w:textAlignment w:val="top"/>
        <w:rPr>
          <w:rFonts w:ascii="Lato" w:hAnsi="Lato"/>
          <w:sz w:val="22"/>
        </w:rPr>
      </w:pPr>
      <w:r w:rsidRPr="004B2277">
        <w:rPr>
          <w:rFonts w:ascii="Lato" w:hAnsi="Lato"/>
          <w:sz w:val="22"/>
        </w:rPr>
        <w:t>pass on information to school principals, about other relevant offences, pending charges or patterns of offences or charges for the applicant, that are not disqualifying offences</w:t>
      </w:r>
    </w:p>
    <w:p w:rsidR="00641CF3" w:rsidRPr="004B2277" w:rsidRDefault="00641CF3" w:rsidP="00641CF3">
      <w:pPr>
        <w:numPr>
          <w:ilvl w:val="0"/>
          <w:numId w:val="44"/>
        </w:numPr>
        <w:shd w:val="clear" w:color="auto" w:fill="FFFFFF"/>
        <w:spacing w:after="240"/>
        <w:ind w:left="754" w:hanging="357"/>
        <w:textAlignment w:val="top"/>
        <w:rPr>
          <w:rFonts w:ascii="Lato" w:hAnsi="Lato"/>
          <w:sz w:val="22"/>
        </w:rPr>
      </w:pPr>
      <w:proofErr w:type="gramStart"/>
      <w:r w:rsidRPr="004B2277">
        <w:rPr>
          <w:rFonts w:ascii="Lato" w:hAnsi="Lato"/>
          <w:sz w:val="22"/>
        </w:rPr>
        <w:t>ensure</w:t>
      </w:r>
      <w:proofErr w:type="gramEnd"/>
      <w:r w:rsidRPr="004B2277">
        <w:rPr>
          <w:rFonts w:ascii="Lato" w:hAnsi="Lato"/>
          <w:sz w:val="22"/>
        </w:rPr>
        <w:t xml:space="preserve"> that confidential information related to criminal history records remains secure and is disposed of as soon as it is no longer needed.</w:t>
      </w:r>
    </w:p>
    <w:p w:rsidR="00641CF3" w:rsidRPr="004B2277" w:rsidRDefault="00641CF3" w:rsidP="00641CF3">
      <w:pPr>
        <w:pStyle w:val="Heading3"/>
        <w:numPr>
          <w:ilvl w:val="0"/>
          <w:numId w:val="47"/>
        </w:numPr>
        <w:spacing w:before="240" w:after="240"/>
        <w:ind w:left="714" w:hanging="357"/>
        <w:rPr>
          <w:rFonts w:ascii="Lato" w:hAnsi="Lato"/>
          <w:sz w:val="28"/>
          <w:szCs w:val="28"/>
          <w:lang w:val="en-US"/>
        </w:rPr>
      </w:pPr>
      <w:r w:rsidRPr="004B2277">
        <w:rPr>
          <w:rFonts w:ascii="Lato" w:hAnsi="Lato"/>
          <w:sz w:val="28"/>
          <w:szCs w:val="28"/>
          <w:lang w:val="en-US"/>
        </w:rPr>
        <w:t>PROCEDURES</w:t>
      </w:r>
      <w:r w:rsidRPr="004B2277">
        <w:rPr>
          <w:rFonts w:ascii="Lato" w:hAnsi="Lato"/>
          <w:sz w:val="28"/>
          <w:szCs w:val="28"/>
          <w:lang w:val="en-US"/>
        </w:rPr>
        <w:br/>
      </w:r>
      <w:r w:rsidRPr="004B2277">
        <w:rPr>
          <w:rFonts w:ascii="Lato" w:hAnsi="Lato"/>
          <w:b w:val="0"/>
          <w:sz w:val="22"/>
          <w:szCs w:val="22"/>
          <w:lang w:val="en-US"/>
        </w:rPr>
        <w:t>The following steps outline the vetting entity application assessment process.</w:t>
      </w:r>
    </w:p>
    <w:p w:rsidR="00641CF3" w:rsidRPr="004B2277" w:rsidRDefault="00641CF3" w:rsidP="00641CF3">
      <w:pPr>
        <w:pStyle w:val="Heading4"/>
        <w:numPr>
          <w:ilvl w:val="1"/>
          <w:numId w:val="47"/>
        </w:numPr>
        <w:rPr>
          <w:rFonts w:ascii="Lato" w:hAnsi="Lato"/>
          <w:sz w:val="22"/>
          <w:szCs w:val="22"/>
          <w:lang w:val="en-US"/>
        </w:rPr>
      </w:pPr>
      <w:bookmarkStart w:id="0" w:name="_4.1_Process_of"/>
      <w:bookmarkEnd w:id="0"/>
      <w:r w:rsidRPr="004B2277">
        <w:rPr>
          <w:rFonts w:ascii="Lato" w:hAnsi="Lato"/>
          <w:sz w:val="22"/>
          <w:szCs w:val="22"/>
          <w:lang w:val="en-US"/>
        </w:rPr>
        <w:t xml:space="preserve">Receipt of application information </w:t>
      </w:r>
    </w:p>
    <w:p w:rsidR="00641CF3" w:rsidRPr="004B2277" w:rsidRDefault="00641CF3" w:rsidP="00641CF3">
      <w:pPr>
        <w:ind w:left="360"/>
        <w:rPr>
          <w:rFonts w:ascii="Lato" w:hAnsi="Lato"/>
          <w:sz w:val="22"/>
          <w:szCs w:val="22"/>
          <w:lang w:val="en-US"/>
        </w:rPr>
      </w:pPr>
      <w:r w:rsidRPr="004B2277">
        <w:rPr>
          <w:rFonts w:ascii="Lato" w:hAnsi="Lato"/>
          <w:sz w:val="22"/>
          <w:szCs w:val="22"/>
          <w:lang w:val="en-US"/>
        </w:rPr>
        <w:t>Check that you have the following documents and that they have been completed correctly:</w:t>
      </w:r>
    </w:p>
    <w:p w:rsidR="00641CF3" w:rsidRPr="004B2277" w:rsidRDefault="00641CF3" w:rsidP="00641CF3">
      <w:pPr>
        <w:pStyle w:val="ListParagraph"/>
        <w:numPr>
          <w:ilvl w:val="0"/>
          <w:numId w:val="49"/>
        </w:numPr>
        <w:rPr>
          <w:rFonts w:ascii="Lato" w:hAnsi="Lato"/>
          <w:sz w:val="22"/>
          <w:szCs w:val="22"/>
          <w:lang w:val="en-US"/>
        </w:rPr>
      </w:pPr>
      <w:r w:rsidRPr="004B2277">
        <w:rPr>
          <w:rFonts w:ascii="Lato" w:hAnsi="Lato"/>
          <w:sz w:val="22"/>
          <w:szCs w:val="22"/>
          <w:lang w:val="en-US"/>
        </w:rPr>
        <w:t xml:space="preserve">the department’s </w:t>
      </w:r>
      <w:r w:rsidRPr="004B2277">
        <w:rPr>
          <w:rFonts w:ascii="Lato" w:hAnsi="Lato"/>
          <w:i/>
          <w:sz w:val="22"/>
          <w:szCs w:val="22"/>
          <w:lang w:val="en-US"/>
        </w:rPr>
        <w:t>Student Enrolment</w:t>
      </w:r>
      <w:r w:rsidRPr="004B2277">
        <w:rPr>
          <w:rFonts w:ascii="Lato" w:hAnsi="Lato"/>
          <w:sz w:val="22"/>
          <w:szCs w:val="22"/>
          <w:lang w:val="en-US"/>
        </w:rPr>
        <w:t xml:space="preserve"> form, completed by the applicant and including photographic proof of identify</w:t>
      </w:r>
    </w:p>
    <w:p w:rsidR="00641CF3" w:rsidRPr="004B2277" w:rsidRDefault="00641CF3" w:rsidP="00641CF3">
      <w:pPr>
        <w:pStyle w:val="ListParagraph"/>
        <w:numPr>
          <w:ilvl w:val="0"/>
          <w:numId w:val="49"/>
        </w:numPr>
        <w:rPr>
          <w:rFonts w:ascii="Lato" w:hAnsi="Lato"/>
          <w:sz w:val="22"/>
          <w:szCs w:val="22"/>
          <w:lang w:val="en-US"/>
        </w:rPr>
      </w:pPr>
      <w:r w:rsidRPr="004B2277">
        <w:rPr>
          <w:rFonts w:ascii="Lato" w:hAnsi="Lato"/>
          <w:sz w:val="22"/>
          <w:szCs w:val="22"/>
          <w:lang w:val="en-US"/>
        </w:rPr>
        <w:t xml:space="preserve">a criminal record report, that has been requested and paid for by the applicant, issued by SAFE NT </w:t>
      </w:r>
    </w:p>
    <w:p w:rsidR="00641CF3" w:rsidRPr="004B2277" w:rsidRDefault="00641CF3" w:rsidP="00641CF3">
      <w:pPr>
        <w:pStyle w:val="ListParagraph"/>
        <w:numPr>
          <w:ilvl w:val="0"/>
          <w:numId w:val="49"/>
        </w:numPr>
        <w:rPr>
          <w:rFonts w:ascii="Lato" w:hAnsi="Lato"/>
          <w:sz w:val="22"/>
          <w:szCs w:val="22"/>
          <w:lang w:val="en-US"/>
        </w:rPr>
      </w:pPr>
      <w:proofErr w:type="gramStart"/>
      <w:r w:rsidRPr="004B2277">
        <w:rPr>
          <w:rFonts w:ascii="Lato" w:hAnsi="Lato"/>
          <w:sz w:val="22"/>
          <w:szCs w:val="22"/>
          <w:lang w:val="en-US"/>
        </w:rPr>
        <w:t>a</w:t>
      </w:r>
      <w:proofErr w:type="gramEnd"/>
      <w:r w:rsidRPr="004B2277">
        <w:rPr>
          <w:rFonts w:ascii="Lato" w:hAnsi="Lato"/>
          <w:sz w:val="22"/>
          <w:szCs w:val="22"/>
          <w:lang w:val="en-US"/>
        </w:rPr>
        <w:t xml:space="preserve"> completed </w:t>
      </w:r>
      <w:r w:rsidRPr="004B2277">
        <w:rPr>
          <w:rFonts w:ascii="Lato" w:hAnsi="Lato"/>
          <w:i/>
          <w:sz w:val="22"/>
          <w:szCs w:val="22"/>
          <w:lang w:val="en-US"/>
        </w:rPr>
        <w:t>Mature Age Student Pending Charges Declaration</w:t>
      </w:r>
      <w:r w:rsidRPr="004B2277">
        <w:rPr>
          <w:rFonts w:ascii="Lato" w:hAnsi="Lato"/>
          <w:sz w:val="22"/>
          <w:szCs w:val="22"/>
          <w:lang w:val="en-US"/>
        </w:rPr>
        <w:t>.</w:t>
      </w:r>
    </w:p>
    <w:p w:rsidR="00641CF3" w:rsidRPr="004B2277" w:rsidRDefault="00641CF3" w:rsidP="00641CF3">
      <w:pPr>
        <w:ind w:left="1080"/>
        <w:rPr>
          <w:rFonts w:ascii="Lato" w:hAnsi="Lato"/>
          <w:sz w:val="22"/>
          <w:szCs w:val="22"/>
          <w:lang w:val="en-US"/>
        </w:rPr>
      </w:pPr>
    </w:p>
    <w:p w:rsidR="00641CF3" w:rsidRPr="004B2277" w:rsidRDefault="00641CF3" w:rsidP="00641CF3">
      <w:pPr>
        <w:ind w:left="360"/>
        <w:rPr>
          <w:rFonts w:ascii="Lato" w:hAnsi="Lato"/>
          <w:sz w:val="22"/>
          <w:szCs w:val="22"/>
          <w:lang w:val="en-US"/>
        </w:rPr>
      </w:pPr>
      <w:r w:rsidRPr="004B2277">
        <w:rPr>
          <w:rFonts w:ascii="Lato" w:hAnsi="Lato"/>
          <w:sz w:val="22"/>
          <w:szCs w:val="22"/>
          <w:lang w:val="en-US"/>
        </w:rPr>
        <w:t xml:space="preserve">The enrolment application and related information may arrive either together, as one part, or separately, from a number of different sources such as: </w:t>
      </w:r>
    </w:p>
    <w:p w:rsidR="00641CF3" w:rsidRPr="004B2277" w:rsidRDefault="00641CF3" w:rsidP="00641CF3">
      <w:pPr>
        <w:pStyle w:val="ListParagraph"/>
        <w:numPr>
          <w:ilvl w:val="0"/>
          <w:numId w:val="49"/>
        </w:numPr>
        <w:rPr>
          <w:rFonts w:ascii="Lato" w:hAnsi="Lato"/>
          <w:sz w:val="22"/>
          <w:szCs w:val="22"/>
          <w:lang w:val="en-US"/>
        </w:rPr>
      </w:pPr>
      <w:r w:rsidRPr="004B2277">
        <w:rPr>
          <w:rFonts w:ascii="Lato" w:hAnsi="Lato"/>
          <w:sz w:val="22"/>
          <w:szCs w:val="22"/>
          <w:lang w:val="en-US"/>
        </w:rPr>
        <w:t>the school</w:t>
      </w:r>
    </w:p>
    <w:p w:rsidR="00641CF3" w:rsidRPr="004B2277" w:rsidRDefault="00641CF3" w:rsidP="00641CF3">
      <w:pPr>
        <w:pStyle w:val="ListParagraph"/>
        <w:numPr>
          <w:ilvl w:val="0"/>
          <w:numId w:val="49"/>
        </w:numPr>
        <w:rPr>
          <w:rFonts w:ascii="Lato" w:hAnsi="Lato"/>
          <w:sz w:val="22"/>
          <w:szCs w:val="22"/>
          <w:lang w:val="en-US"/>
        </w:rPr>
      </w:pPr>
      <w:r w:rsidRPr="004B2277">
        <w:rPr>
          <w:rFonts w:ascii="Lato" w:hAnsi="Lato"/>
          <w:sz w:val="22"/>
          <w:szCs w:val="22"/>
          <w:lang w:val="en-US"/>
        </w:rPr>
        <w:t>the applicant</w:t>
      </w:r>
    </w:p>
    <w:p w:rsidR="00641CF3" w:rsidRPr="004B2277" w:rsidRDefault="00641CF3" w:rsidP="00641CF3">
      <w:pPr>
        <w:pStyle w:val="ListParagraph"/>
        <w:numPr>
          <w:ilvl w:val="0"/>
          <w:numId w:val="49"/>
        </w:numPr>
        <w:rPr>
          <w:rFonts w:ascii="Lato" w:hAnsi="Lato"/>
          <w:sz w:val="22"/>
          <w:szCs w:val="22"/>
          <w:lang w:val="en-US"/>
        </w:rPr>
      </w:pPr>
      <w:proofErr w:type="gramStart"/>
      <w:r w:rsidRPr="004B2277">
        <w:rPr>
          <w:rFonts w:ascii="Lato" w:hAnsi="Lato"/>
          <w:sz w:val="22"/>
          <w:szCs w:val="22"/>
          <w:lang w:val="en-US"/>
        </w:rPr>
        <w:t>directly</w:t>
      </w:r>
      <w:proofErr w:type="gramEnd"/>
      <w:r w:rsidRPr="004B2277">
        <w:rPr>
          <w:rFonts w:ascii="Lato" w:hAnsi="Lato"/>
          <w:sz w:val="22"/>
          <w:szCs w:val="22"/>
          <w:lang w:val="en-US"/>
        </w:rPr>
        <w:t xml:space="preserve"> from SAFE NT.</w:t>
      </w:r>
    </w:p>
    <w:p w:rsidR="00641CF3" w:rsidRPr="004B2277" w:rsidRDefault="00641CF3" w:rsidP="00641CF3">
      <w:pPr>
        <w:rPr>
          <w:rFonts w:ascii="Lato" w:hAnsi="Lato"/>
          <w:sz w:val="22"/>
          <w:szCs w:val="22"/>
          <w:lang w:val="en-US"/>
        </w:rPr>
      </w:pPr>
    </w:p>
    <w:p w:rsidR="00641CF3" w:rsidRPr="004B2277" w:rsidRDefault="00641CF3" w:rsidP="00641CF3">
      <w:pPr>
        <w:ind w:left="360"/>
        <w:rPr>
          <w:rFonts w:ascii="Lato" w:hAnsi="Lato"/>
          <w:sz w:val="22"/>
          <w:szCs w:val="22"/>
          <w:lang w:val="en-US"/>
        </w:rPr>
      </w:pPr>
      <w:r w:rsidRPr="004B2277">
        <w:rPr>
          <w:rFonts w:ascii="Lato" w:hAnsi="Lato"/>
          <w:sz w:val="22"/>
          <w:szCs w:val="22"/>
          <w:lang w:val="en-US"/>
        </w:rPr>
        <w:t>You can only proceed with the review when you have received all parts of the application and you are not responsible for following up incomplete applications.</w:t>
      </w:r>
    </w:p>
    <w:p w:rsidR="00641CF3" w:rsidRPr="004B2277" w:rsidRDefault="00641CF3" w:rsidP="00641CF3">
      <w:pPr>
        <w:rPr>
          <w:rFonts w:ascii="Lato" w:hAnsi="Lato"/>
          <w:sz w:val="22"/>
          <w:szCs w:val="22"/>
          <w:lang w:val="en-US"/>
        </w:rPr>
      </w:pPr>
    </w:p>
    <w:p w:rsidR="00641CF3" w:rsidRPr="004B2277" w:rsidRDefault="00641CF3" w:rsidP="00641CF3">
      <w:pPr>
        <w:pStyle w:val="Heading4"/>
        <w:numPr>
          <w:ilvl w:val="1"/>
          <w:numId w:val="47"/>
        </w:numPr>
        <w:rPr>
          <w:rFonts w:ascii="Lato" w:hAnsi="Lato"/>
          <w:sz w:val="22"/>
          <w:szCs w:val="22"/>
          <w:lang w:val="en-US"/>
        </w:rPr>
      </w:pPr>
      <w:r w:rsidRPr="004B2277">
        <w:rPr>
          <w:rFonts w:ascii="Lato" w:hAnsi="Lato"/>
          <w:sz w:val="22"/>
          <w:szCs w:val="22"/>
          <w:lang w:val="en-US"/>
        </w:rPr>
        <w:lastRenderedPageBreak/>
        <w:t>Recording and saving confidential information</w:t>
      </w:r>
    </w:p>
    <w:p w:rsidR="00641CF3" w:rsidRPr="004B2277" w:rsidRDefault="00641CF3" w:rsidP="00641CF3">
      <w:pPr>
        <w:pStyle w:val="BodyText"/>
        <w:spacing w:after="0"/>
        <w:ind w:left="425"/>
        <w:rPr>
          <w:rFonts w:ascii="Lato" w:hAnsi="Lato" w:cs="Arial"/>
          <w:sz w:val="22"/>
          <w:szCs w:val="22"/>
          <w:lang w:val="en-GB"/>
        </w:rPr>
      </w:pPr>
      <w:r w:rsidRPr="004B2277">
        <w:rPr>
          <w:rFonts w:ascii="Lato" w:hAnsi="Lato" w:cs="Arial"/>
          <w:sz w:val="22"/>
          <w:szCs w:val="22"/>
          <w:lang w:val="en-GB"/>
        </w:rPr>
        <w:t>You must protect information and ensure confidentiality. Criminal record reports and related confidential criminal history information (both hard copies and electronic documents) for mature age student enrolment applications must:</w:t>
      </w:r>
    </w:p>
    <w:p w:rsidR="00641CF3" w:rsidRPr="004B2277" w:rsidRDefault="00641CF3" w:rsidP="00641CF3">
      <w:pPr>
        <w:pStyle w:val="BodyText"/>
        <w:numPr>
          <w:ilvl w:val="0"/>
          <w:numId w:val="48"/>
        </w:numPr>
        <w:spacing w:after="0"/>
        <w:rPr>
          <w:rFonts w:ascii="Lato" w:hAnsi="Lato" w:cs="Arial"/>
          <w:sz w:val="22"/>
          <w:szCs w:val="22"/>
          <w:lang w:val="en-GB"/>
        </w:rPr>
      </w:pPr>
      <w:r w:rsidRPr="004B2277">
        <w:rPr>
          <w:rFonts w:ascii="Lato" w:hAnsi="Lato" w:cs="Arial"/>
          <w:sz w:val="22"/>
          <w:szCs w:val="22"/>
          <w:lang w:val="en-GB"/>
        </w:rPr>
        <w:t>not be viewed by anyone other than the vetting entity</w:t>
      </w:r>
    </w:p>
    <w:p w:rsidR="00641CF3" w:rsidRPr="004B2277" w:rsidRDefault="00641CF3" w:rsidP="00641CF3">
      <w:pPr>
        <w:pStyle w:val="BodyText"/>
        <w:numPr>
          <w:ilvl w:val="0"/>
          <w:numId w:val="48"/>
        </w:numPr>
        <w:spacing w:after="0"/>
        <w:rPr>
          <w:rFonts w:ascii="Lato" w:hAnsi="Lato" w:cs="Arial"/>
          <w:sz w:val="22"/>
          <w:szCs w:val="22"/>
          <w:lang w:val="en-GB"/>
        </w:rPr>
      </w:pPr>
      <w:r w:rsidRPr="004B2277">
        <w:rPr>
          <w:rFonts w:ascii="Lato" w:hAnsi="Lato" w:cs="Arial"/>
          <w:sz w:val="22"/>
          <w:szCs w:val="22"/>
          <w:lang w:val="en-GB"/>
        </w:rPr>
        <w:t>be kept in a locked drawer</w:t>
      </w:r>
    </w:p>
    <w:p w:rsidR="00641CF3" w:rsidRPr="004B2277" w:rsidRDefault="00641CF3" w:rsidP="00641CF3">
      <w:pPr>
        <w:pStyle w:val="BodyText"/>
        <w:numPr>
          <w:ilvl w:val="0"/>
          <w:numId w:val="48"/>
        </w:numPr>
        <w:spacing w:after="0"/>
        <w:rPr>
          <w:rFonts w:ascii="Lato" w:hAnsi="Lato" w:cs="Arial"/>
          <w:sz w:val="22"/>
          <w:szCs w:val="22"/>
          <w:lang w:val="en-GB"/>
        </w:rPr>
      </w:pPr>
      <w:r w:rsidRPr="004B2277">
        <w:rPr>
          <w:rFonts w:ascii="Lato" w:hAnsi="Lato" w:cs="Arial"/>
          <w:sz w:val="22"/>
          <w:szCs w:val="22"/>
          <w:lang w:val="en-GB"/>
        </w:rPr>
        <w:t xml:space="preserve">not be left in the open or on a desk </w:t>
      </w:r>
    </w:p>
    <w:p w:rsidR="00641CF3" w:rsidRPr="004B2277" w:rsidRDefault="00641CF3" w:rsidP="00641CF3">
      <w:pPr>
        <w:pStyle w:val="BodyText"/>
        <w:numPr>
          <w:ilvl w:val="0"/>
          <w:numId w:val="48"/>
        </w:numPr>
        <w:spacing w:after="0"/>
        <w:ind w:left="1196" w:hanging="357"/>
        <w:rPr>
          <w:rFonts w:ascii="Lato" w:hAnsi="Lato" w:cs="Arial"/>
          <w:sz w:val="22"/>
          <w:szCs w:val="22"/>
          <w:lang w:val="en-GB"/>
        </w:rPr>
      </w:pPr>
      <w:r w:rsidRPr="004B2277">
        <w:rPr>
          <w:rFonts w:ascii="Lato" w:hAnsi="Lato" w:cs="Arial"/>
          <w:sz w:val="22"/>
          <w:szCs w:val="22"/>
          <w:lang w:val="en-GB"/>
        </w:rPr>
        <w:t>not be recorded on TRIM or any other general access electronic system</w:t>
      </w:r>
    </w:p>
    <w:p w:rsidR="00641CF3" w:rsidRPr="004B2277" w:rsidRDefault="00641CF3" w:rsidP="00641CF3">
      <w:pPr>
        <w:pStyle w:val="BodyText"/>
        <w:numPr>
          <w:ilvl w:val="0"/>
          <w:numId w:val="48"/>
        </w:numPr>
        <w:spacing w:after="0"/>
        <w:ind w:left="1196" w:hanging="357"/>
        <w:rPr>
          <w:rFonts w:ascii="Lato" w:hAnsi="Lato" w:cs="Arial"/>
          <w:sz w:val="22"/>
          <w:szCs w:val="22"/>
          <w:lang w:val="en-GB"/>
        </w:rPr>
      </w:pPr>
      <w:proofErr w:type="gramStart"/>
      <w:r w:rsidRPr="004B2277">
        <w:rPr>
          <w:rFonts w:ascii="Lato" w:hAnsi="Lato" w:cs="Arial"/>
          <w:sz w:val="22"/>
          <w:szCs w:val="22"/>
          <w:lang w:val="en-GB"/>
        </w:rPr>
        <w:t>be</w:t>
      </w:r>
      <w:proofErr w:type="gramEnd"/>
      <w:r w:rsidRPr="004B2277">
        <w:rPr>
          <w:rFonts w:ascii="Lato" w:hAnsi="Lato" w:cs="Arial"/>
          <w:sz w:val="22"/>
          <w:szCs w:val="22"/>
          <w:lang w:val="en-GB"/>
        </w:rPr>
        <w:t xml:space="preserve"> destroyed when they are no longer needed for the purpose for which they were obtained (electronic and hard copies at the same time).</w:t>
      </w:r>
    </w:p>
    <w:p w:rsidR="00641CF3" w:rsidRPr="004B2277" w:rsidRDefault="00641CF3" w:rsidP="00641CF3">
      <w:pPr>
        <w:pStyle w:val="BodyText"/>
        <w:spacing w:after="0"/>
        <w:ind w:left="65"/>
        <w:rPr>
          <w:rFonts w:ascii="Lato" w:hAnsi="Lato"/>
          <w:sz w:val="22"/>
          <w:szCs w:val="22"/>
          <w:lang w:val="en-US"/>
        </w:rPr>
      </w:pPr>
    </w:p>
    <w:p w:rsidR="00641CF3" w:rsidRPr="004B2277" w:rsidRDefault="00641CF3" w:rsidP="00641CF3">
      <w:pPr>
        <w:pStyle w:val="BodyText"/>
        <w:spacing w:after="0"/>
        <w:ind w:left="425"/>
        <w:rPr>
          <w:rFonts w:ascii="Lato" w:hAnsi="Lato" w:cs="Arial"/>
          <w:sz w:val="22"/>
          <w:szCs w:val="22"/>
          <w:lang w:val="en-GB"/>
        </w:rPr>
      </w:pPr>
      <w:r w:rsidRPr="004B2277">
        <w:rPr>
          <w:rFonts w:ascii="Lato" w:hAnsi="Lato" w:cs="Arial"/>
          <w:sz w:val="22"/>
          <w:szCs w:val="22"/>
          <w:lang w:val="en-GB"/>
        </w:rPr>
        <w:t xml:space="preserve">All criminal record reports and details of pending charges that you receive are solely for the purposes of assessing enrolment suitability and must not be shared with department staff or any other organisation unless required to do so by law or unless the applicant provides written consent. </w:t>
      </w:r>
    </w:p>
    <w:p w:rsidR="00641CF3" w:rsidRPr="004B2277" w:rsidRDefault="00641CF3" w:rsidP="00641CF3">
      <w:pPr>
        <w:pStyle w:val="BodyText"/>
        <w:spacing w:after="0"/>
        <w:ind w:left="425"/>
        <w:rPr>
          <w:rFonts w:ascii="Lato" w:hAnsi="Lato" w:cs="Arial"/>
          <w:sz w:val="22"/>
          <w:szCs w:val="22"/>
          <w:lang w:val="en-GB"/>
        </w:rPr>
      </w:pPr>
    </w:p>
    <w:p w:rsidR="00641CF3" w:rsidRPr="004B2277" w:rsidRDefault="00641CF3" w:rsidP="00641CF3">
      <w:pPr>
        <w:pStyle w:val="BodyText"/>
        <w:spacing w:after="0"/>
        <w:ind w:left="425"/>
        <w:rPr>
          <w:rFonts w:ascii="Lato" w:hAnsi="Lato" w:cs="Arial"/>
          <w:sz w:val="22"/>
          <w:szCs w:val="22"/>
          <w:lang w:val="en-GB"/>
        </w:rPr>
      </w:pPr>
      <w:r w:rsidRPr="004B2277">
        <w:rPr>
          <w:rFonts w:ascii="Lato" w:hAnsi="Lato" w:cs="Arial"/>
          <w:sz w:val="22"/>
          <w:szCs w:val="22"/>
          <w:lang w:val="en-GB"/>
        </w:rPr>
        <w:t>You must ensure that information obtained is destroyed when the information is no longer needed for the purpose for which it was obtained. This includes ensuring that school principals have destroyed any details of criminal record reports or pending charges that you have sent to them as part of the enrolment consideration process.</w:t>
      </w:r>
    </w:p>
    <w:p w:rsidR="00641CF3" w:rsidRPr="004B2277" w:rsidRDefault="00641CF3" w:rsidP="00641CF3">
      <w:pPr>
        <w:pStyle w:val="BodyText"/>
        <w:spacing w:after="0"/>
        <w:ind w:left="425"/>
        <w:rPr>
          <w:rFonts w:ascii="Lato" w:hAnsi="Lato" w:cs="Arial"/>
          <w:sz w:val="22"/>
          <w:szCs w:val="22"/>
          <w:lang w:val="en-GB"/>
        </w:rPr>
      </w:pPr>
    </w:p>
    <w:p w:rsidR="00641CF3" w:rsidRPr="004B2277" w:rsidRDefault="00641CF3" w:rsidP="00641CF3">
      <w:pPr>
        <w:pStyle w:val="Heading4"/>
        <w:numPr>
          <w:ilvl w:val="1"/>
          <w:numId w:val="47"/>
        </w:numPr>
        <w:rPr>
          <w:rFonts w:ascii="Lato" w:hAnsi="Lato"/>
          <w:sz w:val="22"/>
          <w:szCs w:val="22"/>
          <w:lang w:val="en-US"/>
        </w:rPr>
      </w:pPr>
      <w:r w:rsidRPr="004B2277">
        <w:rPr>
          <w:rFonts w:ascii="Lato" w:hAnsi="Lato"/>
          <w:sz w:val="22"/>
          <w:szCs w:val="22"/>
          <w:lang w:val="en-US"/>
        </w:rPr>
        <w:t>Review of enrolment application information</w:t>
      </w:r>
    </w:p>
    <w:p w:rsidR="00641CF3" w:rsidRPr="004B2277" w:rsidRDefault="00641CF3" w:rsidP="00641CF3">
      <w:pPr>
        <w:ind w:left="397"/>
        <w:rPr>
          <w:rFonts w:ascii="Lato" w:hAnsi="Lato" w:cs="Arial"/>
          <w:sz w:val="22"/>
          <w:szCs w:val="22"/>
          <w:lang w:val="en-GB"/>
        </w:rPr>
      </w:pPr>
      <w:r w:rsidRPr="004B2277">
        <w:rPr>
          <w:rFonts w:ascii="Lato" w:hAnsi="Lato" w:cs="Arial"/>
          <w:sz w:val="22"/>
          <w:szCs w:val="22"/>
          <w:lang w:val="en-GB"/>
        </w:rPr>
        <w:t xml:space="preserve">You must review the criminal record report and summary of pending charges according to the categories of offence or charge listed below. </w:t>
      </w:r>
    </w:p>
    <w:p w:rsidR="00641CF3" w:rsidRPr="004B2277" w:rsidRDefault="00641CF3" w:rsidP="00641CF3">
      <w:pPr>
        <w:ind w:left="397"/>
        <w:rPr>
          <w:rFonts w:ascii="Lato" w:hAnsi="Lato" w:cs="Arial"/>
          <w:sz w:val="22"/>
          <w:szCs w:val="22"/>
          <w:lang w:val="en-GB"/>
        </w:rPr>
      </w:pPr>
    </w:p>
    <w:p w:rsidR="00641CF3" w:rsidRPr="004B2277" w:rsidRDefault="00641CF3" w:rsidP="00641CF3">
      <w:pPr>
        <w:ind w:left="397"/>
        <w:rPr>
          <w:rFonts w:ascii="Lato" w:hAnsi="Lato" w:cs="Arial"/>
          <w:sz w:val="22"/>
          <w:szCs w:val="22"/>
          <w:lang w:val="en-GB"/>
        </w:rPr>
      </w:pPr>
      <w:r w:rsidRPr="004B2277">
        <w:rPr>
          <w:rFonts w:ascii="Lato" w:hAnsi="Lato" w:cs="Arial"/>
          <w:sz w:val="22"/>
          <w:szCs w:val="22"/>
          <w:lang w:val="en-GB"/>
        </w:rPr>
        <w:t>Each category requires you to provide a different response.</w:t>
      </w:r>
    </w:p>
    <w:p w:rsidR="00641CF3" w:rsidRPr="004B2277" w:rsidRDefault="00641CF3" w:rsidP="00641CF3">
      <w:pPr>
        <w:ind w:left="720"/>
        <w:rPr>
          <w:rFonts w:ascii="Lato" w:hAnsi="Lato"/>
          <w:lang w:val="en-US"/>
        </w:rPr>
      </w:pPr>
    </w:p>
    <w:p w:rsidR="00641CF3" w:rsidRPr="004B2277" w:rsidRDefault="00641CF3" w:rsidP="00641CF3">
      <w:pPr>
        <w:pStyle w:val="Heading5"/>
        <w:numPr>
          <w:ilvl w:val="0"/>
          <w:numId w:val="50"/>
        </w:numPr>
        <w:ind w:left="1080"/>
        <w:rPr>
          <w:rFonts w:ascii="Lato" w:hAnsi="Lato"/>
          <w:sz w:val="22"/>
          <w:szCs w:val="22"/>
          <w:lang w:val="en-GB"/>
        </w:rPr>
      </w:pPr>
      <w:r w:rsidRPr="004B2277">
        <w:rPr>
          <w:rFonts w:ascii="Lato" w:hAnsi="Lato"/>
          <w:sz w:val="22"/>
          <w:szCs w:val="22"/>
          <w:lang w:val="en-GB"/>
        </w:rPr>
        <w:t xml:space="preserve">Disqualifying offences – mandatory refusal of enrolment </w:t>
      </w: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 xml:space="preserve">There are a number of criminal offences or pending charges that automatically prevent enrolment of a prospective mature age student. The disqualifying offences relate to sexual, violent or drug (where they involve children) related offences (Attachment A - Disqualifying offences refers).   </w:t>
      </w:r>
    </w:p>
    <w:p w:rsidR="00641CF3" w:rsidRPr="004B2277" w:rsidRDefault="00641CF3" w:rsidP="00641CF3">
      <w:pPr>
        <w:pStyle w:val="BodyText"/>
        <w:spacing w:after="0"/>
        <w:ind w:left="720"/>
        <w:rPr>
          <w:rFonts w:ascii="Lato" w:hAnsi="Lato" w:cs="Arial"/>
          <w:sz w:val="22"/>
          <w:szCs w:val="22"/>
          <w:lang w:val="en-GB"/>
        </w:rPr>
      </w:pP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 xml:space="preserve">Where a criminal record report includes a conviction for a disqualifying offence or the applicant has pending charges for a disqualifying offence, </w:t>
      </w:r>
      <w:r w:rsidRPr="004B2277">
        <w:rPr>
          <w:rFonts w:ascii="Lato" w:hAnsi="Lato" w:cs="Arial"/>
          <w:b/>
          <w:sz w:val="22"/>
          <w:szCs w:val="22"/>
          <w:lang w:val="en-GB"/>
        </w:rPr>
        <w:t>you have no discretion in this decision</w:t>
      </w:r>
      <w:r w:rsidRPr="004B2277">
        <w:rPr>
          <w:rFonts w:ascii="Lato" w:hAnsi="Lato" w:cs="Arial"/>
          <w:sz w:val="22"/>
          <w:szCs w:val="22"/>
          <w:lang w:val="en-GB"/>
        </w:rPr>
        <w:t xml:space="preserve"> and must refuse the application for enrolment. You must send written notification to the applicant and the principal advising of this determination (Attachment B and C templates refer). </w:t>
      </w:r>
    </w:p>
    <w:p w:rsidR="00641CF3" w:rsidRPr="004B2277" w:rsidRDefault="00641CF3" w:rsidP="00641CF3">
      <w:pPr>
        <w:pStyle w:val="BodyText"/>
        <w:spacing w:after="0"/>
        <w:ind w:left="480"/>
        <w:rPr>
          <w:rFonts w:ascii="Lato" w:hAnsi="Lato" w:cs="Arial"/>
          <w:sz w:val="22"/>
          <w:szCs w:val="22"/>
          <w:lang w:val="en-GB"/>
        </w:rPr>
      </w:pPr>
    </w:p>
    <w:p w:rsidR="00641CF3" w:rsidRPr="004B2277" w:rsidRDefault="00641CF3" w:rsidP="00641CF3">
      <w:pPr>
        <w:pStyle w:val="Heading5"/>
        <w:numPr>
          <w:ilvl w:val="0"/>
          <w:numId w:val="50"/>
        </w:numPr>
        <w:ind w:left="1080"/>
        <w:rPr>
          <w:rFonts w:ascii="Lato" w:hAnsi="Lato"/>
          <w:sz w:val="22"/>
          <w:szCs w:val="22"/>
          <w:lang w:val="en-GB"/>
        </w:rPr>
      </w:pPr>
      <w:r w:rsidRPr="004B2277">
        <w:rPr>
          <w:rFonts w:ascii="Lato" w:hAnsi="Lato"/>
          <w:sz w:val="22"/>
          <w:szCs w:val="22"/>
          <w:lang w:val="en-GB"/>
        </w:rPr>
        <w:t>Other offences – discretionary decision to give offence details to principal</w:t>
      </w: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You must consider the details of any non-disqualifying offences or pending charges and have discretion to assess whether any may be of relevance to the principal when making their decision about enrolment of the student.</w:t>
      </w:r>
    </w:p>
    <w:p w:rsidR="00641CF3" w:rsidRPr="004B2277" w:rsidRDefault="00641CF3" w:rsidP="00641CF3">
      <w:pPr>
        <w:pStyle w:val="BodyText"/>
        <w:spacing w:after="0"/>
        <w:ind w:left="720"/>
        <w:rPr>
          <w:rFonts w:ascii="Lato" w:hAnsi="Lato" w:cs="Arial"/>
          <w:sz w:val="22"/>
          <w:szCs w:val="22"/>
          <w:lang w:val="en-GB"/>
        </w:rPr>
      </w:pP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Categories of offences likely to be relevant include serious property or violent, sexual or drug related offences that are not classified as disqualifying offences.</w:t>
      </w:r>
    </w:p>
    <w:p w:rsidR="00641CF3" w:rsidRPr="004B2277" w:rsidRDefault="00641CF3" w:rsidP="00641CF3">
      <w:pPr>
        <w:pStyle w:val="BodyText"/>
        <w:spacing w:after="0"/>
        <w:ind w:left="720"/>
        <w:rPr>
          <w:rFonts w:ascii="Lato" w:hAnsi="Lato" w:cs="Arial"/>
          <w:sz w:val="22"/>
          <w:szCs w:val="22"/>
          <w:lang w:val="en-GB"/>
        </w:rPr>
      </w:pP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 xml:space="preserve">Other issues to consider are if there are multiple offences of the same type, or a pattern of offences that may have a potential negative impact on other students. </w:t>
      </w:r>
    </w:p>
    <w:p w:rsidR="00641CF3" w:rsidRPr="004B2277" w:rsidRDefault="00641CF3" w:rsidP="00641CF3">
      <w:pPr>
        <w:pStyle w:val="BodyText"/>
        <w:spacing w:after="0"/>
        <w:ind w:left="720"/>
        <w:rPr>
          <w:rFonts w:ascii="Lato" w:hAnsi="Lato" w:cs="Arial"/>
          <w:sz w:val="22"/>
          <w:szCs w:val="22"/>
          <w:lang w:val="en-GB"/>
        </w:rPr>
      </w:pP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 xml:space="preserve">If the criminal record report or details of pending charges show offences of any kind (other than a conviction for a disqualifying offence), you must, within 14 days after receiving the application for enrolment, forward the enrolment application to the school principal. You must also forward a summary of the relevant offences or pending charges, including your analysis of patterns of offences as mentioned above (Letter template at Attachment D refers). The principal will then consider the enrolment application according to the Enrolment policy and Criminal History Check for Mature Age Students guidelines. </w:t>
      </w:r>
    </w:p>
    <w:p w:rsidR="00641CF3" w:rsidRPr="004B2277" w:rsidRDefault="00641CF3" w:rsidP="00641CF3">
      <w:pPr>
        <w:pStyle w:val="BodyText"/>
        <w:spacing w:after="0"/>
        <w:ind w:left="480"/>
        <w:rPr>
          <w:rFonts w:ascii="Lato" w:hAnsi="Lato" w:cs="Arial"/>
          <w:sz w:val="22"/>
          <w:szCs w:val="22"/>
          <w:lang w:val="en-GB"/>
        </w:rPr>
      </w:pPr>
    </w:p>
    <w:p w:rsidR="00641CF3" w:rsidRPr="004B2277" w:rsidRDefault="00641CF3" w:rsidP="00641CF3">
      <w:pPr>
        <w:pStyle w:val="Heading5"/>
        <w:numPr>
          <w:ilvl w:val="0"/>
          <w:numId w:val="50"/>
        </w:numPr>
        <w:ind w:left="1080"/>
        <w:rPr>
          <w:rFonts w:ascii="Lato" w:hAnsi="Lato"/>
          <w:sz w:val="22"/>
          <w:szCs w:val="22"/>
          <w:lang w:val="en-GB"/>
        </w:rPr>
      </w:pPr>
      <w:r w:rsidRPr="004B2277">
        <w:rPr>
          <w:rFonts w:ascii="Lato" w:hAnsi="Lato"/>
          <w:sz w:val="22"/>
          <w:szCs w:val="22"/>
          <w:lang w:val="en-GB"/>
        </w:rPr>
        <w:lastRenderedPageBreak/>
        <w:t>No record of criminal convictions - advise principal</w:t>
      </w:r>
    </w:p>
    <w:p w:rsidR="00641CF3" w:rsidRPr="004B2277" w:rsidRDefault="00641CF3" w:rsidP="00641CF3">
      <w:pPr>
        <w:pStyle w:val="BodyText"/>
        <w:spacing w:after="0"/>
        <w:ind w:left="720"/>
        <w:rPr>
          <w:rFonts w:ascii="Lato" w:hAnsi="Lato" w:cs="Arial"/>
          <w:sz w:val="22"/>
          <w:szCs w:val="22"/>
          <w:lang w:val="en-GB"/>
        </w:rPr>
      </w:pPr>
      <w:r w:rsidRPr="004B2277">
        <w:rPr>
          <w:rFonts w:ascii="Lato" w:hAnsi="Lato" w:cs="Arial"/>
          <w:sz w:val="22"/>
          <w:szCs w:val="22"/>
          <w:lang w:val="en-GB"/>
        </w:rPr>
        <w:t xml:space="preserve">If the criminal record report does not show a conviction for a disqualifying offence and there are no pending charges for disqualifying offences, you must, within 14 days after receiving the application for enrolment, forward the application to the principal of the school (letter template at Attachment E refers). The school principal can then consider the application for enrolment according to the </w:t>
      </w:r>
      <w:r w:rsidRPr="004B2277">
        <w:rPr>
          <w:rFonts w:ascii="Lato" w:hAnsi="Lato"/>
          <w:sz w:val="22"/>
          <w:szCs w:val="22"/>
        </w:rPr>
        <w:t>Enrolment policy</w:t>
      </w:r>
      <w:r w:rsidRPr="004B2277">
        <w:rPr>
          <w:rStyle w:val="Hyperlink"/>
          <w:rFonts w:ascii="Lato" w:hAnsi="Lato"/>
          <w:color w:val="auto"/>
          <w:sz w:val="22"/>
          <w:szCs w:val="22"/>
          <w:u w:val="none"/>
        </w:rPr>
        <w:t xml:space="preserve"> and Criminal History for Mature Age Students guidelines.</w:t>
      </w:r>
    </w:p>
    <w:p w:rsidR="00641CF3" w:rsidRPr="004B2277" w:rsidRDefault="00641CF3" w:rsidP="00641CF3">
      <w:pPr>
        <w:ind w:left="785"/>
        <w:rPr>
          <w:rFonts w:ascii="Lato" w:hAnsi="Lato" w:cs="Arial"/>
          <w:bCs/>
          <w:sz w:val="22"/>
          <w:szCs w:val="22"/>
          <w:lang w:val="en-US"/>
        </w:rPr>
      </w:pPr>
    </w:p>
    <w:p w:rsidR="00641CF3" w:rsidRPr="004B2277" w:rsidRDefault="00641CF3" w:rsidP="00641CF3">
      <w:pPr>
        <w:pStyle w:val="Heading4"/>
        <w:numPr>
          <w:ilvl w:val="1"/>
          <w:numId w:val="47"/>
        </w:numPr>
        <w:rPr>
          <w:rFonts w:ascii="Lato" w:hAnsi="Lato"/>
          <w:sz w:val="22"/>
          <w:szCs w:val="22"/>
          <w:lang w:val="en-US"/>
        </w:rPr>
      </w:pPr>
      <w:r w:rsidRPr="004B2277">
        <w:rPr>
          <w:rFonts w:ascii="Lato" w:hAnsi="Lato"/>
          <w:sz w:val="22"/>
          <w:szCs w:val="22"/>
          <w:lang w:val="en-US"/>
        </w:rPr>
        <w:t>Applicant dispute of criminal record</w:t>
      </w:r>
      <w:r w:rsidRPr="004B2277" w:rsidDel="00EC3849">
        <w:rPr>
          <w:rFonts w:ascii="Lato" w:hAnsi="Lato"/>
          <w:sz w:val="22"/>
          <w:szCs w:val="22"/>
          <w:lang w:val="en-US"/>
        </w:rPr>
        <w:t xml:space="preserve"> </w:t>
      </w:r>
      <w:r w:rsidRPr="004B2277">
        <w:rPr>
          <w:rFonts w:ascii="Lato" w:hAnsi="Lato"/>
          <w:sz w:val="22"/>
          <w:szCs w:val="22"/>
          <w:lang w:val="en-US"/>
        </w:rPr>
        <w:t>report</w:t>
      </w:r>
    </w:p>
    <w:p w:rsidR="00641CF3" w:rsidRPr="004B2277" w:rsidRDefault="00641CF3" w:rsidP="00641CF3">
      <w:pPr>
        <w:ind w:left="425"/>
        <w:rPr>
          <w:rFonts w:ascii="Lato" w:hAnsi="Lato"/>
          <w:sz w:val="22"/>
          <w:szCs w:val="22"/>
        </w:rPr>
      </w:pPr>
      <w:r w:rsidRPr="004B2277">
        <w:rPr>
          <w:rFonts w:ascii="Lato" w:hAnsi="Lato"/>
          <w:sz w:val="22"/>
          <w:szCs w:val="22"/>
        </w:rPr>
        <w:t>As the vetting entity, you have no part in this process and, if an applicant disputes the accuracy of their criminal record report they must contact SAFE NT. If the criminal record report includes convictions for a disqualifying offence, until such time as you receive evidence that SAFE NT has amended the criminal record report, the enrolment must be refused.</w:t>
      </w:r>
    </w:p>
    <w:p w:rsidR="00641CF3" w:rsidRPr="004B2277" w:rsidRDefault="00641CF3" w:rsidP="00641CF3">
      <w:pPr>
        <w:ind w:left="425"/>
        <w:rPr>
          <w:rFonts w:ascii="Lato" w:hAnsi="Lato"/>
          <w:sz w:val="22"/>
          <w:szCs w:val="22"/>
        </w:rPr>
      </w:pPr>
    </w:p>
    <w:p w:rsidR="00641CF3" w:rsidRPr="004B2277" w:rsidRDefault="00641CF3" w:rsidP="00641CF3">
      <w:pPr>
        <w:pStyle w:val="Heading4"/>
        <w:numPr>
          <w:ilvl w:val="1"/>
          <w:numId w:val="47"/>
        </w:numPr>
        <w:rPr>
          <w:rFonts w:ascii="Lato" w:hAnsi="Lato"/>
          <w:sz w:val="22"/>
          <w:szCs w:val="22"/>
        </w:rPr>
      </w:pPr>
      <w:r w:rsidRPr="004B2277">
        <w:rPr>
          <w:rFonts w:ascii="Lato" w:hAnsi="Lato"/>
          <w:sz w:val="22"/>
          <w:szCs w:val="22"/>
          <w:lang w:val="en-US"/>
        </w:rPr>
        <w:t>Applicant request for review of a school principal decision</w:t>
      </w:r>
      <w:r w:rsidRPr="004B2277">
        <w:rPr>
          <w:rFonts w:ascii="Lato" w:hAnsi="Lato"/>
          <w:sz w:val="22"/>
          <w:szCs w:val="22"/>
        </w:rPr>
        <w:tab/>
      </w:r>
    </w:p>
    <w:p w:rsidR="00641CF3" w:rsidRPr="004B2277" w:rsidRDefault="00641CF3" w:rsidP="00641CF3">
      <w:pPr>
        <w:ind w:left="426"/>
        <w:rPr>
          <w:rFonts w:ascii="Lato" w:hAnsi="Lato"/>
          <w:sz w:val="22"/>
          <w:szCs w:val="22"/>
        </w:rPr>
      </w:pPr>
      <w:r w:rsidRPr="004B2277">
        <w:rPr>
          <w:rFonts w:ascii="Lato" w:hAnsi="Lato"/>
          <w:sz w:val="22"/>
          <w:szCs w:val="22"/>
        </w:rPr>
        <w:t xml:space="preserve">As the vetting entity, you have no part in this process and if an applicant is not satisfied with the decision made by a school principal about their enrolment application, they can, within 14 days after they were given notice of the decision, request a review by following the process outlined in the department </w:t>
      </w:r>
      <w:hyperlink r:id="rId9" w:history="1">
        <w:r w:rsidRPr="004B2277">
          <w:rPr>
            <w:rStyle w:val="Hyperlink"/>
            <w:rFonts w:ascii="Lato" w:hAnsi="Lato"/>
            <w:sz w:val="22"/>
            <w:szCs w:val="22"/>
          </w:rPr>
          <w:t>Complaints policy</w:t>
        </w:r>
      </w:hyperlink>
      <w:r w:rsidRPr="004B2277">
        <w:rPr>
          <w:rFonts w:ascii="Lato" w:hAnsi="Lato"/>
          <w:sz w:val="22"/>
          <w:szCs w:val="22"/>
        </w:rPr>
        <w:t>. However, in the first instance, the applicant should discuss the matter with the school principal who should try to find a resolution at the local level.</w:t>
      </w:r>
    </w:p>
    <w:p w:rsidR="00641CF3" w:rsidRPr="004B2277" w:rsidRDefault="00641CF3" w:rsidP="00641CF3">
      <w:pPr>
        <w:ind w:left="426"/>
        <w:rPr>
          <w:rFonts w:ascii="Lato" w:hAnsi="Lato"/>
          <w:sz w:val="22"/>
          <w:szCs w:val="22"/>
        </w:rPr>
      </w:pPr>
    </w:p>
    <w:p w:rsidR="00641CF3" w:rsidRPr="004B2277" w:rsidRDefault="00641CF3" w:rsidP="00641CF3">
      <w:pPr>
        <w:ind w:left="426"/>
        <w:rPr>
          <w:rFonts w:ascii="Lato" w:hAnsi="Lato"/>
          <w:sz w:val="22"/>
          <w:szCs w:val="22"/>
        </w:rPr>
      </w:pPr>
      <w:r w:rsidRPr="004B2277">
        <w:rPr>
          <w:rFonts w:ascii="Lato" w:hAnsi="Lato"/>
          <w:sz w:val="22"/>
          <w:szCs w:val="22"/>
        </w:rPr>
        <w:t xml:space="preserve">The Chief Executive may extend the time allowed for the applicant to request the review. </w:t>
      </w:r>
    </w:p>
    <w:p w:rsidR="00641CF3" w:rsidRPr="004B2277" w:rsidRDefault="00641CF3" w:rsidP="00641CF3">
      <w:pPr>
        <w:ind w:left="426"/>
        <w:rPr>
          <w:rFonts w:ascii="Lato" w:hAnsi="Lato"/>
          <w:sz w:val="22"/>
          <w:szCs w:val="22"/>
        </w:rPr>
      </w:pPr>
    </w:p>
    <w:p w:rsidR="00641CF3" w:rsidRPr="004B2277" w:rsidRDefault="00641CF3" w:rsidP="00641CF3">
      <w:pPr>
        <w:ind w:left="426"/>
        <w:rPr>
          <w:rFonts w:ascii="Lato" w:hAnsi="Lato"/>
          <w:sz w:val="22"/>
          <w:szCs w:val="22"/>
        </w:rPr>
      </w:pPr>
      <w:r w:rsidRPr="004B2277">
        <w:rPr>
          <w:rFonts w:ascii="Lato" w:hAnsi="Lato"/>
          <w:sz w:val="22"/>
          <w:szCs w:val="22"/>
        </w:rPr>
        <w:t xml:space="preserve">The applicant must complete the </w:t>
      </w:r>
      <w:r w:rsidRPr="004B2277">
        <w:rPr>
          <w:rFonts w:ascii="Lato" w:hAnsi="Lato"/>
          <w:i/>
          <w:sz w:val="22"/>
          <w:szCs w:val="22"/>
        </w:rPr>
        <w:t>Request to review mature age student enrolment application</w:t>
      </w:r>
      <w:r w:rsidRPr="004B2277">
        <w:rPr>
          <w:rFonts w:ascii="Lato" w:hAnsi="Lato"/>
          <w:sz w:val="22"/>
          <w:szCs w:val="22"/>
        </w:rPr>
        <w:t xml:space="preserve"> form. The school principal must provide supporting documentation that justifies their decision and submit this information, together with the applicant’s completed form to the Chief Executive through the Regional Director and Executive Director as per the </w:t>
      </w:r>
      <w:hyperlink r:id="rId10" w:history="1">
        <w:r w:rsidRPr="004B2277">
          <w:rPr>
            <w:rStyle w:val="Hyperlink"/>
            <w:rFonts w:ascii="Lato" w:hAnsi="Lato"/>
            <w:sz w:val="22"/>
            <w:szCs w:val="22"/>
          </w:rPr>
          <w:t>Complaints policy.</w:t>
        </w:r>
      </w:hyperlink>
      <w:r w:rsidRPr="004B2277">
        <w:rPr>
          <w:rFonts w:ascii="Lato" w:hAnsi="Lato"/>
          <w:sz w:val="22"/>
          <w:szCs w:val="22"/>
        </w:rPr>
        <w:t xml:space="preserve"> </w:t>
      </w:r>
    </w:p>
    <w:p w:rsidR="00641CF3" w:rsidRPr="004B2277" w:rsidRDefault="00641CF3" w:rsidP="00641CF3">
      <w:pPr>
        <w:ind w:left="426"/>
        <w:rPr>
          <w:rFonts w:ascii="Lato" w:hAnsi="Lato"/>
          <w:sz w:val="22"/>
          <w:szCs w:val="22"/>
        </w:rPr>
      </w:pPr>
    </w:p>
    <w:p w:rsidR="00641CF3" w:rsidRPr="004B2277" w:rsidRDefault="00641CF3" w:rsidP="00641CF3">
      <w:pPr>
        <w:ind w:left="425"/>
        <w:rPr>
          <w:rFonts w:ascii="Lato" w:hAnsi="Lato"/>
          <w:sz w:val="22"/>
          <w:szCs w:val="22"/>
        </w:rPr>
      </w:pPr>
      <w:r w:rsidRPr="004B2277">
        <w:rPr>
          <w:rFonts w:ascii="Lato" w:hAnsi="Lato"/>
          <w:sz w:val="22"/>
          <w:szCs w:val="22"/>
        </w:rPr>
        <w:t xml:space="preserve">The Chief Executive will review the decision made about the applicant’s enrolment application and, as soon as possible in writing to both the applicant and the school principal, either confirm, vary (particularly where conditions have been placed on the applicant’s enrolment) or set aside the decision (Attachment F for CE response refers). </w:t>
      </w:r>
    </w:p>
    <w:p w:rsidR="00641CF3" w:rsidRPr="004B2277" w:rsidRDefault="00641CF3" w:rsidP="00641CF3">
      <w:pPr>
        <w:ind w:left="426"/>
        <w:rPr>
          <w:rFonts w:ascii="Lato" w:hAnsi="Lato"/>
          <w:sz w:val="22"/>
          <w:szCs w:val="22"/>
        </w:rPr>
      </w:pPr>
    </w:p>
    <w:p w:rsidR="00641CF3" w:rsidRPr="004B2277" w:rsidRDefault="00641CF3" w:rsidP="00641CF3">
      <w:pPr>
        <w:pStyle w:val="Heading4"/>
        <w:numPr>
          <w:ilvl w:val="1"/>
          <w:numId w:val="47"/>
        </w:numPr>
        <w:rPr>
          <w:rFonts w:ascii="Lato" w:hAnsi="Lato"/>
          <w:sz w:val="22"/>
          <w:szCs w:val="22"/>
        </w:rPr>
      </w:pPr>
      <w:r w:rsidRPr="004B2277">
        <w:rPr>
          <w:rFonts w:ascii="Lato" w:hAnsi="Lato"/>
          <w:sz w:val="22"/>
          <w:szCs w:val="22"/>
          <w:lang w:val="en-US"/>
        </w:rPr>
        <w:t>End of the process</w:t>
      </w:r>
    </w:p>
    <w:p w:rsidR="00641CF3" w:rsidRPr="004B2277" w:rsidRDefault="00641CF3" w:rsidP="00641CF3">
      <w:pPr>
        <w:ind w:left="426"/>
        <w:rPr>
          <w:rFonts w:ascii="Lato" w:hAnsi="Lato"/>
          <w:sz w:val="22"/>
          <w:szCs w:val="22"/>
        </w:rPr>
      </w:pPr>
      <w:r w:rsidRPr="004B2277">
        <w:rPr>
          <w:rFonts w:ascii="Lato" w:hAnsi="Lato"/>
          <w:sz w:val="22"/>
          <w:szCs w:val="22"/>
        </w:rPr>
        <w:t>You must ensure that all printed and electronic criminal history information obtained in the application is destroyed as per 4.2 of this procedure.</w:t>
      </w:r>
    </w:p>
    <w:p w:rsidR="00641CF3" w:rsidRPr="004B2277" w:rsidRDefault="00641CF3" w:rsidP="00641CF3">
      <w:pPr>
        <w:ind w:left="426"/>
        <w:rPr>
          <w:rFonts w:ascii="Lato" w:hAnsi="Lato"/>
          <w:sz w:val="22"/>
          <w:szCs w:val="22"/>
        </w:rPr>
      </w:pPr>
    </w:p>
    <w:p w:rsidR="00641CF3" w:rsidRPr="004B2277" w:rsidRDefault="00641CF3" w:rsidP="00641CF3">
      <w:pPr>
        <w:pStyle w:val="Heading3"/>
        <w:numPr>
          <w:ilvl w:val="0"/>
          <w:numId w:val="47"/>
        </w:numPr>
        <w:spacing w:before="240" w:after="240"/>
        <w:ind w:left="714" w:hanging="357"/>
        <w:rPr>
          <w:rFonts w:ascii="Lato" w:hAnsi="Lato"/>
          <w:sz w:val="28"/>
          <w:szCs w:val="28"/>
          <w:lang w:val="en-US"/>
        </w:rPr>
      </w:pPr>
      <w:r w:rsidRPr="004B2277">
        <w:rPr>
          <w:rFonts w:ascii="Lato" w:hAnsi="Lato"/>
          <w:sz w:val="28"/>
          <w:szCs w:val="28"/>
          <w:lang w:val="en-US"/>
        </w:rPr>
        <w:t>LEGISLATION AND REFERENCES</w:t>
      </w:r>
    </w:p>
    <w:tbl>
      <w:tblPr>
        <w:tblStyle w:val="TableGrid"/>
        <w:tblW w:w="10064" w:type="dxa"/>
        <w:tblInd w:w="392" w:type="dxa"/>
        <w:tblLook w:val="04A0" w:firstRow="1" w:lastRow="0" w:firstColumn="1" w:lastColumn="0" w:noHBand="0" w:noVBand="1"/>
      </w:tblPr>
      <w:tblGrid>
        <w:gridCol w:w="3969"/>
        <w:gridCol w:w="6095"/>
      </w:tblGrid>
      <w:tr w:rsidR="00641CF3" w:rsidRPr="004B2277" w:rsidTr="0016349E">
        <w:tc>
          <w:tcPr>
            <w:tcW w:w="3969" w:type="dxa"/>
            <w:tcBorders>
              <w:top w:val="single" w:sz="4" w:space="0" w:color="auto"/>
              <w:left w:val="single" w:sz="4" w:space="0" w:color="auto"/>
              <w:bottom w:val="single" w:sz="4" w:space="0" w:color="auto"/>
              <w:right w:val="single" w:sz="4" w:space="0" w:color="auto"/>
            </w:tcBorders>
            <w:hideMark/>
          </w:tcPr>
          <w:p w:rsidR="00641CF3" w:rsidRPr="004B2277" w:rsidRDefault="00641CF3" w:rsidP="0016349E">
            <w:pPr>
              <w:spacing w:before="60"/>
              <w:ind w:right="284"/>
              <w:rPr>
                <w:rFonts w:ascii="Lato" w:hAnsi="Lato"/>
                <w:b/>
                <w:sz w:val="22"/>
                <w:szCs w:val="22"/>
              </w:rPr>
            </w:pPr>
            <w:r w:rsidRPr="004B2277">
              <w:rPr>
                <w:rFonts w:ascii="Lato" w:hAnsi="Lato"/>
                <w:b/>
                <w:sz w:val="22"/>
                <w:szCs w:val="22"/>
              </w:rPr>
              <w:t>Legislation</w:t>
            </w:r>
            <w:r w:rsidRPr="004B2277">
              <w:rPr>
                <w:rFonts w:ascii="Lato" w:hAnsi="Lato"/>
                <w:b/>
                <w:sz w:val="22"/>
                <w:szCs w:val="22"/>
              </w:rPr>
              <w:br/>
              <w:t>(NT and Commonwealth)</w:t>
            </w:r>
          </w:p>
        </w:tc>
        <w:tc>
          <w:tcPr>
            <w:tcW w:w="6095" w:type="dxa"/>
            <w:tcBorders>
              <w:top w:val="single" w:sz="4" w:space="0" w:color="auto"/>
              <w:left w:val="single" w:sz="4" w:space="0" w:color="auto"/>
              <w:bottom w:val="single" w:sz="4" w:space="0" w:color="auto"/>
              <w:right w:val="single" w:sz="4" w:space="0" w:color="auto"/>
            </w:tcBorders>
            <w:hideMark/>
          </w:tcPr>
          <w:p w:rsidR="00641CF3" w:rsidRPr="004B2277" w:rsidRDefault="00641CF3" w:rsidP="00641CF3">
            <w:pPr>
              <w:pStyle w:val="BodyText"/>
              <w:numPr>
                <w:ilvl w:val="0"/>
                <w:numId w:val="45"/>
              </w:numPr>
              <w:spacing w:after="0"/>
              <w:ind w:right="142"/>
              <w:rPr>
                <w:rStyle w:val="Hyperlink"/>
                <w:rFonts w:ascii="Lato" w:hAnsi="Lato"/>
                <w:i/>
                <w:spacing w:val="-1"/>
                <w:sz w:val="22"/>
                <w:szCs w:val="22"/>
              </w:rPr>
            </w:pPr>
            <w:r w:rsidRPr="004B2277">
              <w:rPr>
                <w:rFonts w:ascii="Lato" w:hAnsi="Lato"/>
                <w:i/>
                <w:spacing w:val="-1"/>
                <w:sz w:val="22"/>
                <w:szCs w:val="22"/>
              </w:rPr>
              <w:fldChar w:fldCharType="begin"/>
            </w:r>
            <w:r w:rsidR="00526884" w:rsidRPr="004B2277">
              <w:rPr>
                <w:rFonts w:ascii="Lato" w:hAnsi="Lato"/>
                <w:i/>
                <w:spacing w:val="-1"/>
                <w:sz w:val="22"/>
                <w:szCs w:val="22"/>
              </w:rPr>
              <w:instrText>HYPERLINK "https://legislation.nt.gov.au/Legislation/EDUCATION-ACT"</w:instrText>
            </w:r>
            <w:r w:rsidRPr="004B2277">
              <w:rPr>
                <w:rFonts w:ascii="Lato" w:hAnsi="Lato"/>
                <w:i/>
                <w:spacing w:val="-1"/>
                <w:sz w:val="22"/>
                <w:szCs w:val="22"/>
              </w:rPr>
              <w:fldChar w:fldCharType="separate"/>
            </w:r>
            <w:r w:rsidRPr="004B2277">
              <w:rPr>
                <w:rStyle w:val="Hyperlink"/>
                <w:rFonts w:ascii="Lato" w:hAnsi="Lato"/>
                <w:i/>
                <w:spacing w:val="-1"/>
                <w:sz w:val="22"/>
                <w:szCs w:val="22"/>
              </w:rPr>
              <w:t>Education Act (NT)</w:t>
            </w:r>
          </w:p>
          <w:p w:rsidR="00641CF3" w:rsidRPr="004B2277" w:rsidRDefault="00641CF3" w:rsidP="00641CF3">
            <w:pPr>
              <w:pStyle w:val="BodyText"/>
              <w:numPr>
                <w:ilvl w:val="0"/>
                <w:numId w:val="45"/>
              </w:numPr>
              <w:spacing w:after="0"/>
              <w:ind w:left="357" w:right="142" w:hanging="357"/>
              <w:rPr>
                <w:rStyle w:val="Hyperlink"/>
                <w:rFonts w:ascii="Lato" w:hAnsi="Lato"/>
                <w:i/>
                <w:spacing w:val="-1"/>
                <w:sz w:val="22"/>
                <w:szCs w:val="22"/>
              </w:rPr>
            </w:pPr>
            <w:r w:rsidRPr="004B2277">
              <w:rPr>
                <w:rFonts w:ascii="Lato" w:hAnsi="Lato"/>
                <w:i/>
                <w:spacing w:val="-1"/>
                <w:sz w:val="22"/>
                <w:szCs w:val="22"/>
              </w:rPr>
              <w:fldChar w:fldCharType="end"/>
            </w:r>
            <w:r w:rsidRPr="004B2277">
              <w:rPr>
                <w:rFonts w:ascii="Lato" w:hAnsi="Lato"/>
                <w:i/>
                <w:spacing w:val="-1"/>
                <w:sz w:val="22"/>
                <w:szCs w:val="22"/>
              </w:rPr>
              <w:fldChar w:fldCharType="begin"/>
            </w:r>
            <w:r w:rsidR="00526884" w:rsidRPr="004B2277">
              <w:rPr>
                <w:rFonts w:ascii="Lato" w:hAnsi="Lato"/>
                <w:i/>
                <w:spacing w:val="-1"/>
                <w:sz w:val="22"/>
                <w:szCs w:val="22"/>
              </w:rPr>
              <w:instrText>HYPERLINK "https://legislation.nt.gov.au/Legislation/CARE-AND-PROTECTION-OF-CHILDREN-ACT"</w:instrText>
            </w:r>
            <w:r w:rsidRPr="004B2277">
              <w:rPr>
                <w:rFonts w:ascii="Lato" w:hAnsi="Lato"/>
                <w:i/>
                <w:spacing w:val="-1"/>
                <w:sz w:val="22"/>
                <w:szCs w:val="22"/>
              </w:rPr>
              <w:fldChar w:fldCharType="separate"/>
            </w:r>
            <w:r w:rsidRPr="004B2277">
              <w:rPr>
                <w:rStyle w:val="Hyperlink"/>
                <w:rFonts w:ascii="Lato" w:hAnsi="Lato"/>
                <w:i/>
                <w:spacing w:val="-1"/>
                <w:sz w:val="22"/>
                <w:szCs w:val="22"/>
              </w:rPr>
              <w:t xml:space="preserve">Care and Protection of Children Act </w:t>
            </w:r>
          </w:p>
          <w:p w:rsidR="00641CF3" w:rsidRPr="006645E9" w:rsidRDefault="00641CF3" w:rsidP="00641CF3">
            <w:pPr>
              <w:pStyle w:val="BodyText"/>
              <w:numPr>
                <w:ilvl w:val="0"/>
                <w:numId w:val="45"/>
              </w:numPr>
              <w:spacing w:after="0"/>
              <w:ind w:left="357" w:right="142" w:hanging="357"/>
              <w:rPr>
                <w:rStyle w:val="Hyperlink"/>
                <w:rFonts w:ascii="Lato" w:hAnsi="Lato"/>
                <w:i/>
                <w:spacing w:val="-1"/>
                <w:sz w:val="22"/>
                <w:szCs w:val="22"/>
              </w:rPr>
            </w:pPr>
            <w:r w:rsidRPr="004B2277">
              <w:rPr>
                <w:rFonts w:ascii="Lato" w:hAnsi="Lato"/>
                <w:i/>
                <w:spacing w:val="-1"/>
                <w:sz w:val="22"/>
                <w:szCs w:val="22"/>
              </w:rPr>
              <w:fldChar w:fldCharType="end"/>
            </w:r>
            <w:r w:rsidR="006645E9">
              <w:rPr>
                <w:rFonts w:ascii="Lato" w:hAnsi="Lato"/>
                <w:i/>
                <w:spacing w:val="-1"/>
                <w:sz w:val="22"/>
                <w:szCs w:val="22"/>
              </w:rPr>
              <w:fldChar w:fldCharType="begin"/>
            </w:r>
            <w:r w:rsidR="006645E9">
              <w:rPr>
                <w:rFonts w:ascii="Lato" w:hAnsi="Lato"/>
                <w:i/>
                <w:spacing w:val="-1"/>
                <w:sz w:val="22"/>
                <w:szCs w:val="22"/>
              </w:rPr>
              <w:instrText xml:space="preserve"> HYPERLINK "https://legislation.nt.gov.au/Legislation/CRIMINAL-CODE-ACT" </w:instrText>
            </w:r>
            <w:r w:rsidR="006645E9">
              <w:rPr>
                <w:rFonts w:ascii="Lato" w:hAnsi="Lato"/>
                <w:i/>
                <w:spacing w:val="-1"/>
                <w:sz w:val="22"/>
                <w:szCs w:val="22"/>
              </w:rPr>
              <w:fldChar w:fldCharType="separate"/>
            </w:r>
            <w:r w:rsidRPr="006645E9">
              <w:rPr>
                <w:rStyle w:val="Hyperlink"/>
                <w:rFonts w:ascii="Lato" w:hAnsi="Lato"/>
                <w:i/>
                <w:spacing w:val="-1"/>
                <w:sz w:val="22"/>
                <w:szCs w:val="22"/>
              </w:rPr>
              <w:t>Criminal Code Act (NT)</w:t>
            </w:r>
          </w:p>
          <w:p w:rsidR="00641CF3" w:rsidRPr="004B2277" w:rsidRDefault="006645E9" w:rsidP="00641CF3">
            <w:pPr>
              <w:pStyle w:val="BodyText"/>
              <w:numPr>
                <w:ilvl w:val="0"/>
                <w:numId w:val="45"/>
              </w:numPr>
              <w:spacing w:after="0"/>
              <w:ind w:left="357" w:right="142" w:hanging="357"/>
              <w:rPr>
                <w:rStyle w:val="Hyperlink"/>
                <w:rFonts w:ascii="Lato" w:hAnsi="Lato"/>
                <w:i/>
                <w:spacing w:val="-1"/>
                <w:sz w:val="22"/>
                <w:szCs w:val="22"/>
              </w:rPr>
            </w:pPr>
            <w:r>
              <w:rPr>
                <w:rFonts w:ascii="Lato" w:hAnsi="Lato"/>
                <w:i/>
                <w:spacing w:val="-1"/>
                <w:sz w:val="22"/>
                <w:szCs w:val="22"/>
              </w:rPr>
              <w:fldChar w:fldCharType="end"/>
            </w:r>
            <w:r w:rsidR="00641CF3" w:rsidRPr="004B2277">
              <w:rPr>
                <w:rFonts w:ascii="Lato" w:hAnsi="Lato"/>
                <w:i/>
                <w:spacing w:val="-1"/>
                <w:sz w:val="22"/>
                <w:szCs w:val="22"/>
              </w:rPr>
              <w:fldChar w:fldCharType="begin"/>
            </w:r>
            <w:r>
              <w:rPr>
                <w:rFonts w:ascii="Lato" w:hAnsi="Lato"/>
                <w:i/>
                <w:spacing w:val="-1"/>
                <w:sz w:val="22"/>
                <w:szCs w:val="22"/>
              </w:rPr>
              <w:instrText>HYPERLINK "https://legislation.nt.gov.au/Legislation/MISUSE-OF-DRUGS-ACT"</w:instrText>
            </w:r>
            <w:r w:rsidR="00641CF3" w:rsidRPr="004B2277">
              <w:rPr>
                <w:rFonts w:ascii="Lato" w:hAnsi="Lato"/>
                <w:i/>
                <w:spacing w:val="-1"/>
                <w:sz w:val="22"/>
                <w:szCs w:val="22"/>
              </w:rPr>
              <w:fldChar w:fldCharType="separate"/>
            </w:r>
            <w:r w:rsidR="00641CF3" w:rsidRPr="004B2277">
              <w:rPr>
                <w:rStyle w:val="Hyperlink"/>
                <w:rFonts w:ascii="Lato" w:hAnsi="Lato"/>
                <w:i/>
                <w:spacing w:val="-1"/>
                <w:sz w:val="22"/>
                <w:szCs w:val="22"/>
              </w:rPr>
              <w:t>Misuse of Drugs Act  (NT)</w:t>
            </w:r>
          </w:p>
          <w:p w:rsidR="00641CF3" w:rsidRPr="004B2277" w:rsidRDefault="00641CF3" w:rsidP="00641CF3">
            <w:pPr>
              <w:pStyle w:val="BodyText"/>
              <w:numPr>
                <w:ilvl w:val="0"/>
                <w:numId w:val="45"/>
              </w:numPr>
              <w:spacing w:after="0"/>
              <w:ind w:left="357" w:right="142" w:hanging="357"/>
              <w:rPr>
                <w:rFonts w:ascii="Lato" w:hAnsi="Lato"/>
                <w:i/>
                <w:spacing w:val="-1"/>
                <w:sz w:val="22"/>
                <w:szCs w:val="22"/>
              </w:rPr>
            </w:pPr>
            <w:r w:rsidRPr="004B2277">
              <w:rPr>
                <w:rFonts w:ascii="Lato" w:hAnsi="Lato"/>
                <w:i/>
                <w:spacing w:val="-1"/>
                <w:sz w:val="22"/>
                <w:szCs w:val="22"/>
              </w:rPr>
              <w:fldChar w:fldCharType="end"/>
            </w:r>
            <w:hyperlink r:id="rId11" w:history="1">
              <w:r w:rsidRPr="004B2277">
                <w:rPr>
                  <w:rStyle w:val="Hyperlink"/>
                  <w:rFonts w:ascii="Lato" w:hAnsi="Lato"/>
                  <w:i/>
                  <w:spacing w:val="-1"/>
                  <w:sz w:val="22"/>
                  <w:szCs w:val="22"/>
                </w:rPr>
                <w:t>Criminal Code (</w:t>
              </w:r>
              <w:proofErr w:type="spellStart"/>
              <w:r w:rsidRPr="004B2277">
                <w:rPr>
                  <w:rStyle w:val="Hyperlink"/>
                  <w:rFonts w:ascii="Lato" w:hAnsi="Lato"/>
                  <w:i/>
                  <w:spacing w:val="-1"/>
                  <w:sz w:val="22"/>
                  <w:szCs w:val="22"/>
                </w:rPr>
                <w:t>Cth</w:t>
              </w:r>
              <w:proofErr w:type="spellEnd"/>
              <w:r w:rsidRPr="004B2277">
                <w:rPr>
                  <w:rStyle w:val="Hyperlink"/>
                  <w:rFonts w:ascii="Lato" w:hAnsi="Lato"/>
                  <w:i/>
                  <w:spacing w:val="-1"/>
                  <w:sz w:val="22"/>
                  <w:szCs w:val="22"/>
                </w:rPr>
                <w:t>)</w:t>
              </w:r>
            </w:hyperlink>
          </w:p>
          <w:p w:rsidR="00641CF3" w:rsidRPr="004B2277" w:rsidRDefault="006014E3" w:rsidP="00641CF3">
            <w:pPr>
              <w:pStyle w:val="BodyText"/>
              <w:numPr>
                <w:ilvl w:val="0"/>
                <w:numId w:val="45"/>
              </w:numPr>
              <w:spacing w:after="0"/>
              <w:ind w:left="357" w:right="142" w:hanging="357"/>
              <w:rPr>
                <w:rStyle w:val="Hyperlink"/>
                <w:rFonts w:ascii="Lato" w:hAnsi="Lato"/>
                <w:color w:val="auto"/>
                <w:spacing w:val="-1"/>
                <w:sz w:val="22"/>
                <w:szCs w:val="22"/>
                <w:u w:val="none"/>
              </w:rPr>
            </w:pPr>
            <w:hyperlink r:id="rId12" w:history="1">
              <w:r w:rsidR="00641CF3" w:rsidRPr="004B2277">
                <w:rPr>
                  <w:rStyle w:val="Hyperlink"/>
                  <w:rFonts w:ascii="Lato" w:hAnsi="Lato"/>
                  <w:i/>
                  <w:spacing w:val="-1"/>
                  <w:sz w:val="22"/>
                  <w:szCs w:val="22"/>
                </w:rPr>
                <w:t>Customs Act (</w:t>
              </w:r>
              <w:proofErr w:type="spellStart"/>
              <w:r w:rsidR="00641CF3" w:rsidRPr="004B2277">
                <w:rPr>
                  <w:rStyle w:val="Hyperlink"/>
                  <w:rFonts w:ascii="Lato" w:hAnsi="Lato"/>
                  <w:i/>
                  <w:spacing w:val="-1"/>
                  <w:sz w:val="22"/>
                  <w:szCs w:val="22"/>
                </w:rPr>
                <w:t>Cth</w:t>
              </w:r>
              <w:proofErr w:type="spellEnd"/>
              <w:r w:rsidR="00641CF3" w:rsidRPr="004B2277">
                <w:rPr>
                  <w:rStyle w:val="Hyperlink"/>
                  <w:rFonts w:ascii="Lato" w:hAnsi="Lato"/>
                  <w:i/>
                  <w:spacing w:val="-1"/>
                  <w:sz w:val="22"/>
                  <w:szCs w:val="22"/>
                </w:rPr>
                <w:t>)</w:t>
              </w:r>
            </w:hyperlink>
          </w:p>
          <w:p w:rsidR="00641CF3" w:rsidRPr="004B2277" w:rsidRDefault="006014E3" w:rsidP="00641CF3">
            <w:pPr>
              <w:pStyle w:val="BodyText"/>
              <w:numPr>
                <w:ilvl w:val="0"/>
                <w:numId w:val="45"/>
              </w:numPr>
              <w:spacing w:after="0"/>
              <w:ind w:left="357" w:right="142" w:hanging="357"/>
              <w:rPr>
                <w:rFonts w:ascii="Lato" w:hAnsi="Lato"/>
                <w:spacing w:val="-1"/>
                <w:sz w:val="22"/>
                <w:szCs w:val="22"/>
              </w:rPr>
            </w:pPr>
            <w:hyperlink r:id="rId13" w:history="1">
              <w:r w:rsidR="00641CF3" w:rsidRPr="004B2277">
                <w:rPr>
                  <w:rStyle w:val="Hyperlink"/>
                  <w:rFonts w:ascii="Lato" w:hAnsi="Lato" w:cs="Arial"/>
                  <w:i/>
                  <w:sz w:val="22"/>
                  <w:szCs w:val="22"/>
                </w:rPr>
                <w:t>Criminal Records (Spent Convictions) Act</w:t>
              </w:r>
            </w:hyperlink>
          </w:p>
        </w:tc>
      </w:tr>
      <w:tr w:rsidR="00641CF3" w:rsidRPr="004B2277" w:rsidTr="0016349E">
        <w:tc>
          <w:tcPr>
            <w:tcW w:w="3969" w:type="dxa"/>
            <w:tcBorders>
              <w:top w:val="single" w:sz="4" w:space="0" w:color="auto"/>
              <w:left w:val="single" w:sz="4" w:space="0" w:color="auto"/>
              <w:bottom w:val="single" w:sz="4" w:space="0" w:color="auto"/>
              <w:right w:val="single" w:sz="4" w:space="0" w:color="auto"/>
            </w:tcBorders>
            <w:hideMark/>
          </w:tcPr>
          <w:p w:rsidR="00641CF3" w:rsidRPr="004B2277" w:rsidRDefault="00641CF3" w:rsidP="0016349E">
            <w:pPr>
              <w:spacing w:before="60"/>
              <w:ind w:right="284"/>
              <w:rPr>
                <w:rFonts w:ascii="Lato" w:hAnsi="Lato"/>
                <w:b/>
                <w:sz w:val="22"/>
                <w:szCs w:val="22"/>
              </w:rPr>
            </w:pPr>
            <w:r w:rsidRPr="004B2277">
              <w:rPr>
                <w:rFonts w:ascii="Lato" w:hAnsi="Lato"/>
                <w:b/>
                <w:sz w:val="22"/>
                <w:szCs w:val="22"/>
              </w:rPr>
              <w:t>Departmental policy</w:t>
            </w:r>
          </w:p>
        </w:tc>
        <w:tc>
          <w:tcPr>
            <w:tcW w:w="6095" w:type="dxa"/>
            <w:tcBorders>
              <w:top w:val="single" w:sz="4" w:space="0" w:color="auto"/>
              <w:left w:val="single" w:sz="4" w:space="0" w:color="auto"/>
              <w:bottom w:val="single" w:sz="4" w:space="0" w:color="auto"/>
              <w:right w:val="single" w:sz="4" w:space="0" w:color="auto"/>
            </w:tcBorders>
            <w:hideMark/>
          </w:tcPr>
          <w:p w:rsidR="00641CF3" w:rsidRPr="004B2277" w:rsidRDefault="00641CF3" w:rsidP="00641CF3">
            <w:pPr>
              <w:pStyle w:val="BodyText"/>
              <w:numPr>
                <w:ilvl w:val="0"/>
                <w:numId w:val="45"/>
              </w:numPr>
              <w:spacing w:after="0"/>
              <w:ind w:left="357" w:right="142" w:hanging="357"/>
              <w:rPr>
                <w:rStyle w:val="Hyperlink"/>
                <w:rFonts w:ascii="Lato" w:hAnsi="Lato"/>
                <w:spacing w:val="-1"/>
                <w:sz w:val="22"/>
                <w:szCs w:val="22"/>
              </w:rPr>
            </w:pPr>
            <w:r w:rsidRPr="004B2277">
              <w:rPr>
                <w:rFonts w:ascii="Lato" w:hAnsi="Lato"/>
                <w:spacing w:val="-1"/>
                <w:sz w:val="22"/>
                <w:szCs w:val="22"/>
              </w:rPr>
              <w:fldChar w:fldCharType="begin"/>
            </w:r>
            <w:r w:rsidR="00526884" w:rsidRPr="004B2277">
              <w:rPr>
                <w:rFonts w:ascii="Lato" w:hAnsi="Lato"/>
                <w:spacing w:val="-1"/>
                <w:sz w:val="22"/>
                <w:szCs w:val="22"/>
              </w:rPr>
              <w:instrText>HYPERLINK "https://education.nt.gov.au/education/policies/complaints"</w:instrText>
            </w:r>
            <w:r w:rsidRPr="004B2277">
              <w:rPr>
                <w:rFonts w:ascii="Lato" w:hAnsi="Lato"/>
                <w:spacing w:val="-1"/>
                <w:sz w:val="22"/>
                <w:szCs w:val="22"/>
              </w:rPr>
              <w:fldChar w:fldCharType="separate"/>
            </w:r>
            <w:r w:rsidRPr="004B2277">
              <w:rPr>
                <w:rStyle w:val="Hyperlink"/>
                <w:rFonts w:ascii="Lato" w:hAnsi="Lato"/>
                <w:spacing w:val="-1"/>
                <w:sz w:val="22"/>
                <w:szCs w:val="22"/>
              </w:rPr>
              <w:t>Complaints</w:t>
            </w:r>
          </w:p>
          <w:p w:rsidR="00641CF3" w:rsidRPr="004B2277" w:rsidRDefault="00641CF3" w:rsidP="00641CF3">
            <w:pPr>
              <w:pStyle w:val="BodyText"/>
              <w:numPr>
                <w:ilvl w:val="0"/>
                <w:numId w:val="45"/>
              </w:numPr>
              <w:spacing w:after="0"/>
              <w:ind w:left="357" w:right="142" w:hanging="357"/>
              <w:rPr>
                <w:rStyle w:val="Hyperlink"/>
                <w:rFonts w:ascii="Lato" w:hAnsi="Lato"/>
                <w:color w:val="auto"/>
                <w:spacing w:val="-1"/>
                <w:sz w:val="22"/>
                <w:szCs w:val="22"/>
                <w:u w:val="none"/>
              </w:rPr>
            </w:pPr>
            <w:r w:rsidRPr="004B2277">
              <w:rPr>
                <w:rFonts w:ascii="Lato" w:hAnsi="Lato"/>
                <w:spacing w:val="-1"/>
                <w:sz w:val="22"/>
                <w:szCs w:val="22"/>
              </w:rPr>
              <w:fldChar w:fldCharType="end"/>
            </w:r>
            <w:hyperlink r:id="rId14" w:history="1">
              <w:r w:rsidRPr="004B2277">
                <w:rPr>
                  <w:rStyle w:val="Hyperlink"/>
                  <w:rFonts w:ascii="Lato" w:hAnsi="Lato" w:cs="Arial"/>
                  <w:sz w:val="22"/>
                  <w:szCs w:val="22"/>
                </w:rPr>
                <w:t>Enrolment policy</w:t>
              </w:r>
            </w:hyperlink>
            <w:r w:rsidRPr="004B2277">
              <w:rPr>
                <w:rFonts w:ascii="Lato" w:hAnsi="Lato"/>
                <w:spacing w:val="-1"/>
                <w:sz w:val="22"/>
                <w:szCs w:val="22"/>
              </w:rPr>
              <w:t xml:space="preserve"> and</w:t>
            </w:r>
            <w:hyperlink r:id="rId15" w:history="1">
              <w:r w:rsidRPr="004B2277">
                <w:rPr>
                  <w:rStyle w:val="Hyperlink"/>
                  <w:rFonts w:ascii="Lato" w:hAnsi="Lato"/>
                  <w:spacing w:val="-1"/>
                  <w:sz w:val="22"/>
                  <w:szCs w:val="22"/>
                </w:rPr>
                <w:t xml:space="preserve"> guidelines</w:t>
              </w:r>
            </w:hyperlink>
          </w:p>
          <w:p w:rsidR="00641CF3" w:rsidRPr="004B2277" w:rsidRDefault="006014E3" w:rsidP="00641CF3">
            <w:pPr>
              <w:pStyle w:val="BodyText"/>
              <w:numPr>
                <w:ilvl w:val="0"/>
                <w:numId w:val="45"/>
              </w:numPr>
              <w:spacing w:after="0"/>
              <w:ind w:left="357" w:right="142" w:hanging="357"/>
              <w:rPr>
                <w:rStyle w:val="Hyperlink"/>
                <w:rFonts w:ascii="Lato" w:hAnsi="Lato"/>
                <w:color w:val="auto"/>
                <w:spacing w:val="-1"/>
                <w:sz w:val="22"/>
                <w:szCs w:val="22"/>
                <w:u w:val="none"/>
              </w:rPr>
            </w:pPr>
            <w:hyperlink r:id="rId16" w:history="1">
              <w:r w:rsidR="00641CF3" w:rsidRPr="004B2277">
                <w:rPr>
                  <w:rStyle w:val="Hyperlink"/>
                  <w:rFonts w:ascii="Lato" w:hAnsi="Lato"/>
                  <w:spacing w:val="-1"/>
                  <w:sz w:val="22"/>
                  <w:szCs w:val="22"/>
                </w:rPr>
                <w:t>Data access policy</w:t>
              </w:r>
            </w:hyperlink>
            <w:r w:rsidR="00641CF3" w:rsidRPr="004B2277">
              <w:rPr>
                <w:rStyle w:val="Hyperlink"/>
                <w:rFonts w:ascii="Lato" w:hAnsi="Lato"/>
                <w:spacing w:val="-1"/>
                <w:sz w:val="22"/>
                <w:szCs w:val="22"/>
              </w:rPr>
              <w:t xml:space="preserve"> </w:t>
            </w:r>
            <w:r w:rsidR="00641CF3" w:rsidRPr="004B2277">
              <w:rPr>
                <w:rStyle w:val="Hyperlink"/>
                <w:rFonts w:ascii="Lato" w:hAnsi="Lato"/>
                <w:color w:val="auto"/>
                <w:spacing w:val="-1"/>
                <w:sz w:val="22"/>
                <w:szCs w:val="22"/>
                <w:u w:val="none"/>
              </w:rPr>
              <w:t xml:space="preserve">and </w:t>
            </w:r>
            <w:hyperlink r:id="rId17" w:history="1">
              <w:r w:rsidR="00641CF3" w:rsidRPr="004B2277">
                <w:rPr>
                  <w:rStyle w:val="Hyperlink"/>
                  <w:rFonts w:ascii="Lato" w:hAnsi="Lato"/>
                  <w:spacing w:val="-1"/>
                  <w:sz w:val="22"/>
                  <w:szCs w:val="22"/>
                </w:rPr>
                <w:t>Data access protocol</w:t>
              </w:r>
            </w:hyperlink>
          </w:p>
          <w:p w:rsidR="00641CF3" w:rsidRPr="004B2277" w:rsidRDefault="006014E3" w:rsidP="00641CF3">
            <w:pPr>
              <w:pStyle w:val="BodyText"/>
              <w:numPr>
                <w:ilvl w:val="0"/>
                <w:numId w:val="45"/>
              </w:numPr>
              <w:spacing w:after="0"/>
              <w:ind w:left="357" w:right="142" w:hanging="357"/>
              <w:rPr>
                <w:rFonts w:ascii="Lato" w:hAnsi="Lato"/>
                <w:spacing w:val="-1"/>
                <w:sz w:val="22"/>
                <w:szCs w:val="22"/>
              </w:rPr>
            </w:pPr>
            <w:hyperlink r:id="rId18" w:history="1">
              <w:r w:rsidR="00641CF3" w:rsidRPr="004B2277">
                <w:rPr>
                  <w:rStyle w:val="Hyperlink"/>
                  <w:rFonts w:ascii="Lato" w:hAnsi="Lato"/>
                  <w:spacing w:val="-1"/>
                  <w:sz w:val="22"/>
                  <w:szCs w:val="22"/>
                </w:rPr>
                <w:t>Privacy statement</w:t>
              </w:r>
            </w:hyperlink>
            <w:r w:rsidR="00641CF3" w:rsidRPr="004B2277">
              <w:rPr>
                <w:rStyle w:val="Hyperlink"/>
                <w:rFonts w:ascii="Lato" w:hAnsi="Lato"/>
                <w:spacing w:val="-1"/>
                <w:sz w:val="22"/>
                <w:szCs w:val="22"/>
              </w:rPr>
              <w:t xml:space="preserve"> </w:t>
            </w:r>
          </w:p>
        </w:tc>
      </w:tr>
      <w:tr w:rsidR="00641CF3" w:rsidRPr="004B2277" w:rsidTr="0016349E">
        <w:tc>
          <w:tcPr>
            <w:tcW w:w="3969" w:type="dxa"/>
            <w:tcBorders>
              <w:top w:val="single" w:sz="4" w:space="0" w:color="auto"/>
              <w:left w:val="single" w:sz="4" w:space="0" w:color="auto"/>
              <w:bottom w:val="single" w:sz="4" w:space="0" w:color="auto"/>
              <w:right w:val="single" w:sz="4" w:space="0" w:color="auto"/>
            </w:tcBorders>
            <w:hideMark/>
          </w:tcPr>
          <w:p w:rsidR="00641CF3" w:rsidRPr="004B2277" w:rsidRDefault="00641CF3" w:rsidP="0016349E">
            <w:pPr>
              <w:spacing w:before="60"/>
              <w:ind w:right="284"/>
              <w:rPr>
                <w:rFonts w:ascii="Lato" w:hAnsi="Lato"/>
                <w:b/>
                <w:sz w:val="22"/>
                <w:szCs w:val="22"/>
              </w:rPr>
            </w:pPr>
            <w:r w:rsidRPr="004B2277">
              <w:rPr>
                <w:rFonts w:ascii="Lato" w:hAnsi="Lato"/>
                <w:b/>
                <w:sz w:val="22"/>
                <w:szCs w:val="22"/>
              </w:rPr>
              <w:t>Relevant resources and links</w:t>
            </w:r>
          </w:p>
        </w:tc>
        <w:tc>
          <w:tcPr>
            <w:tcW w:w="6095" w:type="dxa"/>
            <w:tcBorders>
              <w:top w:val="single" w:sz="4" w:space="0" w:color="auto"/>
              <w:left w:val="single" w:sz="4" w:space="0" w:color="auto"/>
              <w:bottom w:val="single" w:sz="4" w:space="0" w:color="auto"/>
              <w:right w:val="single" w:sz="4" w:space="0" w:color="auto"/>
            </w:tcBorders>
            <w:hideMark/>
          </w:tcPr>
          <w:p w:rsidR="00641CF3" w:rsidRPr="004B2277" w:rsidRDefault="006014E3" w:rsidP="00641CF3">
            <w:pPr>
              <w:pStyle w:val="BodyText"/>
              <w:numPr>
                <w:ilvl w:val="0"/>
                <w:numId w:val="45"/>
              </w:numPr>
              <w:spacing w:before="60" w:after="0"/>
              <w:ind w:left="357" w:right="142" w:hanging="357"/>
              <w:rPr>
                <w:rFonts w:ascii="Lato" w:hAnsi="Lato"/>
                <w:sz w:val="22"/>
                <w:szCs w:val="22"/>
              </w:rPr>
            </w:pPr>
            <w:hyperlink r:id="rId19" w:history="1">
              <w:r w:rsidR="00641CF3" w:rsidRPr="004B2277">
                <w:rPr>
                  <w:rStyle w:val="Hyperlink"/>
                  <w:rFonts w:ascii="Lato" w:hAnsi="Lato" w:cs="Arial"/>
                  <w:bCs/>
                  <w:sz w:val="22"/>
                  <w:szCs w:val="22"/>
                  <w:lang w:val="en-US"/>
                </w:rPr>
                <w:t>SAFE NT</w:t>
              </w:r>
            </w:hyperlink>
          </w:p>
        </w:tc>
      </w:tr>
    </w:tbl>
    <w:p w:rsidR="00641CF3" w:rsidRPr="004B2277" w:rsidRDefault="00641CF3" w:rsidP="00641CF3">
      <w:pPr>
        <w:pStyle w:val="ListParagraph"/>
        <w:spacing w:before="120" w:after="120"/>
        <w:ind w:left="0"/>
        <w:contextualSpacing w:val="0"/>
        <w:rPr>
          <w:rFonts w:ascii="Lato" w:hAnsi="Lato"/>
          <w:sz w:val="22"/>
          <w:szCs w:val="22"/>
        </w:rPr>
      </w:pPr>
      <w:bookmarkStart w:id="1" w:name="_APPENDIX_A:_"/>
      <w:bookmarkStart w:id="2" w:name="_APPENDIX_A:__1"/>
      <w:bookmarkEnd w:id="1"/>
      <w:bookmarkEnd w:id="2"/>
    </w:p>
    <w:p w:rsidR="00641CF3" w:rsidRPr="004B2277" w:rsidRDefault="00641CF3" w:rsidP="00641CF3">
      <w:pPr>
        <w:pStyle w:val="Heading3"/>
        <w:numPr>
          <w:ilvl w:val="0"/>
          <w:numId w:val="47"/>
        </w:numPr>
        <w:spacing w:before="240" w:after="240"/>
        <w:ind w:left="714" w:hanging="357"/>
        <w:rPr>
          <w:rFonts w:ascii="Lato" w:hAnsi="Lato"/>
          <w:sz w:val="28"/>
          <w:szCs w:val="28"/>
          <w:lang w:val="en-US"/>
        </w:rPr>
      </w:pPr>
      <w:r w:rsidRPr="004B2277">
        <w:rPr>
          <w:rFonts w:ascii="Lato" w:hAnsi="Lato"/>
          <w:sz w:val="28"/>
          <w:szCs w:val="28"/>
          <w:lang w:val="en-US"/>
        </w:rPr>
        <w:lastRenderedPageBreak/>
        <w:t>ATTACHMENTS</w:t>
      </w:r>
    </w:p>
    <w:p w:rsidR="00641CF3" w:rsidRPr="004B2277" w:rsidRDefault="00641CF3" w:rsidP="00641CF3">
      <w:pPr>
        <w:ind w:left="714"/>
        <w:rPr>
          <w:rFonts w:ascii="Lato" w:hAnsi="Lato"/>
          <w:lang w:val="en-US"/>
        </w:rPr>
      </w:pPr>
    </w:p>
    <w:p w:rsidR="00641CF3" w:rsidRPr="004B2277" w:rsidRDefault="00641CF3" w:rsidP="00641CF3">
      <w:pPr>
        <w:ind w:left="397"/>
        <w:rPr>
          <w:rFonts w:ascii="Lato" w:hAnsi="Lato"/>
          <w:sz w:val="22"/>
          <w:szCs w:val="22"/>
          <w:lang w:val="en-US"/>
        </w:rPr>
      </w:pPr>
      <w:r w:rsidRPr="004B2277">
        <w:rPr>
          <w:rFonts w:ascii="Lato" w:hAnsi="Lato"/>
          <w:sz w:val="22"/>
          <w:szCs w:val="22"/>
          <w:lang w:val="en-US"/>
        </w:rPr>
        <w:t>Attachment A – List of disqualifying offences</w:t>
      </w:r>
    </w:p>
    <w:p w:rsidR="00641CF3" w:rsidRPr="004B2277" w:rsidRDefault="00641CF3" w:rsidP="00641CF3">
      <w:pPr>
        <w:ind w:left="397"/>
        <w:rPr>
          <w:rFonts w:ascii="Lato" w:hAnsi="Lato"/>
          <w:sz w:val="22"/>
          <w:szCs w:val="22"/>
          <w:lang w:val="en-US"/>
        </w:rPr>
      </w:pPr>
      <w:r w:rsidRPr="004B2277">
        <w:rPr>
          <w:rFonts w:ascii="Lato" w:hAnsi="Lato"/>
          <w:sz w:val="22"/>
          <w:szCs w:val="22"/>
          <w:lang w:val="en-US"/>
        </w:rPr>
        <w:t>Attachment B – Vetting entity letter template – Refusal notice to applicant</w:t>
      </w:r>
      <w:r w:rsidRPr="004B2277" w:rsidDel="009F7214">
        <w:rPr>
          <w:rFonts w:ascii="Lato" w:hAnsi="Lato"/>
          <w:sz w:val="22"/>
          <w:szCs w:val="22"/>
          <w:lang w:val="en-US"/>
        </w:rPr>
        <w:t xml:space="preserve"> </w:t>
      </w:r>
    </w:p>
    <w:p w:rsidR="00641CF3" w:rsidRPr="004B2277" w:rsidRDefault="00641CF3" w:rsidP="00641CF3">
      <w:pPr>
        <w:ind w:left="397"/>
        <w:rPr>
          <w:rFonts w:ascii="Lato" w:hAnsi="Lato"/>
          <w:sz w:val="22"/>
          <w:szCs w:val="22"/>
          <w:lang w:val="en-US"/>
        </w:rPr>
      </w:pPr>
      <w:r w:rsidRPr="004B2277">
        <w:rPr>
          <w:rFonts w:ascii="Lato" w:hAnsi="Lato"/>
          <w:sz w:val="22"/>
          <w:szCs w:val="22"/>
          <w:lang w:val="en-US"/>
        </w:rPr>
        <w:t>Attachment C – Vetting entity letter template – Refusal notice to principal</w:t>
      </w:r>
      <w:r w:rsidRPr="004B2277" w:rsidDel="009F7214">
        <w:rPr>
          <w:rFonts w:ascii="Lato" w:hAnsi="Lato"/>
          <w:sz w:val="22"/>
          <w:szCs w:val="22"/>
          <w:lang w:val="en-US"/>
        </w:rPr>
        <w:t xml:space="preserve"> </w:t>
      </w:r>
    </w:p>
    <w:p w:rsidR="00641CF3" w:rsidRPr="004B2277" w:rsidRDefault="00641CF3" w:rsidP="00641CF3">
      <w:pPr>
        <w:ind w:left="397"/>
        <w:rPr>
          <w:rFonts w:ascii="Lato" w:hAnsi="Lato"/>
          <w:sz w:val="22"/>
          <w:szCs w:val="22"/>
          <w:lang w:val="en-US"/>
        </w:rPr>
      </w:pPr>
      <w:r w:rsidRPr="004B2277">
        <w:rPr>
          <w:rFonts w:ascii="Lato" w:hAnsi="Lato"/>
          <w:sz w:val="22"/>
          <w:szCs w:val="22"/>
          <w:lang w:val="en-US"/>
        </w:rPr>
        <w:t>Attachment D – Vetting entity letter template – Notice of other offences to be considered to principal</w:t>
      </w:r>
      <w:r w:rsidRPr="004B2277" w:rsidDel="009F7214">
        <w:rPr>
          <w:rFonts w:ascii="Lato" w:hAnsi="Lato"/>
          <w:sz w:val="22"/>
          <w:szCs w:val="22"/>
          <w:lang w:val="en-US"/>
        </w:rPr>
        <w:t xml:space="preserve"> </w:t>
      </w:r>
    </w:p>
    <w:p w:rsidR="00641CF3" w:rsidRPr="004B2277" w:rsidRDefault="00641CF3" w:rsidP="00641CF3">
      <w:pPr>
        <w:ind w:left="397"/>
        <w:rPr>
          <w:rFonts w:ascii="Lato" w:hAnsi="Lato"/>
          <w:sz w:val="22"/>
          <w:szCs w:val="22"/>
          <w:lang w:val="en-US"/>
        </w:rPr>
      </w:pPr>
      <w:r w:rsidRPr="004B2277">
        <w:rPr>
          <w:rFonts w:ascii="Lato" w:hAnsi="Lato"/>
          <w:sz w:val="22"/>
          <w:szCs w:val="22"/>
          <w:lang w:val="en-US"/>
        </w:rPr>
        <w:t>Attachment E – Vetting entity letter template – Notice of no convictions to principal</w:t>
      </w:r>
    </w:p>
    <w:p w:rsidR="00641CF3" w:rsidRPr="004B2277" w:rsidRDefault="00641CF3" w:rsidP="00641CF3">
      <w:pPr>
        <w:ind w:left="397"/>
        <w:rPr>
          <w:rFonts w:ascii="Lato" w:hAnsi="Lato"/>
          <w:sz w:val="22"/>
          <w:szCs w:val="22"/>
          <w:lang w:val="en-US"/>
        </w:rPr>
      </w:pPr>
      <w:r w:rsidRPr="004B2277">
        <w:rPr>
          <w:rFonts w:ascii="Lato" w:hAnsi="Lato"/>
          <w:sz w:val="22"/>
          <w:szCs w:val="22"/>
          <w:lang w:val="en-US"/>
        </w:rPr>
        <w:t xml:space="preserve">Attachment F – CE response letter template – response to applicant’s request to review decision </w:t>
      </w:r>
    </w:p>
    <w:p w:rsidR="00343B24" w:rsidRPr="00C23039" w:rsidRDefault="00343B24" w:rsidP="00641CF3">
      <w:pPr>
        <w:rPr>
          <w:rFonts w:ascii="Lato" w:hAnsi="Lato" w:cs="Arial"/>
          <w:sz w:val="24"/>
        </w:rPr>
      </w:pPr>
    </w:p>
    <w:sectPr w:rsidR="00343B24" w:rsidRPr="00C23039" w:rsidSect="00B3033E">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851" w:bottom="993"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2B" w:rsidRDefault="0066792B">
      <w:r>
        <w:separator/>
      </w:r>
    </w:p>
  </w:endnote>
  <w:endnote w:type="continuationSeparator" w:id="0">
    <w:p w:rsidR="0066792B" w:rsidRDefault="006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5E" w:rsidRDefault="00362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5B6284" w:rsidRDefault="00F3258F" w:rsidP="00067E81">
    <w:pPr>
      <w:pStyle w:val="Footer"/>
      <w:tabs>
        <w:tab w:val="left" w:pos="-2410"/>
        <w:tab w:val="right" w:pos="10204"/>
      </w:tabs>
      <w:ind w:left="0"/>
    </w:pPr>
    <w:r w:rsidRPr="00513404">
      <w:t xml:space="preserve">Page </w:t>
    </w:r>
    <w:r>
      <w:fldChar w:fldCharType="begin"/>
    </w:r>
    <w:r>
      <w:instrText xml:space="preserve"> PAGE </w:instrText>
    </w:r>
    <w:r>
      <w:fldChar w:fldCharType="separate"/>
    </w:r>
    <w:r w:rsidR="006014E3">
      <w:rPr>
        <w:noProof/>
      </w:rPr>
      <w:t>5</w:t>
    </w:r>
    <w:r>
      <w:rPr>
        <w:noProof/>
      </w:rPr>
      <w:fldChar w:fldCharType="end"/>
    </w:r>
    <w:r>
      <w:t xml:space="preserve"> of </w:t>
    </w:r>
    <w:r w:rsidR="006014E3">
      <w:fldChar w:fldCharType="begin"/>
    </w:r>
    <w:r w:rsidR="006014E3">
      <w:instrText xml:space="preserve"> NUMPAGES  </w:instrText>
    </w:r>
    <w:r w:rsidR="006014E3">
      <w:fldChar w:fldCharType="separate"/>
    </w:r>
    <w:r w:rsidR="006014E3">
      <w:rPr>
        <w:noProof/>
      </w:rPr>
      <w:t>5</w:t>
    </w:r>
    <w:r w:rsidR="006014E3">
      <w:rPr>
        <w:noProof/>
      </w:rPr>
      <w:fldChar w:fldCharType="end"/>
    </w:r>
    <w:r>
      <w:rPr>
        <w:b/>
        <w:sz w:val="24"/>
      </w:rPr>
      <w:tab/>
    </w:r>
    <w:r>
      <w:rPr>
        <w:sz w:val="24"/>
      </w:rPr>
      <w:t>www.education</w:t>
    </w:r>
    <w:r w:rsidRPr="003D1153">
      <w:rPr>
        <w:sz w:val="24"/>
      </w:rPr>
      <w:t>.nt.gov.au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7C1A21" w:rsidRDefault="00F3258F" w:rsidP="00883EAC">
    <w:pPr>
      <w:pStyle w:val="Footer"/>
      <w:tabs>
        <w:tab w:val="left" w:pos="-2410"/>
        <w:tab w:val="right" w:pos="10204"/>
      </w:tabs>
      <w:ind w:left="0"/>
      <w:rPr>
        <w:rFonts w:ascii="Lato" w:hAnsi="Lato"/>
      </w:rPr>
    </w:pPr>
    <w:r w:rsidRPr="007C1A21">
      <w:rPr>
        <w:rFonts w:ascii="Lato" w:hAnsi="Lato"/>
      </w:rPr>
      <w:t xml:space="preserve">Page </w:t>
    </w:r>
    <w:r w:rsidRPr="007C1A21">
      <w:rPr>
        <w:rFonts w:ascii="Lato" w:hAnsi="Lato"/>
        <w:b/>
        <w:sz w:val="24"/>
      </w:rPr>
      <w:fldChar w:fldCharType="begin"/>
    </w:r>
    <w:r w:rsidRPr="007C1A21">
      <w:rPr>
        <w:rFonts w:ascii="Lato" w:hAnsi="Lato"/>
        <w:b/>
      </w:rPr>
      <w:instrText xml:space="preserve"> PAGE </w:instrText>
    </w:r>
    <w:r w:rsidRPr="007C1A21">
      <w:rPr>
        <w:rFonts w:ascii="Lato" w:hAnsi="Lato"/>
        <w:b/>
        <w:sz w:val="24"/>
      </w:rPr>
      <w:fldChar w:fldCharType="separate"/>
    </w:r>
    <w:r w:rsidR="006014E3">
      <w:rPr>
        <w:rFonts w:ascii="Lato" w:hAnsi="Lato"/>
        <w:b/>
        <w:noProof/>
      </w:rPr>
      <w:t>1</w:t>
    </w:r>
    <w:r w:rsidRPr="007C1A21">
      <w:rPr>
        <w:rFonts w:ascii="Lato" w:hAnsi="Lato"/>
        <w:b/>
        <w:sz w:val="24"/>
      </w:rPr>
      <w:fldChar w:fldCharType="end"/>
    </w:r>
    <w:r w:rsidRPr="007C1A21">
      <w:rPr>
        <w:rFonts w:ascii="Lato" w:hAnsi="Lato"/>
      </w:rPr>
      <w:t xml:space="preserve"> of </w:t>
    </w:r>
    <w:r w:rsidRPr="007C1A21">
      <w:rPr>
        <w:rFonts w:ascii="Lato" w:hAnsi="Lato"/>
        <w:b/>
        <w:sz w:val="24"/>
      </w:rPr>
      <w:fldChar w:fldCharType="begin"/>
    </w:r>
    <w:r w:rsidRPr="007C1A21">
      <w:rPr>
        <w:rFonts w:ascii="Lato" w:hAnsi="Lato"/>
        <w:b/>
      </w:rPr>
      <w:instrText xml:space="preserve"> NUMPAGES  </w:instrText>
    </w:r>
    <w:r w:rsidRPr="007C1A21">
      <w:rPr>
        <w:rFonts w:ascii="Lato" w:hAnsi="Lato"/>
        <w:b/>
        <w:sz w:val="24"/>
      </w:rPr>
      <w:fldChar w:fldCharType="separate"/>
    </w:r>
    <w:r w:rsidR="006014E3">
      <w:rPr>
        <w:rFonts w:ascii="Lato" w:hAnsi="Lato"/>
        <w:b/>
        <w:noProof/>
      </w:rPr>
      <w:t>5</w:t>
    </w:r>
    <w:r w:rsidRPr="007C1A21">
      <w:rPr>
        <w:rFonts w:ascii="Lato" w:hAnsi="Lato"/>
        <w:b/>
        <w:sz w:val="24"/>
      </w:rPr>
      <w:fldChar w:fldCharType="end"/>
    </w:r>
    <w:r w:rsidRPr="007C1A21">
      <w:rPr>
        <w:rFonts w:ascii="Lato" w:hAnsi="Lato"/>
        <w:b/>
        <w:sz w:val="24"/>
      </w:rPr>
      <w:tab/>
    </w:r>
    <w:r w:rsidRPr="007C1A21">
      <w:rPr>
        <w:rFonts w:ascii="Lato" w:hAnsi="Lato"/>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2B" w:rsidRDefault="0066792B">
      <w:r>
        <w:separator/>
      </w:r>
    </w:p>
  </w:footnote>
  <w:footnote w:type="continuationSeparator" w:id="0">
    <w:p w:rsidR="0066792B" w:rsidRDefault="006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5E" w:rsidRDefault="00362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BD18B2" w:rsidRDefault="00C37C10" w:rsidP="00C37C10">
    <w:pPr>
      <w:pStyle w:val="Header"/>
      <w:rPr>
        <w:rFonts w:ascii="Lato" w:hAnsi="Lato"/>
      </w:rPr>
    </w:pPr>
    <w:r w:rsidRPr="00BD18B2">
      <w:rPr>
        <w:rFonts w:ascii="Lato" w:hAnsi="Lato"/>
        <w:bCs/>
        <w:iCs/>
        <w:color w:val="002868"/>
      </w:rPr>
      <w:t>DoE P</w:t>
    </w:r>
    <w:r w:rsidR="00A771E1" w:rsidRPr="00BD18B2">
      <w:rPr>
        <w:rFonts w:ascii="Lato" w:hAnsi="Lato"/>
        <w:bCs/>
        <w:iCs/>
        <w:color w:val="002868"/>
      </w:rPr>
      <w:t>rocedure</w:t>
    </w:r>
    <w:r w:rsidRPr="00BD18B2">
      <w:rPr>
        <w:rFonts w:ascii="Lato" w:hAnsi="Lato"/>
        <w:bCs/>
        <w:iCs/>
        <w:color w:val="002868"/>
      </w:rPr>
      <w:t>:</w:t>
    </w:r>
    <w:r w:rsidR="00A771E1" w:rsidRPr="00BD18B2">
      <w:rPr>
        <w:rFonts w:ascii="Lato" w:hAnsi="Lato"/>
        <w:bCs/>
        <w:iCs/>
        <w:color w:val="002868"/>
      </w:rPr>
      <w:t xml:space="preserve"> </w:t>
    </w:r>
    <w:r w:rsidR="00215B99" w:rsidRPr="00BD18B2">
      <w:rPr>
        <w:rFonts w:ascii="Lato" w:hAnsi="Lato"/>
        <w:b w:val="0"/>
        <w:bCs/>
        <w:iCs/>
        <w:color w:val="auto"/>
      </w:rPr>
      <w:t>Vetting entity review of mature age student enrolment applications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Default="00F3258F" w:rsidP="000846C2">
    <w:pPr>
      <w:tabs>
        <w:tab w:val="left" w:pos="8080"/>
      </w:tabs>
      <w:rPr>
        <w:color w:val="FFFFFF"/>
      </w:rPr>
    </w:pPr>
    <w:r>
      <w:rPr>
        <w:noProof/>
        <w:lang w:eastAsia="en-AU"/>
      </w:rPr>
      <w:drawing>
        <wp:anchor distT="114300" distB="114300" distL="114300" distR="114300" simplePos="0" relativeHeight="251658752" behindDoc="1" locked="0" layoutInCell="0" allowOverlap="1" wp14:anchorId="5CA87C56" wp14:editId="46B6E70D">
          <wp:simplePos x="0" y="0"/>
          <wp:positionH relativeFrom="margin">
            <wp:posOffset>-123825</wp:posOffset>
          </wp:positionH>
          <wp:positionV relativeFrom="margin">
            <wp:posOffset>-2726055</wp:posOffset>
          </wp:positionV>
          <wp:extent cx="2169160" cy="701040"/>
          <wp:effectExtent l="0" t="0" r="0" b="381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2009"/>
      <w:gridCol w:w="992"/>
    </w:tblGrid>
    <w:tr w:rsidR="00F3258F" w:rsidTr="00195D9D">
      <w:trPr>
        <w:cantSplit/>
        <w:trHeight w:hRule="exact" w:val="680"/>
      </w:trPr>
      <w:tc>
        <w:tcPr>
          <w:tcW w:w="10514" w:type="dxa"/>
          <w:gridSpan w:val="4"/>
          <w:vAlign w:val="center"/>
        </w:tcPr>
        <w:p w:rsidR="00F3258F" w:rsidRPr="00195D9D" w:rsidRDefault="00641CF3">
          <w:pPr>
            <w:pStyle w:val="BannerBig"/>
            <w:rPr>
              <w:rFonts w:ascii="Lato Black" w:hAnsi="Lato Black"/>
              <w:color w:val="002868"/>
              <w:sz w:val="46"/>
              <w:szCs w:val="46"/>
            </w:rPr>
          </w:pPr>
          <w:r w:rsidRPr="00641CF3">
            <w:rPr>
              <w:rFonts w:ascii="Lato Black" w:hAnsi="Lato Black"/>
              <w:color w:val="002868"/>
              <w:sz w:val="46"/>
              <w:szCs w:val="46"/>
            </w:rPr>
            <w:t>PROCEDURES</w:t>
          </w:r>
        </w:p>
      </w:tc>
    </w:tr>
    <w:tr w:rsidR="00F3258F" w:rsidTr="00195D9D">
      <w:trPr>
        <w:cantSplit/>
        <w:trHeight w:val="794"/>
      </w:trPr>
      <w:tc>
        <w:tcPr>
          <w:tcW w:w="10514" w:type="dxa"/>
          <w:gridSpan w:val="4"/>
          <w:vAlign w:val="center"/>
        </w:tcPr>
        <w:p w:rsidR="00641CF3" w:rsidRPr="00641CF3" w:rsidRDefault="00641CF3" w:rsidP="00641CF3">
          <w:pPr>
            <w:pStyle w:val="PolicyTitle"/>
            <w:rPr>
              <w:rFonts w:ascii="Lato" w:hAnsi="Lato"/>
            </w:rPr>
          </w:pPr>
          <w:r w:rsidRPr="00641CF3">
            <w:rPr>
              <w:rFonts w:ascii="Lato" w:hAnsi="Lato"/>
            </w:rPr>
            <w:t>VETTING ENTITY REVIEW OF MATURE AGE STUDENT ENROLMENT</w:t>
          </w:r>
        </w:p>
        <w:p w:rsidR="00F3258F" w:rsidRPr="00195D9D" w:rsidRDefault="00641CF3" w:rsidP="00641CF3">
          <w:pPr>
            <w:pStyle w:val="PolicyTitle"/>
            <w:rPr>
              <w:rFonts w:ascii="Lato" w:hAnsi="Lato"/>
            </w:rPr>
          </w:pPr>
          <w:r w:rsidRPr="00641CF3">
            <w:rPr>
              <w:rFonts w:ascii="Lato" w:hAnsi="Lato"/>
            </w:rPr>
            <w:t>APPLICATIONS</w:t>
          </w:r>
        </w:p>
      </w:tc>
    </w:tr>
    <w:tr w:rsidR="0036245E" w:rsidTr="00670161">
      <w:trPr>
        <w:cantSplit/>
        <w:trHeight w:val="284"/>
      </w:trPr>
      <w:tc>
        <w:tcPr>
          <w:tcW w:w="2127" w:type="dxa"/>
          <w:vAlign w:val="center"/>
        </w:tcPr>
        <w:p w:rsidR="0036245E" w:rsidRPr="00195D9D" w:rsidRDefault="0036245E" w:rsidP="00343B24">
          <w:pPr>
            <w:pStyle w:val="Header"/>
            <w:rPr>
              <w:rFonts w:ascii="Lato" w:hAnsi="Lato"/>
              <w:sz w:val="22"/>
              <w:szCs w:val="22"/>
            </w:rPr>
          </w:pPr>
          <w:r w:rsidRPr="00195D9D">
            <w:rPr>
              <w:rFonts w:ascii="Lato" w:hAnsi="Lato"/>
              <w:sz w:val="22"/>
              <w:szCs w:val="22"/>
            </w:rPr>
            <w:t>Responsibility of:</w:t>
          </w:r>
        </w:p>
      </w:tc>
      <w:tc>
        <w:tcPr>
          <w:tcW w:w="5386" w:type="dxa"/>
          <w:vAlign w:val="center"/>
        </w:tcPr>
        <w:p w:rsidR="0036245E" w:rsidRDefault="0036245E" w:rsidP="00343B24">
          <w:pPr>
            <w:pStyle w:val="Header"/>
          </w:pPr>
          <w:r>
            <w:t>School Support Services</w:t>
          </w:r>
        </w:p>
      </w:tc>
      <w:tc>
        <w:tcPr>
          <w:tcW w:w="3001" w:type="dxa"/>
          <w:gridSpan w:val="2"/>
          <w:vAlign w:val="center"/>
        </w:tcPr>
        <w:p w:rsidR="0036245E" w:rsidRPr="007F1076" w:rsidRDefault="0036245E" w:rsidP="00343B24">
          <w:pPr>
            <w:pStyle w:val="Header"/>
            <w:rPr>
              <w:lang w:val="en-US"/>
            </w:rPr>
          </w:pPr>
          <w:r w:rsidRPr="00641CF3">
            <w:t>FILE2016/205</w:t>
          </w:r>
        </w:p>
      </w:tc>
    </w:tr>
    <w:tr w:rsidR="00343B24" w:rsidTr="00195D9D">
      <w:trPr>
        <w:cantSplit/>
        <w:trHeight w:val="284"/>
      </w:trPr>
      <w:tc>
        <w:tcPr>
          <w:tcW w:w="2127"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Effective Date:</w:t>
          </w:r>
        </w:p>
      </w:tc>
      <w:tc>
        <w:tcPr>
          <w:tcW w:w="5386" w:type="dxa"/>
          <w:vAlign w:val="center"/>
        </w:tcPr>
        <w:p w:rsidR="00343B24" w:rsidRDefault="00C37C10" w:rsidP="00343B24">
          <w:pPr>
            <w:pStyle w:val="Header"/>
          </w:pPr>
          <w:r w:rsidRPr="00C37C10">
            <w:t>December 2016</w:t>
          </w:r>
        </w:p>
      </w:tc>
      <w:tc>
        <w:tcPr>
          <w:tcW w:w="3001" w:type="dxa"/>
          <w:gridSpan w:val="2"/>
          <w:vAlign w:val="center"/>
        </w:tcPr>
        <w:p w:rsidR="00343B24" w:rsidRPr="00195D9D" w:rsidRDefault="00641CF3" w:rsidP="00C23039">
          <w:pPr>
            <w:pStyle w:val="Header"/>
            <w:rPr>
              <w:rFonts w:ascii="Lato" w:hAnsi="Lato"/>
              <w:sz w:val="22"/>
              <w:szCs w:val="22"/>
            </w:rPr>
          </w:pPr>
          <w:r w:rsidRPr="00641CF3">
            <w:rPr>
              <w:rFonts w:ascii="Lato" w:hAnsi="Lato"/>
              <w:sz w:val="22"/>
              <w:szCs w:val="22"/>
            </w:rPr>
            <w:t>EDOC2</w:t>
          </w:r>
          <w:bookmarkStart w:id="3" w:name="_GoBack"/>
          <w:bookmarkEnd w:id="3"/>
          <w:r w:rsidRPr="00641CF3">
            <w:rPr>
              <w:rFonts w:ascii="Lato" w:hAnsi="Lato"/>
              <w:sz w:val="22"/>
              <w:szCs w:val="22"/>
            </w:rPr>
            <w:t>016/7183</w:t>
          </w:r>
        </w:p>
      </w:tc>
    </w:tr>
    <w:tr w:rsidR="00343B24" w:rsidTr="00195D9D">
      <w:trPr>
        <w:cantSplit/>
        <w:trHeight w:val="284"/>
      </w:trPr>
      <w:tc>
        <w:tcPr>
          <w:tcW w:w="2127"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Next Review Date:</w:t>
          </w:r>
        </w:p>
      </w:tc>
      <w:tc>
        <w:tcPr>
          <w:tcW w:w="5386" w:type="dxa"/>
          <w:vAlign w:val="center"/>
        </w:tcPr>
        <w:p w:rsidR="00343B24" w:rsidRDefault="00C37C10" w:rsidP="00056372">
          <w:pPr>
            <w:pStyle w:val="Header"/>
          </w:pPr>
          <w:r>
            <w:t xml:space="preserve">December </w:t>
          </w:r>
          <w:r w:rsidR="00056372">
            <w:t>2019</w:t>
          </w:r>
        </w:p>
      </w:tc>
      <w:tc>
        <w:tcPr>
          <w:tcW w:w="2009"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Version Number:</w:t>
          </w:r>
        </w:p>
      </w:tc>
      <w:tc>
        <w:tcPr>
          <w:tcW w:w="992" w:type="dxa"/>
          <w:vAlign w:val="center"/>
        </w:tcPr>
        <w:p w:rsidR="00343B24" w:rsidRPr="00195D9D" w:rsidRDefault="00641CF3" w:rsidP="00C23039">
          <w:pPr>
            <w:pStyle w:val="Header"/>
            <w:rPr>
              <w:rFonts w:ascii="Lato" w:hAnsi="Lato"/>
              <w:sz w:val="22"/>
              <w:szCs w:val="22"/>
            </w:rPr>
          </w:pPr>
          <w:r>
            <w:rPr>
              <w:rFonts w:ascii="Lato" w:hAnsi="Lato"/>
              <w:sz w:val="22"/>
              <w:szCs w:val="22"/>
            </w:rPr>
            <w:t>1</w:t>
          </w:r>
        </w:p>
      </w:tc>
    </w:tr>
    <w:tr w:rsidR="00F3258F" w:rsidTr="00195D9D">
      <w:trPr>
        <w:cantSplit/>
        <w:trHeight w:val="284"/>
      </w:trPr>
      <w:tc>
        <w:tcPr>
          <w:tcW w:w="2127" w:type="dxa"/>
          <w:vAlign w:val="center"/>
        </w:tcPr>
        <w:p w:rsidR="00F3258F" w:rsidRPr="00195D9D" w:rsidRDefault="00F3258F">
          <w:pPr>
            <w:pStyle w:val="Header"/>
            <w:rPr>
              <w:rFonts w:ascii="Lato" w:hAnsi="Lato"/>
              <w:sz w:val="22"/>
              <w:szCs w:val="22"/>
            </w:rPr>
          </w:pPr>
          <w:r w:rsidRPr="00195D9D">
            <w:rPr>
              <w:rFonts w:ascii="Lato" w:hAnsi="Lato"/>
              <w:sz w:val="22"/>
              <w:szCs w:val="22"/>
            </w:rPr>
            <w:t>Target Audience:</w:t>
          </w:r>
        </w:p>
      </w:tc>
      <w:tc>
        <w:tcPr>
          <w:tcW w:w="5386" w:type="dxa"/>
          <w:vAlign w:val="center"/>
        </w:tcPr>
        <w:p w:rsidR="00F3258F" w:rsidRPr="00195D9D" w:rsidRDefault="00641CF3" w:rsidP="00C23039">
          <w:pPr>
            <w:pStyle w:val="Header"/>
            <w:rPr>
              <w:rFonts w:ascii="Lato" w:hAnsi="Lato"/>
              <w:sz w:val="22"/>
              <w:szCs w:val="22"/>
            </w:rPr>
          </w:pPr>
          <w:r w:rsidRPr="00641CF3">
            <w:rPr>
              <w:rFonts w:ascii="Lato" w:hAnsi="Lato"/>
              <w:sz w:val="22"/>
              <w:szCs w:val="22"/>
            </w:rPr>
            <w:t>Executive Directors Schools North and South</w:t>
          </w:r>
        </w:p>
      </w:tc>
      <w:tc>
        <w:tcPr>
          <w:tcW w:w="3001" w:type="dxa"/>
          <w:gridSpan w:val="2"/>
          <w:vAlign w:val="center"/>
        </w:tcPr>
        <w:p w:rsidR="00F3258F" w:rsidRPr="00195D9D" w:rsidRDefault="00F3258F">
          <w:pPr>
            <w:pStyle w:val="Header"/>
            <w:tabs>
              <w:tab w:val="left" w:pos="2160"/>
            </w:tabs>
            <w:rPr>
              <w:rFonts w:ascii="Lato" w:hAnsi="Lato"/>
              <w:sz w:val="22"/>
              <w:szCs w:val="22"/>
            </w:rPr>
          </w:pPr>
        </w:p>
      </w:tc>
    </w:tr>
  </w:tbl>
  <w:p w:rsidR="00F3258F" w:rsidRDefault="00F3258F" w:rsidP="000846C2">
    <w:pPr>
      <w:pStyle w:val="Header"/>
    </w:pPr>
    <w:r>
      <w:rPr>
        <w:noProof/>
        <w:lang w:eastAsia="en-AU"/>
      </w:rPr>
      <w:drawing>
        <wp:anchor distT="114300" distB="114300" distL="114300" distR="114300" simplePos="0" relativeHeight="251657728" behindDoc="1" locked="0" layoutInCell="1" allowOverlap="1" wp14:anchorId="71CAC891" wp14:editId="0B7D63A2">
          <wp:simplePos x="0" y="0"/>
          <wp:positionH relativeFrom="margin">
            <wp:posOffset>4483735</wp:posOffset>
          </wp:positionH>
          <wp:positionV relativeFrom="page">
            <wp:posOffset>635</wp:posOffset>
          </wp:positionV>
          <wp:extent cx="704850" cy="11049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rsidR="00F3258F" w:rsidRDefault="00F3258F" w:rsidP="000846C2">
    <w:pPr>
      <w:pStyle w:val="Header"/>
    </w:pPr>
    <w:r>
      <w:rPr>
        <w:noProof/>
        <w:lang w:eastAsia="en-AU"/>
      </w:rPr>
      <mc:AlternateContent>
        <mc:Choice Requires="wps">
          <w:drawing>
            <wp:anchor distT="0" distB="0" distL="114300" distR="114300" simplePos="0" relativeHeight="251655680" behindDoc="0" locked="0" layoutInCell="1" allowOverlap="1" wp14:anchorId="6463E231" wp14:editId="66E94F4F">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8F" w:rsidRDefault="00F3258F" w:rsidP="000846C2">
                          <w:pPr>
                            <w:pStyle w:val="Departmentof"/>
                          </w:pPr>
                          <w:r>
                            <w:t>Department of</w:t>
                          </w:r>
                        </w:p>
                        <w:p w:rsidR="00F3258F" w:rsidRDefault="00F3258F"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E231"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F3258F" w:rsidRDefault="00F3258F" w:rsidP="000846C2">
                    <w:pPr>
                      <w:pStyle w:val="Departmentof"/>
                    </w:pPr>
                    <w:r>
                      <w:t>Department of</w:t>
                    </w:r>
                  </w:p>
                  <w:p w:rsidR="00F3258F" w:rsidRDefault="00F3258F" w:rsidP="000846C2">
                    <w:pPr>
                      <w:pStyle w:val="Departmentname"/>
                    </w:pPr>
                    <w:r>
                      <w:t>Education</w:t>
                    </w:r>
                  </w:p>
                </w:txbxContent>
              </v:textbox>
              <w10:wrap type="tight" anchorx="page" anchory="page"/>
            </v:shape>
          </w:pict>
        </mc:Fallback>
      </mc:AlternateContent>
    </w:r>
  </w:p>
  <w:p w:rsidR="00F3258F" w:rsidRDefault="00F3258F" w:rsidP="000846C2">
    <w:pPr>
      <w:pStyle w:val="Header"/>
    </w:pPr>
  </w:p>
  <w:p w:rsidR="00F3258F" w:rsidRDefault="00F3258F" w:rsidP="000846C2">
    <w:pPr>
      <w:pStyle w:val="Header"/>
      <w:tabs>
        <w:tab w:val="left" w:pos="7515"/>
      </w:tabs>
    </w:pPr>
    <w:r>
      <w:tab/>
    </w:r>
  </w:p>
  <w:p w:rsidR="00F3258F" w:rsidRDefault="00F3258F" w:rsidP="000F239E">
    <w:pPr>
      <w:pStyle w:val="Header"/>
      <w:tabs>
        <w:tab w:val="right" w:pos="8789"/>
      </w:tabs>
      <w:rPr>
        <w:color w:val="FFFFFF"/>
      </w:rPr>
    </w:pPr>
    <w:r>
      <w:rPr>
        <w:noProof/>
        <w:lang w:eastAsia="en-AU"/>
      </w:rPr>
      <mc:AlternateContent>
        <mc:Choice Requires="wps">
          <w:drawing>
            <wp:anchor distT="0" distB="0" distL="114300" distR="114300" simplePos="0" relativeHeight="251656704" behindDoc="0" locked="0" layoutInCell="1" allowOverlap="1" wp14:anchorId="1F947DEA" wp14:editId="1EAF4949">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8F" w:rsidRDefault="00F3258F"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F947DEA" id="Text Box 9" o:spid="_x0000_s1027" type="#_x0000_t202" style="position:absolute;margin-left:371.3pt;margin-top:682.9pt;width:124.7pt;height:1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F3258F" w:rsidRDefault="00F3258F" w:rsidP="000846C2">
                    <w:pPr>
                      <w:pStyle w:val="web"/>
                    </w:pPr>
                    <w:r>
                      <w:t>www.education.nt.gov.au</w:t>
                    </w:r>
                  </w:p>
                </w:txbxContent>
              </v:textbox>
              <w10:wrap type="tight" anchorx="margin" anchory="margin"/>
            </v:shape>
          </w:pict>
        </mc:Fallback>
      </mc:AlternateContent>
    </w:r>
  </w:p>
  <w:p w:rsidR="00F3258F" w:rsidRDefault="00F3258F">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7D77264"/>
    <w:multiLevelType w:val="hybridMultilevel"/>
    <w:tmpl w:val="4812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9106E"/>
    <w:multiLevelType w:val="hybridMultilevel"/>
    <w:tmpl w:val="46C8BB5E"/>
    <w:lvl w:ilvl="0" w:tplc="B83099C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D56EA6"/>
    <w:multiLevelType w:val="hybridMultilevel"/>
    <w:tmpl w:val="66B231CE"/>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5" w15:restartNumberingAfterBreak="0">
    <w:nsid w:val="12016B87"/>
    <w:multiLevelType w:val="multilevel"/>
    <w:tmpl w:val="D4A692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33263"/>
    <w:multiLevelType w:val="hybridMultilevel"/>
    <w:tmpl w:val="736EA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9D14E9"/>
    <w:multiLevelType w:val="hybridMultilevel"/>
    <w:tmpl w:val="AF421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4036B67"/>
    <w:multiLevelType w:val="hybridMultilevel"/>
    <w:tmpl w:val="1518B2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364A7C"/>
    <w:multiLevelType w:val="hybridMultilevel"/>
    <w:tmpl w:val="B040247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293F05"/>
    <w:multiLevelType w:val="hybridMultilevel"/>
    <w:tmpl w:val="D33AD066"/>
    <w:lvl w:ilvl="0" w:tplc="9926B1B2">
      <w:start w:val="1"/>
      <w:numFmt w:val="bullet"/>
      <w:lvlText w:val=""/>
      <w:lvlJc w:val="left"/>
      <w:pPr>
        <w:tabs>
          <w:tab w:val="num" w:pos="1080"/>
        </w:tabs>
        <w:ind w:left="1015" w:hanging="29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EB57B1"/>
    <w:multiLevelType w:val="hybridMultilevel"/>
    <w:tmpl w:val="F50C8C58"/>
    <w:lvl w:ilvl="0" w:tplc="924AA9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73F42"/>
    <w:multiLevelType w:val="hybridMultilevel"/>
    <w:tmpl w:val="E57A1078"/>
    <w:lvl w:ilvl="0" w:tplc="107E1E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1E3BF3"/>
    <w:multiLevelType w:val="hybridMultilevel"/>
    <w:tmpl w:val="0FE2AB44"/>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260E17A8"/>
    <w:multiLevelType w:val="hybridMultilevel"/>
    <w:tmpl w:val="8C5E5A24"/>
    <w:lvl w:ilvl="0" w:tplc="B83099C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5275F3"/>
    <w:multiLevelType w:val="multilevel"/>
    <w:tmpl w:val="B170A87E"/>
    <w:lvl w:ilvl="0">
      <w:start w:val="7"/>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611655D"/>
    <w:multiLevelType w:val="hybridMultilevel"/>
    <w:tmpl w:val="D540B4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36D96500"/>
    <w:multiLevelType w:val="hybridMultilevel"/>
    <w:tmpl w:val="D3D63D40"/>
    <w:lvl w:ilvl="0" w:tplc="1B9ED3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2921AD"/>
    <w:multiLevelType w:val="multilevel"/>
    <w:tmpl w:val="11A2F8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F11E2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B3357FA"/>
    <w:multiLevelType w:val="hybridMultilevel"/>
    <w:tmpl w:val="996C7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22092F"/>
    <w:multiLevelType w:val="hybridMultilevel"/>
    <w:tmpl w:val="707CAF26"/>
    <w:lvl w:ilvl="0" w:tplc="C372A93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DE402A2"/>
    <w:multiLevelType w:val="hybridMultilevel"/>
    <w:tmpl w:val="BA387FC8"/>
    <w:lvl w:ilvl="0" w:tplc="AF9C5FC0">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3F3D441C"/>
    <w:multiLevelType w:val="hybridMultilevel"/>
    <w:tmpl w:val="3D4037C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4A37CC"/>
    <w:multiLevelType w:val="hybridMultilevel"/>
    <w:tmpl w:val="BAC21C1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696F95"/>
    <w:multiLevelType w:val="hybridMultilevel"/>
    <w:tmpl w:val="D2AEF86E"/>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3" w15:restartNumberingAfterBreak="0">
    <w:nsid w:val="4D573E85"/>
    <w:multiLevelType w:val="hybridMultilevel"/>
    <w:tmpl w:val="00FAE8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4E277717"/>
    <w:multiLevelType w:val="hybridMultilevel"/>
    <w:tmpl w:val="127ECE90"/>
    <w:lvl w:ilvl="0" w:tplc="649C4B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1EA4003"/>
    <w:multiLevelType w:val="hybridMultilevel"/>
    <w:tmpl w:val="4EE2A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B11A29"/>
    <w:multiLevelType w:val="hybridMultilevel"/>
    <w:tmpl w:val="1C3A5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417182"/>
    <w:multiLevelType w:val="multilevel"/>
    <w:tmpl w:val="65B4464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91F53C3"/>
    <w:multiLevelType w:val="hybridMultilevel"/>
    <w:tmpl w:val="A3546D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15:restartNumberingAfterBreak="0">
    <w:nsid w:val="5AAE0F32"/>
    <w:multiLevelType w:val="hybridMultilevel"/>
    <w:tmpl w:val="FC2A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A22C98"/>
    <w:multiLevelType w:val="hybridMultilevel"/>
    <w:tmpl w:val="149AB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A96880"/>
    <w:multiLevelType w:val="hybridMultilevel"/>
    <w:tmpl w:val="946A4D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2527366"/>
    <w:multiLevelType w:val="hybridMultilevel"/>
    <w:tmpl w:val="FB06D3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7" w15:restartNumberingAfterBreak="0">
    <w:nsid w:val="72A43BB4"/>
    <w:multiLevelType w:val="hybridMultilevel"/>
    <w:tmpl w:val="6C1E20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8" w15:restartNumberingAfterBreak="0">
    <w:nsid w:val="72BA28CB"/>
    <w:multiLevelType w:val="hybridMultilevel"/>
    <w:tmpl w:val="6490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8A69A5"/>
    <w:multiLevelType w:val="hybridMultilevel"/>
    <w:tmpl w:val="9F98F3F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7"/>
  </w:num>
  <w:num w:numId="4">
    <w:abstractNumId w:val="37"/>
  </w:num>
  <w:num w:numId="5">
    <w:abstractNumId w:val="44"/>
  </w:num>
  <w:num w:numId="6">
    <w:abstractNumId w:val="9"/>
  </w:num>
  <w:num w:numId="7">
    <w:abstractNumId w:val="30"/>
  </w:num>
  <w:num w:numId="8">
    <w:abstractNumId w:val="45"/>
  </w:num>
  <w:num w:numId="9">
    <w:abstractNumId w:val="29"/>
  </w:num>
  <w:num w:numId="10">
    <w:abstractNumId w:val="42"/>
  </w:num>
  <w:num w:numId="11">
    <w:abstractNumId w:val="41"/>
  </w:num>
  <w:num w:numId="12">
    <w:abstractNumId w:val="21"/>
  </w:num>
  <w:num w:numId="13">
    <w:abstractNumId w:val="17"/>
  </w:num>
  <w:num w:numId="14">
    <w:abstractNumId w:val="14"/>
  </w:num>
  <w:num w:numId="15">
    <w:abstractNumId w:val="20"/>
  </w:num>
  <w:num w:numId="16">
    <w:abstractNumId w:val="24"/>
  </w:num>
  <w:num w:numId="17">
    <w:abstractNumId w:val="43"/>
  </w:num>
  <w:num w:numId="18">
    <w:abstractNumId w:val="48"/>
  </w:num>
  <w:num w:numId="19">
    <w:abstractNumId w:val="19"/>
  </w:num>
  <w:num w:numId="20">
    <w:abstractNumId w:val="12"/>
  </w:num>
  <w:num w:numId="21">
    <w:abstractNumId w:val="25"/>
  </w:num>
  <w:num w:numId="22">
    <w:abstractNumId w:val="33"/>
  </w:num>
  <w:num w:numId="23">
    <w:abstractNumId w:val="31"/>
  </w:num>
  <w:num w:numId="24">
    <w:abstractNumId w:val="39"/>
  </w:num>
  <w:num w:numId="25">
    <w:abstractNumId w:val="10"/>
  </w:num>
  <w:num w:numId="26">
    <w:abstractNumId w:val="23"/>
  </w:num>
  <w:num w:numId="27">
    <w:abstractNumId w:val="18"/>
  </w:num>
  <w:num w:numId="28">
    <w:abstractNumId w:val="6"/>
  </w:num>
  <w:num w:numId="29">
    <w:abstractNumId w:val="16"/>
  </w:num>
  <w:num w:numId="30">
    <w:abstractNumId w:val="38"/>
  </w:num>
  <w:num w:numId="31">
    <w:abstractNumId w:val="3"/>
  </w:num>
  <w:num w:numId="32">
    <w:abstractNumId w:val="47"/>
  </w:num>
  <w:num w:numId="33">
    <w:abstractNumId w:val="7"/>
  </w:num>
  <w:num w:numId="34">
    <w:abstractNumId w:val="2"/>
  </w:num>
  <w:num w:numId="35">
    <w:abstractNumId w:val="5"/>
  </w:num>
  <w:num w:numId="36">
    <w:abstractNumId w:val="35"/>
  </w:num>
  <w:num w:numId="37">
    <w:abstractNumId w:val="26"/>
  </w:num>
  <w:num w:numId="38">
    <w:abstractNumId w:val="13"/>
  </w:num>
  <w:num w:numId="39">
    <w:abstractNumId w:val="34"/>
  </w:num>
  <w:num w:numId="40">
    <w:abstractNumId w:val="11"/>
  </w:num>
  <w:num w:numId="41">
    <w:abstractNumId w:val="15"/>
  </w:num>
  <w:num w:numId="42">
    <w:abstractNumId w:val="32"/>
  </w:num>
  <w:num w:numId="43">
    <w:abstractNumId w:val="28"/>
  </w:num>
  <w:num w:numId="44">
    <w:abstractNumId w:val="49"/>
  </w:num>
  <w:num w:numId="45">
    <w:abstractNumId w:val="46"/>
  </w:num>
  <w:num w:numId="46">
    <w:abstractNumId w:val="40"/>
  </w:num>
  <w:num w:numId="47">
    <w:abstractNumId w:val="22"/>
  </w:num>
  <w:num w:numId="48">
    <w:abstractNumId w:val="4"/>
  </w:num>
  <w:num w:numId="49">
    <w:abstractNumId w:val="8"/>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3"/>
    <w:rsid w:val="00003A66"/>
    <w:rsid w:val="00020F03"/>
    <w:rsid w:val="00031674"/>
    <w:rsid w:val="00036F11"/>
    <w:rsid w:val="0005333D"/>
    <w:rsid w:val="000560D8"/>
    <w:rsid w:val="00056372"/>
    <w:rsid w:val="00063F99"/>
    <w:rsid w:val="00066679"/>
    <w:rsid w:val="00067E81"/>
    <w:rsid w:val="000823CA"/>
    <w:rsid w:val="000846C2"/>
    <w:rsid w:val="00086CB5"/>
    <w:rsid w:val="00090E16"/>
    <w:rsid w:val="0009582D"/>
    <w:rsid w:val="000A04F8"/>
    <w:rsid w:val="000B48DD"/>
    <w:rsid w:val="000D159E"/>
    <w:rsid w:val="000E3A0D"/>
    <w:rsid w:val="000F1D88"/>
    <w:rsid w:val="000F239E"/>
    <w:rsid w:val="0010190F"/>
    <w:rsid w:val="001077CA"/>
    <w:rsid w:val="00112C95"/>
    <w:rsid w:val="00112F67"/>
    <w:rsid w:val="00155324"/>
    <w:rsid w:val="00155A7F"/>
    <w:rsid w:val="001623FF"/>
    <w:rsid w:val="001647D2"/>
    <w:rsid w:val="00173603"/>
    <w:rsid w:val="00174DBA"/>
    <w:rsid w:val="00182347"/>
    <w:rsid w:val="00182877"/>
    <w:rsid w:val="001872C8"/>
    <w:rsid w:val="00190B53"/>
    <w:rsid w:val="001913E6"/>
    <w:rsid w:val="00195D9D"/>
    <w:rsid w:val="001A3541"/>
    <w:rsid w:val="001A5BA1"/>
    <w:rsid w:val="001B0A13"/>
    <w:rsid w:val="001B32F2"/>
    <w:rsid w:val="001C2010"/>
    <w:rsid w:val="001C2C39"/>
    <w:rsid w:val="001C5257"/>
    <w:rsid w:val="001E1E6B"/>
    <w:rsid w:val="001F1382"/>
    <w:rsid w:val="001F1F36"/>
    <w:rsid w:val="001F67B0"/>
    <w:rsid w:val="002133FA"/>
    <w:rsid w:val="0021568E"/>
    <w:rsid w:val="00215B99"/>
    <w:rsid w:val="0022316E"/>
    <w:rsid w:val="00232356"/>
    <w:rsid w:val="0023316D"/>
    <w:rsid w:val="00235BA1"/>
    <w:rsid w:val="002429F0"/>
    <w:rsid w:val="00242B6F"/>
    <w:rsid w:val="002456C1"/>
    <w:rsid w:val="00246774"/>
    <w:rsid w:val="00267E21"/>
    <w:rsid w:val="002747B8"/>
    <w:rsid w:val="00275405"/>
    <w:rsid w:val="00286376"/>
    <w:rsid w:val="00292868"/>
    <w:rsid w:val="002960A6"/>
    <w:rsid w:val="002B576E"/>
    <w:rsid w:val="002C47FB"/>
    <w:rsid w:val="002D2052"/>
    <w:rsid w:val="002D4DBE"/>
    <w:rsid w:val="002F3D96"/>
    <w:rsid w:val="002F6C83"/>
    <w:rsid w:val="00320702"/>
    <w:rsid w:val="003255A0"/>
    <w:rsid w:val="00326734"/>
    <w:rsid w:val="00343B24"/>
    <w:rsid w:val="0036245E"/>
    <w:rsid w:val="00375306"/>
    <w:rsid w:val="003769B3"/>
    <w:rsid w:val="0038205B"/>
    <w:rsid w:val="0038444A"/>
    <w:rsid w:val="003A1BDA"/>
    <w:rsid w:val="003C6944"/>
    <w:rsid w:val="003D1153"/>
    <w:rsid w:val="003D6CD1"/>
    <w:rsid w:val="003F4FB9"/>
    <w:rsid w:val="003F6C05"/>
    <w:rsid w:val="0041095E"/>
    <w:rsid w:val="00412E5A"/>
    <w:rsid w:val="00414EA9"/>
    <w:rsid w:val="00456280"/>
    <w:rsid w:val="00460484"/>
    <w:rsid w:val="00463389"/>
    <w:rsid w:val="00477816"/>
    <w:rsid w:val="004844E5"/>
    <w:rsid w:val="0048575B"/>
    <w:rsid w:val="00485B44"/>
    <w:rsid w:val="0049115E"/>
    <w:rsid w:val="004B2277"/>
    <w:rsid w:val="004B3CDB"/>
    <w:rsid w:val="004B3FEC"/>
    <w:rsid w:val="004B4C13"/>
    <w:rsid w:val="004B7D95"/>
    <w:rsid w:val="004C7E5A"/>
    <w:rsid w:val="004E4DF1"/>
    <w:rsid w:val="004E4FC4"/>
    <w:rsid w:val="004F0E43"/>
    <w:rsid w:val="004F71DD"/>
    <w:rsid w:val="004F7F2B"/>
    <w:rsid w:val="005010EA"/>
    <w:rsid w:val="00513404"/>
    <w:rsid w:val="00516D4F"/>
    <w:rsid w:val="0052515F"/>
    <w:rsid w:val="00526884"/>
    <w:rsid w:val="00556473"/>
    <w:rsid w:val="005612E3"/>
    <w:rsid w:val="0057392D"/>
    <w:rsid w:val="00590F5D"/>
    <w:rsid w:val="005B2A0F"/>
    <w:rsid w:val="005B3E2B"/>
    <w:rsid w:val="005B6284"/>
    <w:rsid w:val="005C13CF"/>
    <w:rsid w:val="005C1DAB"/>
    <w:rsid w:val="005C3779"/>
    <w:rsid w:val="005D3D34"/>
    <w:rsid w:val="005E1351"/>
    <w:rsid w:val="005F6A82"/>
    <w:rsid w:val="006014E3"/>
    <w:rsid w:val="00603F6E"/>
    <w:rsid w:val="00621CB5"/>
    <w:rsid w:val="0062491E"/>
    <w:rsid w:val="0063699B"/>
    <w:rsid w:val="00641CF3"/>
    <w:rsid w:val="006571E2"/>
    <w:rsid w:val="00663069"/>
    <w:rsid w:val="006645E9"/>
    <w:rsid w:val="00665EEA"/>
    <w:rsid w:val="0066792B"/>
    <w:rsid w:val="00686874"/>
    <w:rsid w:val="00692F72"/>
    <w:rsid w:val="0069667B"/>
    <w:rsid w:val="006A36FE"/>
    <w:rsid w:val="006B1000"/>
    <w:rsid w:val="006C27D4"/>
    <w:rsid w:val="006C4386"/>
    <w:rsid w:val="006D582B"/>
    <w:rsid w:val="006D7AF1"/>
    <w:rsid w:val="006E142A"/>
    <w:rsid w:val="006F369D"/>
    <w:rsid w:val="006F5BF7"/>
    <w:rsid w:val="00707C7C"/>
    <w:rsid w:val="00715A3B"/>
    <w:rsid w:val="007165FF"/>
    <w:rsid w:val="00716648"/>
    <w:rsid w:val="00722270"/>
    <w:rsid w:val="0072454E"/>
    <w:rsid w:val="007253A7"/>
    <w:rsid w:val="007336DD"/>
    <w:rsid w:val="00741B89"/>
    <w:rsid w:val="00763FE7"/>
    <w:rsid w:val="007663C8"/>
    <w:rsid w:val="00771AFA"/>
    <w:rsid w:val="00774571"/>
    <w:rsid w:val="0078639B"/>
    <w:rsid w:val="00793D14"/>
    <w:rsid w:val="00795ECB"/>
    <w:rsid w:val="007A515A"/>
    <w:rsid w:val="007B1526"/>
    <w:rsid w:val="007C1A21"/>
    <w:rsid w:val="007C3F12"/>
    <w:rsid w:val="007C6313"/>
    <w:rsid w:val="007C6353"/>
    <w:rsid w:val="008007D7"/>
    <w:rsid w:val="00802314"/>
    <w:rsid w:val="00811F8C"/>
    <w:rsid w:val="008150EC"/>
    <w:rsid w:val="00831B69"/>
    <w:rsid w:val="00842507"/>
    <w:rsid w:val="008506B0"/>
    <w:rsid w:val="008622C2"/>
    <w:rsid w:val="00866191"/>
    <w:rsid w:val="00876D59"/>
    <w:rsid w:val="008823AA"/>
    <w:rsid w:val="00883EAC"/>
    <w:rsid w:val="008A19EA"/>
    <w:rsid w:val="008B3273"/>
    <w:rsid w:val="008B5D98"/>
    <w:rsid w:val="008C149B"/>
    <w:rsid w:val="008C1729"/>
    <w:rsid w:val="008D2561"/>
    <w:rsid w:val="008D7556"/>
    <w:rsid w:val="008E5259"/>
    <w:rsid w:val="008E72C2"/>
    <w:rsid w:val="008F065F"/>
    <w:rsid w:val="00913FDE"/>
    <w:rsid w:val="00933BDB"/>
    <w:rsid w:val="00935A89"/>
    <w:rsid w:val="00937E07"/>
    <w:rsid w:val="00941A74"/>
    <w:rsid w:val="0096003D"/>
    <w:rsid w:val="0097419B"/>
    <w:rsid w:val="00990F6D"/>
    <w:rsid w:val="00995A1E"/>
    <w:rsid w:val="009A2FA8"/>
    <w:rsid w:val="009B7CCE"/>
    <w:rsid w:val="009C6A8B"/>
    <w:rsid w:val="009D47AC"/>
    <w:rsid w:val="009D6203"/>
    <w:rsid w:val="009F1081"/>
    <w:rsid w:val="009F62FC"/>
    <w:rsid w:val="00A020C5"/>
    <w:rsid w:val="00A11D6B"/>
    <w:rsid w:val="00A133B4"/>
    <w:rsid w:val="00A21078"/>
    <w:rsid w:val="00A211ED"/>
    <w:rsid w:val="00A23478"/>
    <w:rsid w:val="00A26D72"/>
    <w:rsid w:val="00A37C53"/>
    <w:rsid w:val="00A438B8"/>
    <w:rsid w:val="00A46021"/>
    <w:rsid w:val="00A67D83"/>
    <w:rsid w:val="00A759D3"/>
    <w:rsid w:val="00A771E1"/>
    <w:rsid w:val="00A81388"/>
    <w:rsid w:val="00A872A5"/>
    <w:rsid w:val="00A87A33"/>
    <w:rsid w:val="00A9268A"/>
    <w:rsid w:val="00AA5D8E"/>
    <w:rsid w:val="00AC1412"/>
    <w:rsid w:val="00AC2AD1"/>
    <w:rsid w:val="00AC3065"/>
    <w:rsid w:val="00AC4EDD"/>
    <w:rsid w:val="00AC5FB6"/>
    <w:rsid w:val="00AE2D1B"/>
    <w:rsid w:val="00AE59AA"/>
    <w:rsid w:val="00AF44A8"/>
    <w:rsid w:val="00B0265F"/>
    <w:rsid w:val="00B027D5"/>
    <w:rsid w:val="00B07FF8"/>
    <w:rsid w:val="00B16287"/>
    <w:rsid w:val="00B20857"/>
    <w:rsid w:val="00B23A64"/>
    <w:rsid w:val="00B3033E"/>
    <w:rsid w:val="00B43B82"/>
    <w:rsid w:val="00B47546"/>
    <w:rsid w:val="00B633DB"/>
    <w:rsid w:val="00B84249"/>
    <w:rsid w:val="00B865B3"/>
    <w:rsid w:val="00BC008D"/>
    <w:rsid w:val="00BC2C0A"/>
    <w:rsid w:val="00BC4523"/>
    <w:rsid w:val="00BC625F"/>
    <w:rsid w:val="00BD18B2"/>
    <w:rsid w:val="00BD343F"/>
    <w:rsid w:val="00BD6443"/>
    <w:rsid w:val="00BE4FE7"/>
    <w:rsid w:val="00C215C6"/>
    <w:rsid w:val="00C23039"/>
    <w:rsid w:val="00C2767E"/>
    <w:rsid w:val="00C37C10"/>
    <w:rsid w:val="00C435BF"/>
    <w:rsid w:val="00C465D6"/>
    <w:rsid w:val="00C53FF7"/>
    <w:rsid w:val="00C57284"/>
    <w:rsid w:val="00C72A28"/>
    <w:rsid w:val="00C72D79"/>
    <w:rsid w:val="00C75338"/>
    <w:rsid w:val="00C96DB4"/>
    <w:rsid w:val="00CA3B7A"/>
    <w:rsid w:val="00CA6D4C"/>
    <w:rsid w:val="00CA6F57"/>
    <w:rsid w:val="00CB09DD"/>
    <w:rsid w:val="00CB1479"/>
    <w:rsid w:val="00CC1C0D"/>
    <w:rsid w:val="00CD2696"/>
    <w:rsid w:val="00CE21E2"/>
    <w:rsid w:val="00CF5B81"/>
    <w:rsid w:val="00CF7AE1"/>
    <w:rsid w:val="00D00BD1"/>
    <w:rsid w:val="00D11054"/>
    <w:rsid w:val="00D243E2"/>
    <w:rsid w:val="00D30404"/>
    <w:rsid w:val="00D37927"/>
    <w:rsid w:val="00D40F26"/>
    <w:rsid w:val="00D431A6"/>
    <w:rsid w:val="00D62B3C"/>
    <w:rsid w:val="00D63AF8"/>
    <w:rsid w:val="00D71545"/>
    <w:rsid w:val="00D72768"/>
    <w:rsid w:val="00D83414"/>
    <w:rsid w:val="00D9117E"/>
    <w:rsid w:val="00D9196B"/>
    <w:rsid w:val="00D95BCB"/>
    <w:rsid w:val="00DA0598"/>
    <w:rsid w:val="00DA616A"/>
    <w:rsid w:val="00DC2038"/>
    <w:rsid w:val="00DC58EB"/>
    <w:rsid w:val="00DE1019"/>
    <w:rsid w:val="00E010B2"/>
    <w:rsid w:val="00E02CDF"/>
    <w:rsid w:val="00E106F8"/>
    <w:rsid w:val="00E31512"/>
    <w:rsid w:val="00E417CC"/>
    <w:rsid w:val="00E44E5F"/>
    <w:rsid w:val="00E45A8D"/>
    <w:rsid w:val="00E52493"/>
    <w:rsid w:val="00E620B6"/>
    <w:rsid w:val="00E6252D"/>
    <w:rsid w:val="00E675B8"/>
    <w:rsid w:val="00E72FCC"/>
    <w:rsid w:val="00E86537"/>
    <w:rsid w:val="00E91853"/>
    <w:rsid w:val="00EC2AC8"/>
    <w:rsid w:val="00EE369B"/>
    <w:rsid w:val="00EF6EFE"/>
    <w:rsid w:val="00F0238F"/>
    <w:rsid w:val="00F07B72"/>
    <w:rsid w:val="00F07FC2"/>
    <w:rsid w:val="00F275BE"/>
    <w:rsid w:val="00F312FB"/>
    <w:rsid w:val="00F3258F"/>
    <w:rsid w:val="00F33576"/>
    <w:rsid w:val="00F5551F"/>
    <w:rsid w:val="00F56E46"/>
    <w:rsid w:val="00F657AD"/>
    <w:rsid w:val="00F74243"/>
    <w:rsid w:val="00F77E70"/>
    <w:rsid w:val="00F83FCE"/>
    <w:rsid w:val="00F905CD"/>
    <w:rsid w:val="00F9539F"/>
    <w:rsid w:val="00F95D35"/>
    <w:rsid w:val="00FB5712"/>
    <w:rsid w:val="00FE74A7"/>
    <w:rsid w:val="00FF4052"/>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2D0C88F-455F-44CF-A085-0B00FCC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F3"/>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link w:val="Heading3Char"/>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character" w:customStyle="1" w:styleId="Heading3Char">
    <w:name w:val="Heading 3 Char"/>
    <w:basedOn w:val="DefaultParagraphFont"/>
    <w:link w:val="Heading3"/>
    <w:rsid w:val="0096003D"/>
    <w:rPr>
      <w:rFonts w:ascii="Arial (W1)" w:hAnsi="Arial (W1)" w:cs="Arial"/>
      <w:b/>
      <w:bCs/>
      <w:szCs w:val="26"/>
      <w:lang w:eastAsia="en-US"/>
    </w:rPr>
  </w:style>
  <w:style w:type="paragraph" w:styleId="BlockText">
    <w:name w:val="Block Text"/>
    <w:basedOn w:val="Normal"/>
    <w:rsid w:val="0096003D"/>
    <w:pPr>
      <w:ind w:left="720" w:right="-56"/>
    </w:pPr>
    <w:rPr>
      <w:rFonts w:cs="Arial"/>
      <w:sz w:val="24"/>
      <w:szCs w:val="20"/>
      <w:lang w:val="en-US"/>
    </w:rPr>
  </w:style>
  <w:style w:type="paragraph" w:customStyle="1" w:styleId="Default">
    <w:name w:val="Default"/>
    <w:rsid w:val="0096003D"/>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F905CD"/>
    <w:pPr>
      <w:ind w:left="720"/>
      <w:contextualSpacing/>
    </w:pPr>
  </w:style>
  <w:style w:type="paragraph" w:customStyle="1" w:styleId="policysubparagrah">
    <w:name w:val="policy sub paragrah"/>
    <w:basedOn w:val="Normal"/>
    <w:link w:val="policysubparagrahChar"/>
    <w:autoRedefine/>
    <w:rsid w:val="00C23039"/>
    <w:pPr>
      <w:tabs>
        <w:tab w:val="left" w:pos="2880"/>
        <w:tab w:val="left" w:pos="3600"/>
      </w:tabs>
      <w:ind w:left="709"/>
    </w:pPr>
    <w:rPr>
      <w:sz w:val="24"/>
      <w:szCs w:val="20"/>
    </w:rPr>
  </w:style>
  <w:style w:type="character" w:customStyle="1" w:styleId="policysubparagrahChar">
    <w:name w:val="policy sub paragrah Char"/>
    <w:link w:val="policysubparagrah"/>
    <w:rsid w:val="00C2303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5609">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208295311">
      <w:bodyDiv w:val="1"/>
      <w:marLeft w:val="0"/>
      <w:marRight w:val="0"/>
      <w:marTop w:val="0"/>
      <w:marBottom w:val="0"/>
      <w:divBdr>
        <w:top w:val="none" w:sz="0" w:space="0" w:color="auto"/>
        <w:left w:val="none" w:sz="0" w:space="0" w:color="auto"/>
        <w:bottom w:val="none" w:sz="0" w:space="0" w:color="auto"/>
        <w:right w:val="none" w:sz="0" w:space="0" w:color="auto"/>
      </w:divBdr>
    </w:div>
    <w:div w:id="2138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enrolment" TargetMode="External"/><Relationship Id="rId13" Type="http://schemas.openxmlformats.org/officeDocument/2006/relationships/hyperlink" Target="https://legislation.nt.gov.au/Legislation/CRIMINAL-RECORDS-SPENT-CONVICTIONS-ACT" TargetMode="External"/><Relationship Id="rId18" Type="http://schemas.openxmlformats.org/officeDocument/2006/relationships/hyperlink" Target="https://education.nt.gov.au/__data/assets/pdf_file/0003/256188/Privacy-Statemen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5.austlii.edu.au/au/legis/cth/consol_act/ca1901124/" TargetMode="External"/><Relationship Id="rId17" Type="http://schemas.openxmlformats.org/officeDocument/2006/relationships/hyperlink" Target="https://education.nt.gov.au/education/policies/data-acces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ucation.nt.gov.au/education/policies/data-acc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austlii.edu.au/au/legis/cth/consol_act/cca19951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ducation.nt.gov.au/education/policies/enrolment" TargetMode="External"/><Relationship Id="rId23" Type="http://schemas.openxmlformats.org/officeDocument/2006/relationships/footer" Target="footer2.xml"/><Relationship Id="rId10" Type="http://schemas.openxmlformats.org/officeDocument/2006/relationships/hyperlink" Target="https://education.nt.gov.au/education/policies/complaints" TargetMode="External"/><Relationship Id="rId19" Type="http://schemas.openxmlformats.org/officeDocument/2006/relationships/hyperlink" Target="http://www.pfes.nt.gov.au/Police/Community-safety/SAFE-NT.aspx" TargetMode="External"/><Relationship Id="rId4" Type="http://schemas.openxmlformats.org/officeDocument/2006/relationships/settings" Target="settings.xml"/><Relationship Id="rId9" Type="http://schemas.openxmlformats.org/officeDocument/2006/relationships/hyperlink" Target="https://education.nt.gov.au/education/policies/complaints" TargetMode="External"/><Relationship Id="rId14" Type="http://schemas.openxmlformats.org/officeDocument/2006/relationships/hyperlink" Target="https://education.nt.gov.au/education/policies/enrolmen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B189-A28B-4145-863F-A64FE2D4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39</TotalTime>
  <Pages>5</Pages>
  <Words>1832</Words>
  <Characters>11560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Michelle Wells1</dc:creator>
  <cp:keywords/>
  <cp:lastModifiedBy>Helen Mckeiver</cp:lastModifiedBy>
  <cp:revision>12</cp:revision>
  <cp:lastPrinted>2017-06-20T01:10:00Z</cp:lastPrinted>
  <dcterms:created xsi:type="dcterms:W3CDTF">2017-05-29T01:57:00Z</dcterms:created>
  <dcterms:modified xsi:type="dcterms:W3CDTF">2017-06-20T01:10:00Z</dcterms:modified>
</cp:coreProperties>
</file>