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8843422"/>
    <w:p w14:paraId="48A0EEA6" w14:textId="3964A895" w:rsidR="00DD64C2" w:rsidRDefault="00EF3ADA" w:rsidP="00834B5F">
      <w:pPr>
        <w:pStyle w:val="Title"/>
      </w:pPr>
      <w:sdt>
        <w:sdtPr>
          <w:rPr>
            <w:rStyle w:val="Heading1Char"/>
            <w:rFonts w:ascii="Lato SemiBold" w:hAnsi="Lato SemiBold"/>
            <w:bCs/>
            <w:color w:val="1F1F5F"/>
            <w:sz w:val="60"/>
            <w:szCs w:val="64"/>
          </w:rPr>
          <w:alias w:val="Title"/>
          <w:tag w:val="Title"/>
          <w:id w:val="-509987125"/>
          <w:lock w:val="sdtLocked"/>
          <w:placeholder>
            <w:docPart w:val="130640C9D87A4CF3930C88619F256785"/>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B55BAB">
            <w:rPr>
              <w:rStyle w:val="Heading1Char"/>
              <w:rFonts w:ascii="Lato SemiBold" w:hAnsi="Lato SemiBold"/>
              <w:bCs/>
              <w:color w:val="1F1F5F"/>
              <w:sz w:val="60"/>
              <w:szCs w:val="64"/>
            </w:rPr>
            <w:t>Complaints management in schools - policy</w:t>
          </w:r>
        </w:sdtContent>
      </w:sdt>
      <w:r w:rsidR="00834B5F">
        <w:rPr>
          <w:rStyle w:val="Heading1Char"/>
          <w:rFonts w:ascii="Lato SemiBold" w:hAnsi="Lato SemiBold"/>
          <w:bCs/>
          <w:color w:val="1F1F5F"/>
          <w:sz w:val="60"/>
          <w:szCs w:val="64"/>
        </w:rPr>
        <w:t xml:space="preserve"> </w:t>
      </w:r>
    </w:p>
    <w:p w14:paraId="60F03D55" w14:textId="77777777" w:rsidR="00964B22" w:rsidRDefault="00964B22" w:rsidP="00DD64C2">
      <w:pPr>
        <w:tabs>
          <w:tab w:val="center" w:pos="4819"/>
        </w:tabs>
      </w:pPr>
    </w:p>
    <w:p w14:paraId="7B6DC1D0"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p w14:paraId="347AAAAB" w14:textId="54DAC0C3" w:rsidR="00A04B97" w:rsidRDefault="00A04B97" w:rsidP="00A04B97">
      <w:pPr>
        <w:rPr>
          <w:noProof/>
          <w:lang w:eastAsia="en-AU"/>
        </w:rPr>
      </w:pPr>
      <w:r>
        <w:rPr>
          <w:noProof/>
          <w:lang w:eastAsia="en-AU"/>
        </w:rPr>
        <w:lastRenderedPageBreak/>
        <w:t xml:space="preserve">Read this document with the </w:t>
      </w:r>
      <w:r w:rsidR="00B55BAB">
        <w:rPr>
          <w:noProof/>
          <w:lang w:eastAsia="en-AU"/>
        </w:rPr>
        <w:t>C</w:t>
      </w:r>
      <w:r w:rsidR="00B55BAB" w:rsidRPr="004C47B6">
        <w:rPr>
          <w:noProof/>
          <w:lang w:eastAsia="en-AU"/>
        </w:rPr>
        <w:t xml:space="preserve">omplaints </w:t>
      </w:r>
      <w:r w:rsidRPr="004C47B6">
        <w:rPr>
          <w:noProof/>
          <w:lang w:eastAsia="en-AU"/>
        </w:rPr>
        <w:t>management for schools guideline</w:t>
      </w:r>
      <w:r w:rsidR="004C47B6">
        <w:rPr>
          <w:noProof/>
          <w:lang w:eastAsia="en-AU"/>
        </w:rPr>
        <w:t xml:space="preserve"> </w:t>
      </w:r>
      <w:r w:rsidR="004C47B6">
        <w:rPr>
          <w:rFonts w:cs="Arial"/>
          <w:lang w:val="en-US"/>
        </w:rPr>
        <w:t>which can be found at the Department of Education School Policies webpage in the complaints section</w:t>
      </w:r>
      <w:r>
        <w:rPr>
          <w:noProof/>
          <w:lang w:eastAsia="en-AU"/>
        </w:rPr>
        <w:t>.</w:t>
      </w:r>
      <w:bookmarkStart w:id="1" w:name="_Ref44410262"/>
      <w:r w:rsidR="00B55BAB">
        <w:rPr>
          <w:rStyle w:val="FootnoteReference"/>
          <w:noProof/>
          <w:lang w:eastAsia="en-AU"/>
        </w:rPr>
        <w:footnoteReference w:id="2"/>
      </w:r>
      <w:bookmarkEnd w:id="1"/>
    </w:p>
    <w:p w14:paraId="60F22F38" w14:textId="77777777" w:rsidR="00C800F1" w:rsidRDefault="00A04B97" w:rsidP="003477B6">
      <w:pPr>
        <w:pStyle w:val="Heading1"/>
        <w:rPr>
          <w:noProof/>
          <w:lang w:eastAsia="en-AU"/>
        </w:rPr>
      </w:pPr>
      <w:r>
        <w:rPr>
          <w:noProof/>
          <w:lang w:eastAsia="en-AU"/>
        </w:rPr>
        <w:t>Policy</w:t>
      </w:r>
    </w:p>
    <w:p w14:paraId="460A7406" w14:textId="076A598B" w:rsidR="00A04B97" w:rsidRDefault="00A04B97" w:rsidP="00A04B97">
      <w:pPr>
        <w:rPr>
          <w:lang w:eastAsia="en-AU"/>
        </w:rPr>
      </w:pPr>
      <w:r>
        <w:rPr>
          <w:lang w:eastAsia="en-AU"/>
        </w:rPr>
        <w:t>The department will manage complaints in accord</w:t>
      </w:r>
      <w:r w:rsidR="00F65289">
        <w:rPr>
          <w:lang w:eastAsia="en-AU"/>
        </w:rPr>
        <w:t xml:space="preserve">ance with this policy, and the </w:t>
      </w:r>
      <w:r w:rsidR="007742E0">
        <w:rPr>
          <w:lang w:eastAsia="en-AU"/>
        </w:rPr>
        <w:t xml:space="preserve">Complaints </w:t>
      </w:r>
      <w:r w:rsidR="000C3861">
        <w:rPr>
          <w:lang w:eastAsia="en-AU"/>
        </w:rPr>
        <w:t>management for s</w:t>
      </w:r>
      <w:r>
        <w:rPr>
          <w:lang w:eastAsia="en-AU"/>
        </w:rPr>
        <w:t>chools guidelines</w:t>
      </w:r>
      <w:r w:rsidR="007742E0">
        <w:rPr>
          <w:lang w:eastAsia="en-AU"/>
        </w:rPr>
        <w:t>,</w:t>
      </w:r>
      <w:r w:rsidR="00F65289">
        <w:rPr>
          <w:lang w:eastAsia="en-AU"/>
        </w:rPr>
        <w:fldChar w:fldCharType="begin"/>
      </w:r>
      <w:r w:rsidR="00F65289">
        <w:rPr>
          <w:lang w:eastAsia="en-AU"/>
        </w:rPr>
        <w:instrText xml:space="preserve"> NOTEREF _Ref44410262 \f \h </w:instrText>
      </w:r>
      <w:r w:rsidR="00F65289">
        <w:rPr>
          <w:lang w:eastAsia="en-AU"/>
        </w:rPr>
      </w:r>
      <w:r w:rsidR="00F65289">
        <w:rPr>
          <w:lang w:eastAsia="en-AU"/>
        </w:rPr>
        <w:fldChar w:fldCharType="separate"/>
      </w:r>
      <w:r w:rsidR="00EF3ADA" w:rsidRPr="00EF3ADA">
        <w:rPr>
          <w:rStyle w:val="FootnoteReference"/>
        </w:rPr>
        <w:t>1</w:t>
      </w:r>
      <w:r w:rsidR="00F65289">
        <w:rPr>
          <w:lang w:eastAsia="en-AU"/>
        </w:rPr>
        <w:fldChar w:fldCharType="end"/>
      </w:r>
      <w:r>
        <w:rPr>
          <w:lang w:eastAsia="en-AU"/>
        </w:rPr>
        <w:t xml:space="preserve"> to ensure a fair process, and appropriate and timely resolution. There are exceptions and these are listed in the Scope section below.</w:t>
      </w:r>
    </w:p>
    <w:p w14:paraId="1A11ED9D" w14:textId="77777777" w:rsidR="00A04B97" w:rsidRDefault="00A04B97" w:rsidP="00A04B97">
      <w:pPr>
        <w:rPr>
          <w:lang w:eastAsia="en-AU"/>
        </w:rPr>
      </w:pPr>
      <w:r>
        <w:rPr>
          <w:lang w:eastAsia="en-AU"/>
        </w:rPr>
        <w:t xml:space="preserve">Complaints may be made in regard to any aspect of service: </w:t>
      </w:r>
    </w:p>
    <w:p w14:paraId="3CD554EF" w14:textId="77777777" w:rsidR="00A04B97" w:rsidRDefault="00A04B97" w:rsidP="00F20CAC">
      <w:pPr>
        <w:pStyle w:val="ListParagraph"/>
        <w:numPr>
          <w:ilvl w:val="0"/>
          <w:numId w:val="42"/>
        </w:numPr>
        <w:ind w:left="714" w:hanging="357"/>
        <w:rPr>
          <w:lang w:eastAsia="en-AU"/>
        </w:rPr>
      </w:pPr>
      <w:r>
        <w:rPr>
          <w:lang w:eastAsia="en-AU"/>
        </w:rPr>
        <w:t xml:space="preserve">provided by the department, including practices, policies, guidelines or procedures, and the conduct or decisions of </w:t>
      </w:r>
      <w:proofErr w:type="gramStart"/>
      <w:r>
        <w:rPr>
          <w:lang w:eastAsia="en-AU"/>
        </w:rPr>
        <w:t>staff</w:t>
      </w:r>
      <w:proofErr w:type="gramEnd"/>
    </w:p>
    <w:p w14:paraId="5F2837CE" w14:textId="77777777" w:rsidR="00A04B97" w:rsidRDefault="00A04B97" w:rsidP="00A04B97">
      <w:pPr>
        <w:pStyle w:val="ListParagraph"/>
        <w:numPr>
          <w:ilvl w:val="0"/>
          <w:numId w:val="42"/>
        </w:numPr>
        <w:rPr>
          <w:lang w:eastAsia="en-AU"/>
        </w:rPr>
      </w:pPr>
      <w:r>
        <w:rPr>
          <w:lang w:eastAsia="en-AU"/>
        </w:rPr>
        <w:t>that is regulated by the department, including legislative compliance with approval to operate, and the provision of services for children.</w:t>
      </w:r>
    </w:p>
    <w:p w14:paraId="24F1B1A7" w14:textId="77777777" w:rsidR="00A04B97" w:rsidRDefault="00A04B97" w:rsidP="00A04B97">
      <w:pPr>
        <w:rPr>
          <w:lang w:eastAsia="en-AU"/>
        </w:rPr>
      </w:pPr>
      <w:r>
        <w:rPr>
          <w:lang w:eastAsia="en-AU"/>
        </w:rPr>
        <w:t>In managing complaints, the principles of procedural fairness must apply to all processes, requiring that:</w:t>
      </w:r>
    </w:p>
    <w:p w14:paraId="67392902" w14:textId="77777777" w:rsidR="00A04B97" w:rsidRDefault="00A04B97" w:rsidP="00436BD2">
      <w:pPr>
        <w:pStyle w:val="ListParagraph"/>
        <w:numPr>
          <w:ilvl w:val="0"/>
          <w:numId w:val="43"/>
        </w:numPr>
        <w:rPr>
          <w:lang w:eastAsia="en-AU"/>
        </w:rPr>
      </w:pPr>
      <w:r>
        <w:rPr>
          <w:lang w:eastAsia="en-AU"/>
        </w:rPr>
        <w:t xml:space="preserve">if a complaint is against a person, the person is informed of the allegations against them, has an opportunity to be given a fair hearing before a decision is made, and is given the opportunity to consider the information that the decision is based </w:t>
      </w:r>
      <w:proofErr w:type="gramStart"/>
      <w:r>
        <w:rPr>
          <w:lang w:eastAsia="en-AU"/>
        </w:rPr>
        <w:t>upon</w:t>
      </w:r>
      <w:proofErr w:type="gramEnd"/>
    </w:p>
    <w:p w14:paraId="16E72DA9" w14:textId="77777777" w:rsidR="00A04B97" w:rsidRDefault="00A04B97" w:rsidP="00436BD2">
      <w:pPr>
        <w:pStyle w:val="ListParagraph"/>
        <w:numPr>
          <w:ilvl w:val="0"/>
          <w:numId w:val="43"/>
        </w:numPr>
        <w:rPr>
          <w:lang w:eastAsia="en-AU"/>
        </w:rPr>
      </w:pPr>
      <w:r>
        <w:rPr>
          <w:lang w:eastAsia="en-AU"/>
        </w:rPr>
        <w:t xml:space="preserve">decision makers are fair and impartial and address complaints in a timely </w:t>
      </w:r>
      <w:proofErr w:type="gramStart"/>
      <w:r>
        <w:rPr>
          <w:lang w:eastAsia="en-AU"/>
        </w:rPr>
        <w:t>manner</w:t>
      </w:r>
      <w:proofErr w:type="gramEnd"/>
    </w:p>
    <w:p w14:paraId="3DCF7081" w14:textId="77777777" w:rsidR="00A04B97" w:rsidRDefault="00A04B97" w:rsidP="00436BD2">
      <w:pPr>
        <w:pStyle w:val="ListParagraph"/>
        <w:numPr>
          <w:ilvl w:val="0"/>
          <w:numId w:val="43"/>
        </w:numPr>
        <w:spacing w:after="240"/>
        <w:ind w:left="714" w:hanging="357"/>
        <w:rPr>
          <w:lang w:eastAsia="en-AU"/>
        </w:rPr>
      </w:pPr>
      <w:r>
        <w:rPr>
          <w:lang w:eastAsia="en-AU"/>
        </w:rPr>
        <w:t>the decision must not be pre-determined and must be objective, measured, and based on all the information gathered from as many sources as possible.</w:t>
      </w:r>
    </w:p>
    <w:p w14:paraId="5A1BE2F9" w14:textId="77777777" w:rsidR="00A04B97" w:rsidRDefault="00A04B97" w:rsidP="00436BD2">
      <w:pPr>
        <w:rPr>
          <w:lang w:eastAsia="en-AU"/>
        </w:rPr>
      </w:pPr>
      <w:r>
        <w:rPr>
          <w:lang w:eastAsia="en-AU"/>
        </w:rPr>
        <w:t>All business areas of the department must create and maintain appropriate records of complaints and actions taken in response to complaints. Staff must manage complaint records in accordance with the internal records management guidelines.</w:t>
      </w:r>
    </w:p>
    <w:p w14:paraId="7ADF49B0" w14:textId="77777777" w:rsidR="00436BD2" w:rsidRPr="00436BD2" w:rsidRDefault="00436BD2" w:rsidP="00436BD2">
      <w:pPr>
        <w:pStyle w:val="Heading1"/>
        <w:rPr>
          <w:lang w:val="en-US"/>
        </w:rPr>
      </w:pPr>
      <w:r w:rsidRPr="00436BD2">
        <w:rPr>
          <w:lang w:val="en-US"/>
        </w:rPr>
        <w:t>B</w:t>
      </w:r>
      <w:r>
        <w:rPr>
          <w:lang w:val="en-US"/>
        </w:rPr>
        <w:t>usiness need</w:t>
      </w:r>
    </w:p>
    <w:p w14:paraId="631ADFF8" w14:textId="77777777" w:rsidR="00436BD2" w:rsidRDefault="00436BD2" w:rsidP="00436BD2">
      <w:pPr>
        <w:rPr>
          <w:lang w:val="en-US"/>
        </w:rPr>
      </w:pPr>
      <w:r w:rsidRPr="00D20909">
        <w:rPr>
          <w:lang w:val="en-US"/>
        </w:rPr>
        <w:t xml:space="preserve">The department is committed to improving </w:t>
      </w:r>
      <w:r>
        <w:rPr>
          <w:lang w:val="en-US"/>
        </w:rPr>
        <w:t>its services</w:t>
      </w:r>
      <w:r w:rsidRPr="00D20909">
        <w:rPr>
          <w:lang w:val="en-US"/>
        </w:rPr>
        <w:t xml:space="preserve">. </w:t>
      </w:r>
      <w:r>
        <w:rPr>
          <w:lang w:val="en-US"/>
        </w:rPr>
        <w:t>A key element of service improvement is p</w:t>
      </w:r>
      <w:r w:rsidRPr="00D20909">
        <w:rPr>
          <w:lang w:val="en-US"/>
        </w:rPr>
        <w:t>rompt resolution o</w:t>
      </w:r>
      <w:r>
        <w:rPr>
          <w:lang w:val="en-US"/>
        </w:rPr>
        <w:t>f</w:t>
      </w:r>
      <w:r w:rsidRPr="00D20909">
        <w:rPr>
          <w:lang w:val="en-US"/>
        </w:rPr>
        <w:t xml:space="preserve"> complaints in relation to services</w:t>
      </w:r>
      <w:r>
        <w:rPr>
          <w:lang w:val="en-US"/>
        </w:rPr>
        <w:t>,</w:t>
      </w:r>
      <w:r w:rsidRPr="00D20909">
        <w:rPr>
          <w:lang w:val="en-US"/>
        </w:rPr>
        <w:t xml:space="preserve"> or action</w:t>
      </w:r>
      <w:r>
        <w:rPr>
          <w:lang w:val="en-US"/>
        </w:rPr>
        <w:t xml:space="preserve">s taken by </w:t>
      </w:r>
      <w:r w:rsidRPr="00D20909">
        <w:rPr>
          <w:lang w:val="en-US"/>
        </w:rPr>
        <w:t>employees</w:t>
      </w:r>
      <w:r>
        <w:rPr>
          <w:lang w:val="en-US"/>
        </w:rPr>
        <w:t>. This policy and supporting guidelines assist with that goal.</w:t>
      </w:r>
    </w:p>
    <w:p w14:paraId="190F10D3" w14:textId="04EDCAD7" w:rsidR="00FC0604" w:rsidRDefault="00FC0604" w:rsidP="00436BD2">
      <w:pPr>
        <w:rPr>
          <w:rStyle w:val="Hyperlink"/>
          <w:u w:val="none"/>
        </w:rPr>
      </w:pPr>
      <w:r>
        <w:rPr>
          <w:lang w:val="en-US"/>
        </w:rPr>
        <w:t xml:space="preserve">Where a school also operates a preschool service or other education and care service regulated under the National Quality Framework, the department is obliged to ensure regulatory requirements are </w:t>
      </w:r>
      <w:proofErr w:type="gramStart"/>
      <w:r>
        <w:rPr>
          <w:lang w:val="en-US"/>
        </w:rPr>
        <w:t>maintained at all times</w:t>
      </w:r>
      <w:proofErr w:type="gramEnd"/>
      <w:r>
        <w:rPr>
          <w:lang w:val="en-US"/>
        </w:rPr>
        <w:t xml:space="preserve"> in accordance with the </w:t>
      </w:r>
      <w:r w:rsidRPr="00C74871">
        <w:rPr>
          <w:lang w:val="en-US"/>
        </w:rPr>
        <w:t xml:space="preserve">Education and Care Services </w:t>
      </w:r>
      <w:r w:rsidR="00122B61" w:rsidRPr="00C74871">
        <w:t>National Law</w:t>
      </w:r>
      <w:bookmarkStart w:id="2" w:name="_Ref50110460"/>
      <w:r w:rsidR="00834B5F">
        <w:rPr>
          <w:rStyle w:val="FootnoteReference"/>
        </w:rPr>
        <w:footnoteReference w:id="3"/>
      </w:r>
      <w:bookmarkEnd w:id="2"/>
      <w:r w:rsidR="00122B61">
        <w:t xml:space="preserve"> and</w:t>
      </w:r>
      <w:r w:rsidR="00122B61" w:rsidRPr="00DE7D7C">
        <w:t xml:space="preserve"> </w:t>
      </w:r>
      <w:r w:rsidR="00834B5F" w:rsidRPr="00C74871">
        <w:t>Education and Care Services National Regulations</w:t>
      </w:r>
      <w:bookmarkStart w:id="3" w:name="_Ref50110580"/>
      <w:r w:rsidR="00834B5F" w:rsidRPr="00C74871">
        <w:rPr>
          <w:rStyle w:val="FootnoteReference"/>
        </w:rPr>
        <w:footnoteReference w:id="4"/>
      </w:r>
      <w:bookmarkEnd w:id="3"/>
      <w:r w:rsidR="00122B61" w:rsidRPr="00A804E8">
        <w:rPr>
          <w:rStyle w:val="Hyperlink"/>
          <w:color w:val="auto"/>
          <w:u w:val="none"/>
        </w:rPr>
        <w:t>.</w:t>
      </w:r>
      <w:r w:rsidR="00237DEC" w:rsidRPr="00A804E8">
        <w:rPr>
          <w:rStyle w:val="Hyperlink"/>
          <w:color w:val="auto"/>
          <w:u w:val="none"/>
        </w:rPr>
        <w:t xml:space="preserve"> This includes </w:t>
      </w:r>
      <w:r w:rsidR="00FC3448">
        <w:rPr>
          <w:rStyle w:val="Hyperlink"/>
          <w:color w:val="auto"/>
          <w:u w:val="none"/>
        </w:rPr>
        <w:t>ensuring that complaints are handled in a way which is child focused</w:t>
      </w:r>
      <w:r w:rsidR="00D00F36">
        <w:rPr>
          <w:rStyle w:val="Hyperlink"/>
          <w:color w:val="auto"/>
          <w:u w:val="none"/>
        </w:rPr>
        <w:t>; provision for the management of a complaint alleging harmful sexual behaviours exhibited by a child;</w:t>
      </w:r>
      <w:r w:rsidR="00FC3448">
        <w:rPr>
          <w:rStyle w:val="Hyperlink"/>
          <w:color w:val="auto"/>
          <w:u w:val="none"/>
        </w:rPr>
        <w:t xml:space="preserve"> and </w:t>
      </w:r>
      <w:r w:rsidR="00237DEC" w:rsidRPr="00A804E8">
        <w:rPr>
          <w:rStyle w:val="Hyperlink"/>
          <w:color w:val="auto"/>
          <w:u w:val="none"/>
        </w:rPr>
        <w:t>notifying Quali</w:t>
      </w:r>
      <w:r w:rsidR="00FB087F">
        <w:rPr>
          <w:rStyle w:val="Hyperlink"/>
          <w:color w:val="auto"/>
          <w:u w:val="none"/>
        </w:rPr>
        <w:t>ty Education and Care NT</w:t>
      </w:r>
      <w:r w:rsidR="00C74871">
        <w:rPr>
          <w:rStyle w:val="Hyperlink"/>
          <w:color w:val="auto"/>
          <w:u w:val="none"/>
        </w:rPr>
        <w:t xml:space="preserve"> (QECNT)</w:t>
      </w:r>
      <w:r w:rsidR="00FB087F">
        <w:rPr>
          <w:rStyle w:val="Hyperlink"/>
          <w:color w:val="auto"/>
          <w:u w:val="none"/>
        </w:rPr>
        <w:t xml:space="preserve"> within 24 hours</w:t>
      </w:r>
      <w:r w:rsidR="00237DEC" w:rsidRPr="00A804E8">
        <w:rPr>
          <w:rStyle w:val="Hyperlink"/>
          <w:color w:val="auto"/>
          <w:u w:val="none"/>
        </w:rPr>
        <w:t xml:space="preserve"> of any complaints alleging that a serious incident has occurred</w:t>
      </w:r>
      <w:r w:rsidR="00237DEC">
        <w:rPr>
          <w:rStyle w:val="Hyperlink"/>
          <w:u w:val="none"/>
        </w:rPr>
        <w:t>.</w:t>
      </w:r>
    </w:p>
    <w:p w14:paraId="72053F6C" w14:textId="77777777" w:rsidR="00A70F63" w:rsidRDefault="00A70F63" w:rsidP="00436BD2">
      <w:pPr>
        <w:rPr>
          <w:rStyle w:val="Hyperlink"/>
          <w:u w:val="none"/>
        </w:rPr>
      </w:pPr>
    </w:p>
    <w:p w14:paraId="2F39711C" w14:textId="77777777" w:rsidR="00436BD2" w:rsidRDefault="00436BD2" w:rsidP="00436BD2">
      <w:pPr>
        <w:pStyle w:val="Heading1"/>
        <w:rPr>
          <w:lang w:val="en-US"/>
        </w:rPr>
      </w:pPr>
      <w:r>
        <w:rPr>
          <w:lang w:val="en-US"/>
        </w:rPr>
        <w:lastRenderedPageBreak/>
        <w:t>Scope</w:t>
      </w:r>
    </w:p>
    <w:p w14:paraId="49B50D66" w14:textId="77777777" w:rsidR="00436BD2" w:rsidRPr="00436BD2" w:rsidRDefault="00436BD2" w:rsidP="00436BD2">
      <w:pPr>
        <w:rPr>
          <w:lang w:val="en-US"/>
        </w:rPr>
      </w:pPr>
      <w:r w:rsidRPr="00436BD2">
        <w:rPr>
          <w:lang w:val="en-US"/>
        </w:rPr>
        <w:t xml:space="preserve">This policy applies to Northern Territory Government schools. </w:t>
      </w:r>
    </w:p>
    <w:p w14:paraId="41CFCDCF" w14:textId="77777777" w:rsidR="00436BD2" w:rsidRPr="00436BD2" w:rsidRDefault="00436BD2" w:rsidP="00436BD2">
      <w:pPr>
        <w:rPr>
          <w:lang w:val="en-US"/>
        </w:rPr>
      </w:pPr>
      <w:r w:rsidRPr="00436BD2">
        <w:rPr>
          <w:lang w:val="en-US"/>
        </w:rPr>
        <w:t>This policy does not apply to complaints relating to:</w:t>
      </w:r>
    </w:p>
    <w:p w14:paraId="5C174A2D" w14:textId="592A3439" w:rsidR="00436BD2" w:rsidRPr="00436BD2" w:rsidRDefault="00436BD2" w:rsidP="00436BD2">
      <w:pPr>
        <w:pStyle w:val="ListParagraph"/>
        <w:numPr>
          <w:ilvl w:val="0"/>
          <w:numId w:val="45"/>
        </w:numPr>
      </w:pPr>
      <w:r w:rsidRPr="00436BD2">
        <w:t>breaches of privacy</w:t>
      </w:r>
      <w:r w:rsidR="00075BE7">
        <w:t xml:space="preserve"> - p</w:t>
      </w:r>
      <w:r w:rsidRPr="00436BD2">
        <w:t xml:space="preserve">rivacy complaints are to be handled </w:t>
      </w:r>
      <w:r w:rsidR="00075BE7">
        <w:t xml:space="preserve">in accordance with the </w:t>
      </w:r>
      <w:r w:rsidR="00F65289">
        <w:t>p</w:t>
      </w:r>
      <w:r w:rsidR="00075BE7" w:rsidRPr="008678A9">
        <w:t>rivacy c</w:t>
      </w:r>
      <w:r w:rsidRPr="008678A9">
        <w:t>omplai</w:t>
      </w:r>
      <w:r w:rsidR="00075BE7" w:rsidRPr="008678A9">
        <w:t>nts policy and guidelines</w:t>
      </w:r>
      <w:r w:rsidR="00075BE7">
        <w:rPr>
          <w:rStyle w:val="FootnoteReference"/>
        </w:rPr>
        <w:footnoteReference w:id="5"/>
      </w:r>
    </w:p>
    <w:p w14:paraId="0485813C" w14:textId="15E0A5C4" w:rsidR="00436BD2" w:rsidRPr="00436BD2" w:rsidRDefault="00436BD2" w:rsidP="00436BD2">
      <w:pPr>
        <w:pStyle w:val="ListParagraph"/>
        <w:numPr>
          <w:ilvl w:val="0"/>
          <w:numId w:val="45"/>
        </w:numPr>
      </w:pPr>
      <w:r w:rsidRPr="00436BD2">
        <w:t xml:space="preserve">vocational education and training (VET) quality and regulation, which are to be referred to the </w:t>
      </w:r>
      <w:r w:rsidRPr="00AB16AC">
        <w:t>Australian Skills Quality Authorit</w:t>
      </w:r>
      <w:r w:rsidR="00AB16AC" w:rsidRPr="00AB16AC">
        <w:t>y (ASQA)</w:t>
      </w:r>
      <w:r>
        <w:rPr>
          <w:rStyle w:val="FootnoteReference"/>
        </w:rPr>
        <w:footnoteReference w:id="6"/>
      </w:r>
      <w:r w:rsidRPr="00436BD2">
        <w:t xml:space="preserve"> </w:t>
      </w:r>
    </w:p>
    <w:p w14:paraId="10BB88F5" w14:textId="12DCEF0C" w:rsidR="00436BD2" w:rsidRPr="00436BD2" w:rsidRDefault="00436BD2" w:rsidP="00436BD2">
      <w:pPr>
        <w:pStyle w:val="ListParagraph"/>
        <w:numPr>
          <w:ilvl w:val="0"/>
          <w:numId w:val="45"/>
        </w:numPr>
      </w:pPr>
      <w:r w:rsidRPr="00436BD2">
        <w:t xml:space="preserve">higher education, which are to be referred to the </w:t>
      </w:r>
      <w:r w:rsidRPr="00AB16AC">
        <w:t>Tertiary Education Quality Standards Agency (TEQSA)</w:t>
      </w:r>
      <w:r>
        <w:rPr>
          <w:rStyle w:val="FootnoteReference"/>
        </w:rPr>
        <w:footnoteReference w:id="7"/>
      </w:r>
    </w:p>
    <w:p w14:paraId="0581CE4A" w14:textId="77777777" w:rsidR="00436BD2" w:rsidRPr="00436BD2" w:rsidRDefault="00436BD2" w:rsidP="00436BD2">
      <w:pPr>
        <w:pStyle w:val="ListParagraph"/>
        <w:numPr>
          <w:ilvl w:val="0"/>
          <w:numId w:val="45"/>
        </w:numPr>
      </w:pPr>
      <w:r w:rsidRPr="00436BD2">
        <w:t xml:space="preserve">non-government schools, which are to be referred to the relevant non-government </w:t>
      </w:r>
      <w:proofErr w:type="gramStart"/>
      <w:r w:rsidRPr="00436BD2">
        <w:t>provider</w:t>
      </w:r>
      <w:proofErr w:type="gramEnd"/>
    </w:p>
    <w:p w14:paraId="5FD39199" w14:textId="6536FBDA" w:rsidR="00436BD2" w:rsidRDefault="00436BD2" w:rsidP="00436BD2">
      <w:pPr>
        <w:pStyle w:val="ListParagraph"/>
        <w:numPr>
          <w:ilvl w:val="0"/>
          <w:numId w:val="45"/>
        </w:numPr>
        <w:rPr>
          <w:lang w:val="en-US"/>
        </w:rPr>
      </w:pPr>
      <w:r w:rsidRPr="00436BD2">
        <w:t>department employees in relation to issues affecting them in the course of their employment. Department staff acting in an official capacity may raise their concerns with the person, workplace man</w:t>
      </w:r>
      <w:r w:rsidR="00F65289">
        <w:t>ager or seek advice from their Human Resources c</w:t>
      </w:r>
      <w:r w:rsidRPr="00436BD2">
        <w:t xml:space="preserve">onsultant on how best to manage concerns or actions of another employee. Employees also have recourse </w:t>
      </w:r>
      <w:r>
        <w:t xml:space="preserve">to the grievance provisions </w:t>
      </w:r>
      <w:r w:rsidRPr="00436BD2">
        <w:t xml:space="preserve">under </w:t>
      </w:r>
      <w:r w:rsidR="00DC5584">
        <w:t xml:space="preserve">section 59 of </w:t>
      </w:r>
      <w:r w:rsidRPr="00436BD2">
        <w:t xml:space="preserve">the </w:t>
      </w:r>
      <w:r w:rsidRPr="00AB16AC">
        <w:t>Public Sector Employment and Management Act</w:t>
      </w:r>
      <w:r w:rsidR="003200E2" w:rsidRPr="00AB16AC">
        <w:t xml:space="preserve"> 1993</w:t>
      </w:r>
      <w:r>
        <w:t>.</w:t>
      </w:r>
      <w:bookmarkStart w:id="5" w:name="_Ref50110638"/>
      <w:r w:rsidR="00206647" w:rsidRPr="00206647">
        <w:rPr>
          <w:rStyle w:val="FootnoteReference"/>
        </w:rPr>
        <w:t xml:space="preserve"> </w:t>
      </w:r>
      <w:r w:rsidR="00206647">
        <w:rPr>
          <w:rStyle w:val="FootnoteReference"/>
        </w:rPr>
        <w:footnoteReference w:id="8"/>
      </w:r>
      <w:bookmarkEnd w:id="5"/>
    </w:p>
    <w:p w14:paraId="52857492" w14:textId="77777777" w:rsidR="00436BD2" w:rsidRDefault="003200E2" w:rsidP="003200E2">
      <w:pPr>
        <w:pStyle w:val="Heading1"/>
        <w:rPr>
          <w:lang w:val="en-US"/>
        </w:rPr>
      </w:pPr>
      <w:r>
        <w:rPr>
          <w:lang w:val="en-US"/>
        </w:rPr>
        <w:t>Definitions</w:t>
      </w:r>
    </w:p>
    <w:tbl>
      <w:tblPr>
        <w:tblStyle w:val="NTGtable2"/>
        <w:tblW w:w="0" w:type="auto"/>
        <w:tblLook w:val="04A0" w:firstRow="1" w:lastRow="0" w:firstColumn="1" w:lastColumn="0" w:noHBand="0" w:noVBand="1"/>
      </w:tblPr>
      <w:tblGrid>
        <w:gridCol w:w="2405"/>
        <w:gridCol w:w="7903"/>
      </w:tblGrid>
      <w:tr w:rsidR="00206647" w14:paraId="7FE41834" w14:textId="77777777" w:rsidTr="002066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002060"/>
          </w:tcPr>
          <w:p w14:paraId="38180F77" w14:textId="7E567D16" w:rsidR="00206647" w:rsidRDefault="00206647" w:rsidP="003200E2">
            <w:pPr>
              <w:rPr>
                <w:lang w:val="en-US"/>
              </w:rPr>
            </w:pPr>
            <w:r>
              <w:rPr>
                <w:lang w:val="en-US"/>
              </w:rPr>
              <w:t>Term</w:t>
            </w:r>
          </w:p>
        </w:tc>
        <w:tc>
          <w:tcPr>
            <w:tcW w:w="7903" w:type="dxa"/>
            <w:shd w:val="clear" w:color="auto" w:fill="002060"/>
          </w:tcPr>
          <w:p w14:paraId="0E161303" w14:textId="3625E210" w:rsidR="00206647" w:rsidRDefault="00206647" w:rsidP="003200E2">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Definition </w:t>
            </w:r>
          </w:p>
        </w:tc>
      </w:tr>
      <w:tr w:rsidR="00206647" w14:paraId="4F12444D" w14:textId="77777777" w:rsidTr="0020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8172FB" w14:textId="3C1808D0" w:rsidR="00206647" w:rsidRDefault="00206647" w:rsidP="003200E2">
            <w:pPr>
              <w:rPr>
                <w:lang w:val="en-US"/>
              </w:rPr>
            </w:pPr>
            <w:r w:rsidRPr="003200E2">
              <w:rPr>
                <w:lang w:val="en-US"/>
              </w:rPr>
              <w:t>Approved early childhood education and care services</w:t>
            </w:r>
          </w:p>
        </w:tc>
        <w:tc>
          <w:tcPr>
            <w:tcW w:w="7903" w:type="dxa"/>
          </w:tcPr>
          <w:p w14:paraId="3D24FD32" w14:textId="7CA8F799" w:rsidR="00206647" w:rsidRDefault="00206647" w:rsidP="003200E2">
            <w:pPr>
              <w:cnfStyle w:val="000000100000" w:firstRow="0" w:lastRow="0" w:firstColumn="0" w:lastColumn="0" w:oddVBand="0" w:evenVBand="0" w:oddHBand="1" w:evenHBand="0" w:firstRowFirstColumn="0" w:firstRowLastColumn="0" w:lastRowFirstColumn="0" w:lastRowLastColumn="0"/>
              <w:rPr>
                <w:lang w:val="en-US"/>
              </w:rPr>
            </w:pPr>
            <w:r w:rsidRPr="003200E2">
              <w:rPr>
                <w:lang w:val="en-US"/>
              </w:rPr>
              <w:t>Refer</w:t>
            </w:r>
            <w:r>
              <w:rPr>
                <w:lang w:val="en-US"/>
              </w:rPr>
              <w:t>s</w:t>
            </w:r>
            <w:r w:rsidRPr="003200E2">
              <w:rPr>
                <w:lang w:val="en-US"/>
              </w:rPr>
              <w:t xml:space="preserve"> to long day care services, family day care services, outside school hours care services, preschool programs and early childhood programs.</w:t>
            </w:r>
          </w:p>
        </w:tc>
      </w:tr>
      <w:tr w:rsidR="00206647" w14:paraId="021B0A36" w14:textId="77777777" w:rsidTr="00206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18EC4C" w14:textId="60EEFFE8" w:rsidR="00206647" w:rsidRPr="003200E2" w:rsidRDefault="00206647" w:rsidP="003200E2">
            <w:pPr>
              <w:rPr>
                <w:lang w:val="en-US"/>
              </w:rPr>
            </w:pPr>
            <w:r w:rsidRPr="003200E2">
              <w:rPr>
                <w:lang w:val="en-US"/>
              </w:rPr>
              <w:t>Complaint</w:t>
            </w:r>
          </w:p>
        </w:tc>
        <w:tc>
          <w:tcPr>
            <w:tcW w:w="7903" w:type="dxa"/>
          </w:tcPr>
          <w:p w14:paraId="542DF4F4" w14:textId="3C1E1945" w:rsidR="00206647" w:rsidRPr="003200E2" w:rsidRDefault="00206647" w:rsidP="003200E2">
            <w:pPr>
              <w:cnfStyle w:val="000000010000" w:firstRow="0" w:lastRow="0" w:firstColumn="0" w:lastColumn="0" w:oddVBand="0" w:evenVBand="0" w:oddHBand="0" w:evenHBand="1" w:firstRowFirstColumn="0" w:firstRowLastColumn="0" w:lastRowFirstColumn="0" w:lastRowLastColumn="0"/>
              <w:rPr>
                <w:lang w:val="en-US"/>
              </w:rPr>
            </w:pPr>
            <w:r w:rsidRPr="003200E2">
              <w:rPr>
                <w:lang w:val="en-US"/>
              </w:rPr>
              <w:t>The expression of dissatisfaction with any aspect of the service provided, or not provided or regulated by the department. It may include the behaviour or decisions of staff, or practices, policies or procedures. A complaint must contain sufficient detail to enable it to be recorded and addressed.</w:t>
            </w:r>
          </w:p>
        </w:tc>
      </w:tr>
      <w:tr w:rsidR="00206647" w14:paraId="18C2C780" w14:textId="77777777" w:rsidTr="0020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D781CC" w14:textId="09FF87CB" w:rsidR="00206647" w:rsidRPr="003200E2" w:rsidRDefault="00206647" w:rsidP="003200E2">
            <w:pPr>
              <w:rPr>
                <w:lang w:val="en-US"/>
              </w:rPr>
            </w:pPr>
            <w:r w:rsidRPr="00770DFF">
              <w:t>Quality Education and Care NT (QECNT)</w:t>
            </w:r>
          </w:p>
        </w:tc>
        <w:tc>
          <w:tcPr>
            <w:tcW w:w="7903" w:type="dxa"/>
          </w:tcPr>
          <w:p w14:paraId="2E9B596F" w14:textId="28300045" w:rsidR="00206647" w:rsidRPr="003200E2" w:rsidRDefault="00206647" w:rsidP="003200E2">
            <w:pPr>
              <w:cnfStyle w:val="000000100000" w:firstRow="0" w:lastRow="0" w:firstColumn="0" w:lastColumn="0" w:oddVBand="0" w:evenVBand="0" w:oddHBand="1" w:evenHBand="0" w:firstRowFirstColumn="0" w:firstRowLastColumn="0" w:lastRowFirstColumn="0" w:lastRowLastColumn="0"/>
              <w:rPr>
                <w:lang w:val="en-US"/>
              </w:rPr>
            </w:pPr>
            <w:r w:rsidRPr="00770DFF">
              <w:t>The regulatory authority for early childhood education and care in the Northern Territory.</w:t>
            </w:r>
          </w:p>
        </w:tc>
      </w:tr>
      <w:tr w:rsidR="00206647" w14:paraId="7859619D" w14:textId="77777777" w:rsidTr="00206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898F70" w14:textId="4C38AAFF" w:rsidR="00206647" w:rsidRPr="00770DFF" w:rsidRDefault="00206647" w:rsidP="003200E2">
            <w:r>
              <w:t>Serious incident</w:t>
            </w:r>
          </w:p>
        </w:tc>
        <w:tc>
          <w:tcPr>
            <w:tcW w:w="7903" w:type="dxa"/>
          </w:tcPr>
          <w:p w14:paraId="7E50AF13" w14:textId="380E790D" w:rsidR="00206647" w:rsidRPr="00770DFF" w:rsidRDefault="00206647" w:rsidP="003200E2">
            <w:pPr>
              <w:cnfStyle w:val="000000010000" w:firstRow="0" w:lastRow="0" w:firstColumn="0" w:lastColumn="0" w:oddVBand="0" w:evenVBand="0" w:oddHBand="0" w:evenHBand="1" w:firstRowFirstColumn="0" w:firstRowLastColumn="0" w:lastRowFirstColumn="0" w:lastRowLastColumn="0"/>
            </w:pPr>
            <w:r>
              <w:t xml:space="preserve">Defined under regulation 12 of the </w:t>
            </w:r>
            <w:r w:rsidRPr="00DC5584">
              <w:rPr>
                <w:rFonts w:cs="Arial"/>
                <w:bCs/>
                <w:lang w:val="en-US"/>
              </w:rPr>
              <w:t>Education and Care Services National Regulations</w:t>
            </w:r>
            <w:r>
              <w:rPr>
                <w:rFonts w:cs="Arial"/>
                <w:bCs/>
                <w:lang w:val="en-US"/>
              </w:rPr>
              <w:t>.</w:t>
            </w:r>
            <w:r w:rsidRPr="00DC5584">
              <w:rPr>
                <w:rStyle w:val="FootnoteReference"/>
                <w:rFonts w:cs="Arial"/>
                <w:bCs/>
                <w:lang w:val="en-US"/>
              </w:rPr>
              <w:footnoteReference w:id="9"/>
            </w:r>
          </w:p>
        </w:tc>
      </w:tr>
      <w:tr w:rsidR="00206647" w14:paraId="135C07CD" w14:textId="77777777" w:rsidTr="0020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FDF602C" w14:textId="5B71F831" w:rsidR="00206647" w:rsidRDefault="00206647" w:rsidP="003200E2">
            <w:r w:rsidRPr="003200E2">
              <w:rPr>
                <w:lang w:val="en-US"/>
              </w:rPr>
              <w:t>Workplace manager</w:t>
            </w:r>
          </w:p>
        </w:tc>
        <w:tc>
          <w:tcPr>
            <w:tcW w:w="7903" w:type="dxa"/>
          </w:tcPr>
          <w:p w14:paraId="47794BC1" w14:textId="6DFCD4CE" w:rsidR="00206647" w:rsidRDefault="00206647" w:rsidP="003200E2">
            <w:pPr>
              <w:cnfStyle w:val="000000100000" w:firstRow="0" w:lastRow="0" w:firstColumn="0" w:lastColumn="0" w:oddVBand="0" w:evenVBand="0" w:oddHBand="1" w:evenHBand="0" w:firstRowFirstColumn="0" w:firstRowLastColumn="0" w:lastRowFirstColumn="0" w:lastRowLastColumn="0"/>
            </w:pPr>
            <w:r w:rsidRPr="003200E2">
              <w:rPr>
                <w:lang w:val="en-US"/>
              </w:rPr>
              <w:t>The immediate supervisor of a workplace.</w:t>
            </w:r>
          </w:p>
        </w:tc>
      </w:tr>
    </w:tbl>
    <w:p w14:paraId="2724D886" w14:textId="77777777" w:rsidR="00206647" w:rsidRDefault="00206647" w:rsidP="00206647">
      <w:pPr>
        <w:pStyle w:val="Heading1"/>
        <w:numPr>
          <w:ilvl w:val="0"/>
          <w:numId w:val="0"/>
        </w:numPr>
        <w:ind w:left="360"/>
        <w:rPr>
          <w:lang w:val="en-US"/>
        </w:rPr>
      </w:pPr>
    </w:p>
    <w:p w14:paraId="6BFFA577" w14:textId="77777777" w:rsidR="00206647" w:rsidRDefault="00206647">
      <w:pPr>
        <w:rPr>
          <w:rFonts w:asciiTheme="majorHAnsi" w:eastAsiaTheme="majorEastAsia" w:hAnsiTheme="majorHAnsi" w:cstheme="majorBidi"/>
          <w:bCs/>
          <w:color w:val="1F1F5F" w:themeColor="text1"/>
          <w:kern w:val="32"/>
          <w:sz w:val="36"/>
          <w:szCs w:val="32"/>
          <w:lang w:val="en-US"/>
        </w:rPr>
      </w:pPr>
      <w:r>
        <w:rPr>
          <w:lang w:val="en-US"/>
        </w:rPr>
        <w:br w:type="page"/>
      </w:r>
    </w:p>
    <w:p w14:paraId="6C906C3F" w14:textId="4B934660" w:rsidR="003200E2" w:rsidRDefault="003200E2" w:rsidP="003200E2">
      <w:pPr>
        <w:pStyle w:val="Heading1"/>
        <w:rPr>
          <w:lang w:val="en-US"/>
        </w:rPr>
      </w:pPr>
      <w:r>
        <w:rPr>
          <w:lang w:val="en-US"/>
        </w:rPr>
        <w:lastRenderedPageBreak/>
        <w:t>Related policy, legislation and documents</w:t>
      </w:r>
    </w:p>
    <w:p w14:paraId="58830DED" w14:textId="7FEC2BAE" w:rsidR="00436BD2" w:rsidRDefault="00F470E5" w:rsidP="00F470E5">
      <w:pPr>
        <w:pStyle w:val="Heading2"/>
        <w:rPr>
          <w:lang w:val="en-US"/>
        </w:rPr>
      </w:pPr>
      <w:r>
        <w:rPr>
          <w:lang w:val="en-US"/>
        </w:rPr>
        <w:t>Legislation</w:t>
      </w:r>
      <w:r w:rsidR="009F519C">
        <w:rPr>
          <w:lang w:val="en-US"/>
        </w:rPr>
        <w:t xml:space="preserve"> and resources</w:t>
      </w:r>
    </w:p>
    <w:p w14:paraId="36BA246D" w14:textId="0B23E293" w:rsidR="00F470E5" w:rsidRPr="005E1337" w:rsidRDefault="00411552" w:rsidP="00F470E5">
      <w:pPr>
        <w:pStyle w:val="ListParagraph"/>
        <w:numPr>
          <w:ilvl w:val="0"/>
          <w:numId w:val="47"/>
        </w:numPr>
        <w:rPr>
          <w:lang w:val="en-US" w:eastAsia="en-AU"/>
        </w:rPr>
      </w:pPr>
      <w:r w:rsidRPr="005E1337">
        <w:rPr>
          <w:i/>
          <w:iCs w:val="0"/>
          <w:lang w:val="en-US" w:eastAsia="en-AU"/>
        </w:rPr>
        <w:t>Anti-D</w:t>
      </w:r>
      <w:r w:rsidR="00F470E5" w:rsidRPr="005E1337">
        <w:rPr>
          <w:i/>
          <w:iCs w:val="0"/>
          <w:lang w:val="en-US" w:eastAsia="en-AU"/>
        </w:rPr>
        <w:t xml:space="preserve">iscrimination Act </w:t>
      </w:r>
      <w:r w:rsidR="004D253C" w:rsidRPr="005E1337">
        <w:rPr>
          <w:i/>
          <w:iCs w:val="0"/>
          <w:lang w:val="en-US" w:eastAsia="en-AU"/>
        </w:rPr>
        <w:t>1992</w:t>
      </w:r>
      <w:r w:rsidR="005E1337">
        <w:rPr>
          <w:i/>
          <w:iCs w:val="0"/>
          <w:lang w:val="en-US" w:eastAsia="en-AU"/>
        </w:rPr>
        <w:t xml:space="preserve"> </w:t>
      </w:r>
      <w:r w:rsidR="005E1337" w:rsidRPr="005E1337">
        <w:rPr>
          <w:lang w:val="en-US" w:eastAsia="en-AU"/>
        </w:rPr>
        <w:t xml:space="preserve">– </w:t>
      </w:r>
      <w:hyperlink r:id="rId12" w:history="1">
        <w:r w:rsidR="005E1337" w:rsidRPr="005E1337">
          <w:rPr>
            <w:rStyle w:val="Hyperlink"/>
            <w:lang w:val="en-US" w:eastAsia="en-AU"/>
          </w:rPr>
          <w:t>https://legislation.nt.gov.au/en/Legislation/ANTIDISCRIMINATION-ACT-1992</w:t>
        </w:r>
      </w:hyperlink>
      <w:r w:rsidR="005E1337" w:rsidRPr="005E1337">
        <w:rPr>
          <w:lang w:val="en-US" w:eastAsia="en-AU"/>
        </w:rPr>
        <w:t xml:space="preserve"> </w:t>
      </w:r>
    </w:p>
    <w:p w14:paraId="1E142F95" w14:textId="36F36680" w:rsidR="00411552" w:rsidRPr="005E1337" w:rsidRDefault="00411552" w:rsidP="00F470E5">
      <w:pPr>
        <w:pStyle w:val="ListParagraph"/>
        <w:numPr>
          <w:ilvl w:val="0"/>
          <w:numId w:val="47"/>
        </w:numPr>
        <w:rPr>
          <w:i/>
          <w:iCs w:val="0"/>
          <w:lang w:val="en-US" w:eastAsia="en-AU"/>
        </w:rPr>
      </w:pPr>
      <w:r w:rsidRPr="005E1337">
        <w:rPr>
          <w:i/>
          <w:iCs w:val="0"/>
          <w:lang w:val="en-US" w:eastAsia="en-AU"/>
        </w:rPr>
        <w:t>Care and Protection of Children Act</w:t>
      </w:r>
      <w:r w:rsidR="004D253C" w:rsidRPr="005E1337">
        <w:rPr>
          <w:i/>
          <w:iCs w:val="0"/>
          <w:lang w:val="en-US" w:eastAsia="en-AU"/>
        </w:rPr>
        <w:t xml:space="preserve"> 2007</w:t>
      </w:r>
      <w:r w:rsidR="005E1337">
        <w:rPr>
          <w:i/>
          <w:iCs w:val="0"/>
          <w:lang w:val="en-US" w:eastAsia="en-AU"/>
        </w:rPr>
        <w:t xml:space="preserve"> </w:t>
      </w:r>
      <w:r w:rsidR="005E1337">
        <w:rPr>
          <w:lang w:val="en-US" w:eastAsia="en-AU"/>
        </w:rPr>
        <w:t xml:space="preserve">– </w:t>
      </w:r>
      <w:hyperlink r:id="rId13" w:history="1">
        <w:r w:rsidR="005E1337" w:rsidRPr="00B0208C">
          <w:rPr>
            <w:rStyle w:val="Hyperlink"/>
            <w:lang w:val="en-US" w:eastAsia="en-AU"/>
          </w:rPr>
          <w:t>https://legislation.nt.gov.au/Legislation/CARE-AND-PROTECTION-OF-CHILDREN-ACT-2007</w:t>
        </w:r>
      </w:hyperlink>
      <w:r w:rsidR="005E1337">
        <w:rPr>
          <w:lang w:val="en-US" w:eastAsia="en-AU"/>
        </w:rPr>
        <w:t xml:space="preserve"> </w:t>
      </w:r>
    </w:p>
    <w:p w14:paraId="077233A2" w14:textId="39A69B72" w:rsidR="004D253C" w:rsidRPr="005E1337" w:rsidRDefault="004D253C" w:rsidP="00F470E5">
      <w:pPr>
        <w:pStyle w:val="ListParagraph"/>
        <w:numPr>
          <w:ilvl w:val="0"/>
          <w:numId w:val="47"/>
        </w:numPr>
        <w:rPr>
          <w:rStyle w:val="Hyperlink"/>
          <w:i/>
          <w:iCs w:val="0"/>
          <w:color w:val="auto"/>
          <w:u w:val="none"/>
          <w:lang w:val="en-US" w:eastAsia="en-AU"/>
        </w:rPr>
      </w:pPr>
      <w:r w:rsidRPr="005E1337">
        <w:rPr>
          <w:i/>
          <w:iCs w:val="0"/>
          <w:lang w:val="en-US" w:eastAsia="en-AU"/>
        </w:rPr>
        <w:t>Education Act 2015</w:t>
      </w:r>
      <w:r w:rsidR="005E1337">
        <w:rPr>
          <w:i/>
          <w:iCs w:val="0"/>
          <w:lang w:val="en-US" w:eastAsia="en-AU"/>
        </w:rPr>
        <w:t xml:space="preserve"> – </w:t>
      </w:r>
      <w:hyperlink r:id="rId14" w:history="1">
        <w:r w:rsidR="005E1337" w:rsidRPr="005E1337">
          <w:rPr>
            <w:rStyle w:val="Hyperlink"/>
            <w:lang w:val="en-US" w:eastAsia="en-AU"/>
          </w:rPr>
          <w:t>https://legislation.nt.gov.au/Legislation/EDUCATION-ACT-2015</w:t>
        </w:r>
      </w:hyperlink>
      <w:r w:rsidR="005E1337" w:rsidRPr="005E1337">
        <w:rPr>
          <w:lang w:val="en-US" w:eastAsia="en-AU"/>
        </w:rPr>
        <w:t xml:space="preserve"> </w:t>
      </w:r>
    </w:p>
    <w:p w14:paraId="433392C9" w14:textId="2BFB6103" w:rsidR="00F72BAF" w:rsidRPr="00F72BAF" w:rsidRDefault="00F72BAF" w:rsidP="00157F27">
      <w:pPr>
        <w:pStyle w:val="ListParagraph"/>
        <w:numPr>
          <w:ilvl w:val="0"/>
          <w:numId w:val="47"/>
        </w:numPr>
        <w:spacing w:after="160"/>
        <w:rPr>
          <w:rStyle w:val="Hyperlink"/>
          <w:rFonts w:cs="Arial"/>
          <w:bCs/>
          <w:i/>
          <w:color w:val="auto"/>
          <w:u w:val="none"/>
          <w:lang w:val="en-US"/>
        </w:rPr>
      </w:pPr>
      <w:r w:rsidRPr="005E1337">
        <w:rPr>
          <w:rFonts w:cs="Arial"/>
          <w:bCs/>
          <w:i/>
          <w:iCs w:val="0"/>
          <w:lang w:val="en-US"/>
        </w:rPr>
        <w:t>Education and Care Services (National Uniform Legislation) Act 2011</w:t>
      </w:r>
      <w:r w:rsidR="00C557D9">
        <w:rPr>
          <w:rFonts w:cs="Arial"/>
          <w:bCs/>
          <w:color w:val="0563C1" w:themeColor="hyperlink"/>
          <w:lang w:val="en-US"/>
        </w:rPr>
        <w:fldChar w:fldCharType="begin"/>
      </w:r>
      <w:r w:rsidR="00C557D9">
        <w:rPr>
          <w:rFonts w:cs="Arial"/>
          <w:bCs/>
          <w:lang w:val="en-US"/>
        </w:rPr>
        <w:instrText xml:space="preserve"> NOTEREF _Ref50110460 \f \h </w:instrText>
      </w:r>
      <w:r w:rsidR="00C557D9">
        <w:rPr>
          <w:rFonts w:cs="Arial"/>
          <w:bCs/>
          <w:color w:val="0563C1" w:themeColor="hyperlink"/>
          <w:lang w:val="en-US"/>
        </w:rPr>
      </w:r>
      <w:r w:rsidR="00C557D9">
        <w:rPr>
          <w:rFonts w:cs="Arial"/>
          <w:bCs/>
          <w:color w:val="0563C1" w:themeColor="hyperlink"/>
          <w:lang w:val="en-US"/>
        </w:rPr>
        <w:fldChar w:fldCharType="separate"/>
      </w:r>
      <w:r w:rsidR="00EF3ADA" w:rsidRPr="00EF3ADA">
        <w:rPr>
          <w:rStyle w:val="FootnoteReference"/>
        </w:rPr>
        <w:t>2</w:t>
      </w:r>
      <w:r w:rsidR="00C557D9">
        <w:rPr>
          <w:rFonts w:cs="Arial"/>
          <w:bCs/>
          <w:color w:val="0563C1" w:themeColor="hyperlink"/>
          <w:lang w:val="en-US"/>
        </w:rPr>
        <w:fldChar w:fldCharType="end"/>
      </w:r>
      <w:r w:rsidRPr="000C3861">
        <w:rPr>
          <w:rStyle w:val="Hyperlink"/>
          <w:rFonts w:cs="Arial"/>
          <w:bCs/>
          <w:u w:val="none"/>
          <w:lang w:val="en-US"/>
        </w:rPr>
        <w:t xml:space="preserve"> </w:t>
      </w:r>
      <w:r w:rsidRPr="000C3861">
        <w:rPr>
          <w:rStyle w:val="Hyperlink"/>
          <w:rFonts w:cs="Arial"/>
          <w:bCs/>
          <w:color w:val="auto"/>
          <w:u w:val="none"/>
          <w:lang w:val="en-US"/>
        </w:rPr>
        <w:t xml:space="preserve">is the legislation that adopts the National Law in the NT. </w:t>
      </w:r>
      <w:r w:rsidRPr="00C557D9">
        <w:rPr>
          <w:rFonts w:cs="Arial"/>
          <w:bCs/>
          <w:lang w:val="en-US"/>
        </w:rPr>
        <w:t>The Schedule to the Education and Care Services National Law Act 2010 (Vic)</w:t>
      </w:r>
      <w:r w:rsidR="00C557D9" w:rsidRPr="00F72BAF">
        <w:rPr>
          <w:rStyle w:val="Hyperlink"/>
          <w:rFonts w:cs="Arial"/>
          <w:bCs/>
          <w:color w:val="auto"/>
          <w:u w:val="none"/>
          <w:lang w:val="en-US"/>
        </w:rPr>
        <w:t xml:space="preserve"> </w:t>
      </w:r>
      <w:r w:rsidRPr="00F72BAF">
        <w:rPr>
          <w:rStyle w:val="Hyperlink"/>
          <w:rFonts w:cs="Arial"/>
          <w:bCs/>
          <w:color w:val="auto"/>
          <w:u w:val="none"/>
          <w:lang w:val="en-US"/>
        </w:rPr>
        <w:t>sets out the National Law</w:t>
      </w:r>
      <w:r w:rsidR="00C333AF">
        <w:rPr>
          <w:rStyle w:val="Hyperlink"/>
          <w:rFonts w:cs="Arial"/>
          <w:bCs/>
          <w:color w:val="auto"/>
          <w:u w:val="none"/>
          <w:lang w:val="en-US"/>
        </w:rPr>
        <w:t xml:space="preserve"> - </w:t>
      </w:r>
      <w:hyperlink r:id="rId15" w:history="1">
        <w:r w:rsidR="00C333AF" w:rsidRPr="00C74871">
          <w:rPr>
            <w:rStyle w:val="Hyperlink"/>
          </w:rPr>
          <w:t>https://legislation.nt.gov.au/en/Legislation/EDUCATION-AND-CARE-SERVICES-NATIONAL-UNIFORM-LEGISLATION-ACT-2011</w:t>
        </w:r>
      </w:hyperlink>
    </w:p>
    <w:p w14:paraId="2C93070E" w14:textId="646656DC" w:rsidR="00F72BAF" w:rsidRDefault="00FB65FE" w:rsidP="00F470E5">
      <w:pPr>
        <w:pStyle w:val="ListParagraph"/>
        <w:numPr>
          <w:ilvl w:val="0"/>
          <w:numId w:val="47"/>
        </w:numPr>
        <w:rPr>
          <w:lang w:val="en-US" w:eastAsia="en-AU"/>
        </w:rPr>
      </w:pPr>
      <w:r w:rsidRPr="00C557D9">
        <w:rPr>
          <w:rFonts w:cs="Arial"/>
          <w:bCs/>
          <w:lang w:val="en-US"/>
        </w:rPr>
        <w:t>Education and Care Services National Regulations</w:t>
      </w:r>
      <w:r w:rsidR="00C557D9">
        <w:rPr>
          <w:rFonts w:cs="Arial"/>
          <w:bCs/>
          <w:color w:val="0563C1" w:themeColor="hyperlink"/>
          <w:u w:val="single"/>
          <w:lang w:val="en-US"/>
        </w:rPr>
        <w:fldChar w:fldCharType="begin"/>
      </w:r>
      <w:r w:rsidR="00C557D9">
        <w:rPr>
          <w:rFonts w:cs="Arial"/>
          <w:bCs/>
          <w:lang w:val="en-US"/>
        </w:rPr>
        <w:instrText xml:space="preserve"> NOTEREF _Ref50110580 \f \h </w:instrText>
      </w:r>
      <w:r w:rsidR="00C557D9">
        <w:rPr>
          <w:rFonts w:cs="Arial"/>
          <w:bCs/>
          <w:color w:val="0563C1" w:themeColor="hyperlink"/>
          <w:u w:val="single"/>
          <w:lang w:val="en-US"/>
        </w:rPr>
      </w:r>
      <w:r w:rsidR="00C557D9">
        <w:rPr>
          <w:rFonts w:cs="Arial"/>
          <w:bCs/>
          <w:color w:val="0563C1" w:themeColor="hyperlink"/>
          <w:u w:val="single"/>
          <w:lang w:val="en-US"/>
        </w:rPr>
        <w:fldChar w:fldCharType="separate"/>
      </w:r>
      <w:r w:rsidR="00EF3ADA" w:rsidRPr="00EF3ADA">
        <w:rPr>
          <w:rStyle w:val="FootnoteReference"/>
        </w:rPr>
        <w:t>3</w:t>
      </w:r>
      <w:r w:rsidR="00C557D9">
        <w:rPr>
          <w:rFonts w:cs="Arial"/>
          <w:bCs/>
          <w:color w:val="0563C1" w:themeColor="hyperlink"/>
          <w:u w:val="single"/>
          <w:lang w:val="en-US"/>
        </w:rPr>
        <w:fldChar w:fldCharType="end"/>
      </w:r>
      <w:r w:rsidR="00C333AF" w:rsidRPr="00C333AF">
        <w:rPr>
          <w:rFonts w:cs="Arial"/>
          <w:bCs/>
          <w:color w:val="0563C1" w:themeColor="hyperlink"/>
          <w:lang w:val="en-US"/>
        </w:rPr>
        <w:t xml:space="preserve"> –</w:t>
      </w:r>
      <w:r w:rsidR="00C333AF">
        <w:rPr>
          <w:rFonts w:cs="Arial"/>
          <w:bCs/>
          <w:color w:val="0563C1" w:themeColor="hyperlink"/>
          <w:lang w:val="en-US"/>
        </w:rPr>
        <w:t xml:space="preserve"> </w:t>
      </w:r>
      <w:hyperlink r:id="rId16" w:history="1">
        <w:r w:rsidR="00C333AF" w:rsidRPr="00B0208C">
          <w:rPr>
            <w:rStyle w:val="Hyperlink"/>
            <w:rFonts w:cs="Arial"/>
            <w:bCs/>
            <w:lang w:val="en-US"/>
          </w:rPr>
          <w:t>https://www.acecqa.gov.au/nqf/national-law-regulations/national-regulations</w:t>
        </w:r>
      </w:hyperlink>
      <w:r w:rsidR="00C333AF">
        <w:rPr>
          <w:rFonts w:cs="Arial"/>
          <w:bCs/>
          <w:color w:val="0563C1" w:themeColor="hyperlink"/>
          <w:lang w:val="en-US"/>
        </w:rPr>
        <w:t xml:space="preserve"> </w:t>
      </w:r>
    </w:p>
    <w:p w14:paraId="1F827C5B" w14:textId="17B9AB56" w:rsidR="004D253C" w:rsidRPr="005E1337" w:rsidRDefault="004D253C" w:rsidP="00F470E5">
      <w:pPr>
        <w:pStyle w:val="ListParagraph"/>
        <w:numPr>
          <w:ilvl w:val="0"/>
          <w:numId w:val="47"/>
        </w:numPr>
        <w:rPr>
          <w:i/>
          <w:iCs w:val="0"/>
          <w:lang w:val="en-US" w:eastAsia="en-AU"/>
        </w:rPr>
      </w:pPr>
      <w:r w:rsidRPr="005E1337">
        <w:rPr>
          <w:i/>
          <w:iCs w:val="0"/>
          <w:lang w:val="en-US" w:eastAsia="en-AU"/>
        </w:rPr>
        <w:t xml:space="preserve">Information Act </w:t>
      </w:r>
      <w:r w:rsidR="00A22984" w:rsidRPr="005E1337">
        <w:rPr>
          <w:i/>
          <w:iCs w:val="0"/>
          <w:lang w:val="en-US" w:eastAsia="en-AU"/>
        </w:rPr>
        <w:t>2002</w:t>
      </w:r>
      <w:r w:rsidR="00C333AF">
        <w:rPr>
          <w:i/>
          <w:iCs w:val="0"/>
          <w:lang w:val="en-US" w:eastAsia="en-AU"/>
        </w:rPr>
        <w:t xml:space="preserve"> </w:t>
      </w:r>
      <w:r w:rsidR="00C333AF">
        <w:rPr>
          <w:iCs w:val="0"/>
          <w:lang w:val="en-US" w:eastAsia="en-AU"/>
        </w:rPr>
        <w:t xml:space="preserve">– </w:t>
      </w:r>
      <w:hyperlink r:id="rId17" w:history="1">
        <w:r w:rsidR="00C333AF" w:rsidRPr="00B0208C">
          <w:rPr>
            <w:rStyle w:val="Hyperlink"/>
            <w:iCs w:val="0"/>
            <w:lang w:val="en-US" w:eastAsia="en-AU"/>
          </w:rPr>
          <w:t>https://legislation.nt.gov.au/Legislation/INFORMATION-ACT-2002</w:t>
        </w:r>
      </w:hyperlink>
      <w:r w:rsidR="00C333AF">
        <w:rPr>
          <w:iCs w:val="0"/>
          <w:lang w:val="en-US" w:eastAsia="en-AU"/>
        </w:rPr>
        <w:t xml:space="preserve"> </w:t>
      </w:r>
    </w:p>
    <w:p w14:paraId="75BE3976" w14:textId="77777777" w:rsidR="00E173AB" w:rsidRPr="009F519C" w:rsidRDefault="00E173AB" w:rsidP="00E173AB">
      <w:pPr>
        <w:pStyle w:val="ListParagraph"/>
        <w:numPr>
          <w:ilvl w:val="0"/>
          <w:numId w:val="47"/>
        </w:numPr>
        <w:rPr>
          <w:lang w:val="en-US" w:eastAsia="en-AU"/>
        </w:rPr>
      </w:pPr>
      <w:r w:rsidRPr="00C557D9">
        <w:rPr>
          <w:lang w:eastAsia="en-AU"/>
        </w:rPr>
        <w:t>Ombudsman NT Effective Complaints Management Fact Sheets</w:t>
      </w:r>
      <w:r>
        <w:rPr>
          <w:lang w:eastAsia="en-AU"/>
        </w:rPr>
        <w:t xml:space="preserve"> - </w:t>
      </w:r>
      <w:hyperlink r:id="rId18" w:history="1">
        <w:r w:rsidRPr="00B0208C">
          <w:rPr>
            <w:rStyle w:val="Hyperlink"/>
            <w:lang w:eastAsia="en-AU"/>
          </w:rPr>
          <w:t>https://www.ombudsman.nt.gov.au/agencies/effective-complaints-management-fact-sheets</w:t>
        </w:r>
      </w:hyperlink>
    </w:p>
    <w:p w14:paraId="44464455" w14:textId="53E03B2F" w:rsidR="009F519C" w:rsidRPr="009F519C" w:rsidRDefault="00A22984" w:rsidP="009F519C">
      <w:pPr>
        <w:pStyle w:val="ListParagraph"/>
        <w:numPr>
          <w:ilvl w:val="0"/>
          <w:numId w:val="47"/>
        </w:numPr>
        <w:rPr>
          <w:rStyle w:val="Hyperlink"/>
          <w:color w:val="auto"/>
          <w:u w:val="none"/>
          <w:lang w:val="en-US" w:eastAsia="en-AU"/>
        </w:rPr>
      </w:pPr>
      <w:r w:rsidRPr="005E1337">
        <w:rPr>
          <w:i/>
          <w:iCs w:val="0"/>
          <w:lang w:val="en-US" w:eastAsia="en-AU"/>
        </w:rPr>
        <w:t xml:space="preserve">Public Sector Employment </w:t>
      </w:r>
      <w:r w:rsidR="003228BE" w:rsidRPr="005E1337">
        <w:rPr>
          <w:i/>
          <w:iCs w:val="0"/>
          <w:lang w:val="en-US" w:eastAsia="en-AU"/>
        </w:rPr>
        <w:t xml:space="preserve">and Management </w:t>
      </w:r>
      <w:r w:rsidRPr="005E1337">
        <w:rPr>
          <w:i/>
          <w:iCs w:val="0"/>
          <w:lang w:val="en-US" w:eastAsia="en-AU"/>
        </w:rPr>
        <w:t>Act 1993</w:t>
      </w:r>
      <w:r w:rsidR="00C557D9">
        <w:rPr>
          <w:lang w:val="en-US" w:eastAsia="en-AU"/>
        </w:rPr>
        <w:fldChar w:fldCharType="begin"/>
      </w:r>
      <w:r w:rsidR="00C557D9">
        <w:rPr>
          <w:lang w:val="en-US" w:eastAsia="en-AU"/>
        </w:rPr>
        <w:instrText xml:space="preserve"> NOTEREF _Ref50110638 \f \h </w:instrText>
      </w:r>
      <w:r w:rsidR="00C557D9">
        <w:rPr>
          <w:lang w:val="en-US" w:eastAsia="en-AU"/>
        </w:rPr>
      </w:r>
      <w:r w:rsidR="00C557D9">
        <w:rPr>
          <w:lang w:val="en-US" w:eastAsia="en-AU"/>
        </w:rPr>
        <w:fldChar w:fldCharType="separate"/>
      </w:r>
      <w:r w:rsidR="00EF3ADA" w:rsidRPr="00EF3ADA">
        <w:rPr>
          <w:rStyle w:val="FootnoteReference"/>
        </w:rPr>
        <w:t>7</w:t>
      </w:r>
      <w:r w:rsidR="00C557D9">
        <w:rPr>
          <w:lang w:val="en-US" w:eastAsia="en-AU"/>
        </w:rPr>
        <w:fldChar w:fldCharType="end"/>
      </w:r>
      <w:r w:rsidR="00C333AF">
        <w:rPr>
          <w:lang w:val="en-US" w:eastAsia="en-AU"/>
        </w:rPr>
        <w:t xml:space="preserve"> – </w:t>
      </w:r>
      <w:hyperlink r:id="rId19" w:history="1">
        <w:r w:rsidR="00C333AF">
          <w:rPr>
            <w:rStyle w:val="Hyperlink"/>
          </w:rPr>
          <w:t>https://legislation.nt.gov.au/en/Legislation/PUBLIC-SECTOR-EMPLOYMENT-AND-MANAGEMENT-ACT-1993</w:t>
        </w:r>
      </w:hyperlink>
    </w:p>
    <w:p w14:paraId="1E067F68" w14:textId="01CF8109" w:rsidR="009F519C" w:rsidRDefault="00E173AB" w:rsidP="009F519C">
      <w:pPr>
        <w:pStyle w:val="Heading2"/>
        <w:rPr>
          <w:lang w:val="en-US"/>
        </w:rPr>
      </w:pPr>
      <w:r>
        <w:rPr>
          <w:lang w:val="en-US"/>
        </w:rPr>
        <w:t>Department p</w:t>
      </w:r>
      <w:r w:rsidR="009F519C">
        <w:rPr>
          <w:lang w:val="en-US"/>
        </w:rPr>
        <w:t>olicy</w:t>
      </w:r>
      <w:r>
        <w:rPr>
          <w:lang w:val="en-US"/>
        </w:rPr>
        <w:t xml:space="preserve"> and guidelines</w:t>
      </w:r>
    </w:p>
    <w:p w14:paraId="7A527791" w14:textId="50932FDF" w:rsidR="009F519C" w:rsidRPr="00E173AB" w:rsidRDefault="009F519C" w:rsidP="00E173AB">
      <w:pPr>
        <w:pStyle w:val="ListParagraph"/>
        <w:numPr>
          <w:ilvl w:val="0"/>
          <w:numId w:val="46"/>
        </w:numPr>
        <w:rPr>
          <w:rStyle w:val="Hyperlink"/>
          <w:color w:val="auto"/>
          <w:u w:val="none"/>
          <w:lang w:val="en-US" w:eastAsia="en-AU"/>
        </w:rPr>
      </w:pPr>
      <w:r w:rsidRPr="00C557D9">
        <w:rPr>
          <w:lang w:val="en-US" w:eastAsia="en-AU"/>
        </w:rPr>
        <w:t>Bullying, harassment and violence policy</w:t>
      </w:r>
      <w:r w:rsidR="00E173AB">
        <w:rPr>
          <w:lang w:val="en-US" w:eastAsia="en-AU"/>
        </w:rPr>
        <w:t xml:space="preserve"> – staff access</w:t>
      </w:r>
    </w:p>
    <w:p w14:paraId="48C1FE1F" w14:textId="77777777" w:rsidR="009F519C" w:rsidRPr="00206647" w:rsidRDefault="009F519C" w:rsidP="009F519C">
      <w:pPr>
        <w:pStyle w:val="ListParagraph"/>
        <w:numPr>
          <w:ilvl w:val="0"/>
          <w:numId w:val="46"/>
        </w:numPr>
        <w:rPr>
          <w:lang w:val="en-US" w:eastAsia="en-AU"/>
        </w:rPr>
      </w:pPr>
      <w:r w:rsidRPr="00C557D9">
        <w:rPr>
          <w:noProof/>
          <w:lang w:eastAsia="en-AU"/>
        </w:rPr>
        <w:t>Complaints management for schools guidelines</w:t>
      </w:r>
      <w:r>
        <w:rPr>
          <w:noProof/>
          <w:lang w:eastAsia="en-AU"/>
        </w:rPr>
        <w:t xml:space="preserve"> – </w:t>
      </w:r>
      <w:hyperlink r:id="rId20" w:anchor="complaints_management" w:history="1">
        <w:r w:rsidRPr="00B0208C">
          <w:rPr>
            <w:rStyle w:val="Hyperlink"/>
            <w:noProof/>
            <w:lang w:eastAsia="en-AU"/>
          </w:rPr>
          <w:t>https://education.nt.gov.au/policies/conduct#complaints_management</w:t>
        </w:r>
      </w:hyperlink>
      <w:r>
        <w:rPr>
          <w:noProof/>
          <w:lang w:eastAsia="en-AU"/>
        </w:rPr>
        <w:t xml:space="preserve"> </w:t>
      </w:r>
    </w:p>
    <w:p w14:paraId="002A85E9" w14:textId="77777777" w:rsidR="00E173AB" w:rsidRDefault="00E173AB" w:rsidP="00E173AB">
      <w:pPr>
        <w:pStyle w:val="ListParagraph"/>
        <w:numPr>
          <w:ilvl w:val="0"/>
          <w:numId w:val="46"/>
        </w:numPr>
        <w:rPr>
          <w:lang w:val="en-US" w:eastAsia="en-AU"/>
        </w:rPr>
      </w:pPr>
      <w:r w:rsidRPr="00C557D9">
        <w:rPr>
          <w:lang w:val="en-US" w:eastAsia="en-AU"/>
        </w:rPr>
        <w:t>Grievance management policy</w:t>
      </w:r>
      <w:r>
        <w:rPr>
          <w:lang w:val="en-US" w:eastAsia="en-AU"/>
        </w:rPr>
        <w:t xml:space="preserve"> – staff access</w:t>
      </w:r>
    </w:p>
    <w:p w14:paraId="1D286F24" w14:textId="77777777" w:rsidR="00E173AB" w:rsidRDefault="00E173AB" w:rsidP="00E173AB">
      <w:pPr>
        <w:pStyle w:val="ListParagraph"/>
        <w:numPr>
          <w:ilvl w:val="0"/>
          <w:numId w:val="46"/>
        </w:numPr>
        <w:rPr>
          <w:lang w:val="en-US" w:eastAsia="en-AU"/>
        </w:rPr>
      </w:pPr>
      <w:r w:rsidRPr="00C557D9">
        <w:rPr>
          <w:lang w:val="en-US" w:eastAsia="en-AU"/>
        </w:rPr>
        <w:t>Records management policy and guidelines</w:t>
      </w:r>
      <w:r>
        <w:rPr>
          <w:lang w:val="en-US" w:eastAsia="en-AU"/>
        </w:rPr>
        <w:t xml:space="preserve"> – staff access</w:t>
      </w:r>
    </w:p>
    <w:p w14:paraId="553EBC42" w14:textId="17539CA1" w:rsidR="009F519C" w:rsidRDefault="009F519C" w:rsidP="009F519C">
      <w:pPr>
        <w:pStyle w:val="ListParagraph"/>
        <w:numPr>
          <w:ilvl w:val="0"/>
          <w:numId w:val="46"/>
        </w:numPr>
        <w:rPr>
          <w:lang w:val="en-US" w:eastAsia="en-AU"/>
        </w:rPr>
      </w:pPr>
      <w:r>
        <w:rPr>
          <w:lang w:val="en-US" w:eastAsia="en-AU"/>
        </w:rPr>
        <w:t xml:space="preserve">Sexual behaviour in </w:t>
      </w:r>
      <w:proofErr w:type="gramStart"/>
      <w:r>
        <w:rPr>
          <w:lang w:val="en-US" w:eastAsia="en-AU"/>
        </w:rPr>
        <w:t>children</w:t>
      </w:r>
      <w:proofErr w:type="gramEnd"/>
      <w:r>
        <w:rPr>
          <w:lang w:val="en-US" w:eastAsia="en-AU"/>
        </w:rPr>
        <w:t xml:space="preserve"> guidelines – </w:t>
      </w:r>
      <w:hyperlink r:id="rId21" w:history="1">
        <w:r w:rsidR="00DC685E" w:rsidRPr="0050294A">
          <w:rPr>
            <w:rStyle w:val="Hyperlink"/>
            <w:lang w:val="en-US" w:eastAsia="en-AU"/>
          </w:rPr>
          <w:t>https://education.nt.gov.au/policies/health-safety#sexual_behaviour</w:t>
        </w:r>
      </w:hyperlink>
      <w:r w:rsidR="00DC685E">
        <w:rPr>
          <w:lang w:val="en-US" w:eastAsia="en-AU"/>
        </w:rPr>
        <w:t xml:space="preserve"> </w:t>
      </w:r>
    </w:p>
    <w:p w14:paraId="3B75CD83" w14:textId="2BD99D2E" w:rsidR="00A22984" w:rsidRDefault="00A22984" w:rsidP="00E173AB">
      <w:pPr>
        <w:pStyle w:val="ListParagraph"/>
        <w:ind w:left="720"/>
        <w:rPr>
          <w:lang w:eastAsia="en-AU"/>
        </w:rPr>
      </w:pPr>
    </w:p>
    <w:tbl>
      <w:tblPr>
        <w:tblStyle w:val="NTGtable1"/>
        <w:tblpPr w:leftFromText="180" w:rightFromText="180" w:vertAnchor="text" w:horzAnchor="margin" w:tblpY="86"/>
        <w:tblW w:w="10343" w:type="dxa"/>
        <w:tblLayout w:type="fixed"/>
        <w:tblLook w:val="0120" w:firstRow="1" w:lastRow="0" w:firstColumn="0" w:lastColumn="1" w:noHBand="0" w:noVBand="0"/>
        <w:tblCaption w:val="Table with a list of acronyms used in this document and their meanings."/>
      </w:tblPr>
      <w:tblGrid>
        <w:gridCol w:w="1980"/>
        <w:gridCol w:w="8363"/>
      </w:tblGrid>
      <w:tr w:rsidR="005E1337" w:rsidRPr="00E87DE1" w14:paraId="13ABB631" w14:textId="77777777" w:rsidTr="005E1337">
        <w:trPr>
          <w:cnfStyle w:val="100000000000" w:firstRow="1" w:lastRow="0" w:firstColumn="0" w:lastColumn="0" w:oddVBand="0" w:evenVBand="0" w:oddHBand="0" w:evenHBand="0" w:firstRowFirstColumn="0" w:firstRowLastColumn="0" w:lastRowFirstColumn="0" w:lastRowLastColumn="0"/>
          <w:trHeight w:val="431"/>
        </w:trPr>
        <w:tc>
          <w:tcPr>
            <w:tcW w:w="1980" w:type="dxa"/>
            <w:vAlign w:val="top"/>
          </w:tcPr>
          <w:p w14:paraId="4092BF4B" w14:textId="77777777" w:rsidR="005E1337" w:rsidRPr="00E87DE1" w:rsidRDefault="005E1337" w:rsidP="005E1337">
            <w:r w:rsidRPr="00E87DE1">
              <w:rPr>
                <w:w w:val="105"/>
              </w:rPr>
              <w:t>Acronyms</w:t>
            </w:r>
          </w:p>
        </w:tc>
        <w:tc>
          <w:tcPr>
            <w:tcW w:w="8363" w:type="dxa"/>
            <w:vAlign w:val="top"/>
          </w:tcPr>
          <w:p w14:paraId="58C188D8" w14:textId="77777777" w:rsidR="005E1337" w:rsidRPr="00E87DE1" w:rsidRDefault="005E1337" w:rsidP="005E1337">
            <w:r w:rsidRPr="00E87DE1">
              <w:rPr>
                <w:w w:val="105"/>
              </w:rPr>
              <w:t>Full</w:t>
            </w:r>
            <w:r w:rsidRPr="00E87DE1">
              <w:rPr>
                <w:spacing w:val="-17"/>
                <w:w w:val="105"/>
              </w:rPr>
              <w:t xml:space="preserve"> </w:t>
            </w:r>
            <w:r w:rsidRPr="00E87DE1">
              <w:rPr>
                <w:w w:val="105"/>
              </w:rPr>
              <w:t>form</w:t>
            </w:r>
          </w:p>
        </w:tc>
      </w:tr>
      <w:tr w:rsidR="005E1337" w:rsidRPr="00E87DE1" w14:paraId="65ED9059" w14:textId="77777777" w:rsidTr="005E1337">
        <w:trPr>
          <w:trHeight w:val="431"/>
        </w:trPr>
        <w:tc>
          <w:tcPr>
            <w:tcW w:w="1980" w:type="dxa"/>
            <w:vAlign w:val="top"/>
          </w:tcPr>
          <w:p w14:paraId="3D79229C" w14:textId="77777777" w:rsidR="005E1337" w:rsidRPr="006145BB" w:rsidRDefault="005E1337" w:rsidP="005E1337">
            <w:r>
              <w:t>ASQF</w:t>
            </w:r>
          </w:p>
        </w:tc>
        <w:tc>
          <w:tcPr>
            <w:tcW w:w="8363" w:type="dxa"/>
            <w:vAlign w:val="top"/>
          </w:tcPr>
          <w:p w14:paraId="6B3185F9" w14:textId="77777777" w:rsidR="005E1337" w:rsidRPr="006145BB" w:rsidRDefault="005E1337" w:rsidP="005E1337">
            <w:r>
              <w:t>Australian Skills Quality Authority</w:t>
            </w:r>
          </w:p>
        </w:tc>
      </w:tr>
      <w:tr w:rsidR="005E1337" w:rsidRPr="00E87DE1" w14:paraId="2A8C0D10" w14:textId="77777777" w:rsidTr="005E133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65C79FF0" w14:textId="77777777" w:rsidR="005E1337" w:rsidRDefault="005E1337" w:rsidP="005E1337">
            <w:r>
              <w:t>NQF</w:t>
            </w:r>
          </w:p>
        </w:tc>
        <w:tc>
          <w:tcPr>
            <w:tcW w:w="8363" w:type="dxa"/>
            <w:vAlign w:val="top"/>
          </w:tcPr>
          <w:p w14:paraId="364FB2D3" w14:textId="77777777" w:rsidR="005E1337" w:rsidRDefault="005E1337" w:rsidP="005E1337">
            <w:r>
              <w:t>National Quality Framework</w:t>
            </w:r>
          </w:p>
        </w:tc>
      </w:tr>
      <w:tr w:rsidR="005E1337" w:rsidRPr="00E87DE1" w14:paraId="4C74BE12" w14:textId="77777777" w:rsidTr="005E1337">
        <w:trPr>
          <w:trHeight w:val="431"/>
        </w:trPr>
        <w:tc>
          <w:tcPr>
            <w:tcW w:w="1980" w:type="dxa"/>
            <w:vAlign w:val="top"/>
          </w:tcPr>
          <w:p w14:paraId="59DDF26E" w14:textId="77777777" w:rsidR="005E1337" w:rsidRDefault="005E1337" w:rsidP="005E1337">
            <w:r>
              <w:t>QECNT</w:t>
            </w:r>
          </w:p>
        </w:tc>
        <w:tc>
          <w:tcPr>
            <w:tcW w:w="8363" w:type="dxa"/>
            <w:vAlign w:val="top"/>
          </w:tcPr>
          <w:p w14:paraId="32AA5B13" w14:textId="77777777" w:rsidR="005E1337" w:rsidRDefault="005E1337" w:rsidP="005E1337">
            <w:r>
              <w:t>Quality Education and Care Northern Territory</w:t>
            </w:r>
          </w:p>
        </w:tc>
      </w:tr>
      <w:tr w:rsidR="005E1337" w:rsidRPr="00E87DE1" w14:paraId="01D01A61" w14:textId="77777777" w:rsidTr="00DC685E">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5AC8E08" w14:textId="77777777" w:rsidR="005E1337" w:rsidRPr="006145BB" w:rsidRDefault="005E1337" w:rsidP="005E1337">
            <w:r>
              <w:t>TEQSA</w:t>
            </w:r>
          </w:p>
        </w:tc>
        <w:tc>
          <w:tcPr>
            <w:tcW w:w="8363" w:type="dxa"/>
            <w:vAlign w:val="top"/>
          </w:tcPr>
          <w:p w14:paraId="37D1AC69" w14:textId="77777777" w:rsidR="005E1337" w:rsidRPr="006145BB" w:rsidRDefault="005E1337" w:rsidP="005E1337">
            <w:r>
              <w:t>Tertiary Education Quality Standards Agency</w:t>
            </w:r>
          </w:p>
        </w:tc>
      </w:tr>
      <w:tr w:rsidR="005E1337" w:rsidRPr="00E87DE1" w14:paraId="0161A33D" w14:textId="77777777" w:rsidTr="005E1337">
        <w:trPr>
          <w:trHeight w:val="431"/>
        </w:trPr>
        <w:tc>
          <w:tcPr>
            <w:tcW w:w="1980" w:type="dxa"/>
            <w:vAlign w:val="top"/>
          </w:tcPr>
          <w:p w14:paraId="2790B3BC" w14:textId="77777777" w:rsidR="005E1337" w:rsidRPr="006145BB" w:rsidRDefault="005E1337" w:rsidP="005E1337">
            <w:r>
              <w:t>TRM</w:t>
            </w:r>
          </w:p>
        </w:tc>
        <w:tc>
          <w:tcPr>
            <w:tcW w:w="8363" w:type="dxa"/>
            <w:vAlign w:val="top"/>
          </w:tcPr>
          <w:p w14:paraId="754C0B7D" w14:textId="77777777" w:rsidR="005E1337" w:rsidRPr="006145BB" w:rsidRDefault="005E1337" w:rsidP="005E1337">
            <w:r>
              <w:t>Territory Records Manager</w:t>
            </w:r>
          </w:p>
        </w:tc>
      </w:tr>
      <w:tr w:rsidR="005E1337" w:rsidRPr="00E87DE1" w14:paraId="4B8C3ECC" w14:textId="77777777" w:rsidTr="005E1337">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9C01322" w14:textId="77777777" w:rsidR="005E1337" w:rsidRDefault="005E1337" w:rsidP="005E1337">
            <w:r>
              <w:t>VET</w:t>
            </w:r>
          </w:p>
        </w:tc>
        <w:tc>
          <w:tcPr>
            <w:tcW w:w="8363" w:type="dxa"/>
            <w:vAlign w:val="top"/>
          </w:tcPr>
          <w:p w14:paraId="78AACD20" w14:textId="77777777" w:rsidR="005E1337" w:rsidRDefault="005E1337" w:rsidP="005E1337">
            <w:r>
              <w:t>Vocational Education and Training</w:t>
            </w:r>
          </w:p>
        </w:tc>
      </w:tr>
    </w:tbl>
    <w:tbl>
      <w:tblPr>
        <w:tblStyle w:val="NTGtable1"/>
        <w:tblW w:w="10348" w:type="dxa"/>
        <w:tblLook w:val="0480" w:firstRow="0" w:lastRow="0" w:firstColumn="1" w:lastColumn="0" w:noHBand="0" w:noVBand="1"/>
        <w:tblCaption w:val="Table with a list of acronyms used in this document and their meanings."/>
      </w:tblPr>
      <w:tblGrid>
        <w:gridCol w:w="2410"/>
        <w:gridCol w:w="7938"/>
      </w:tblGrid>
      <w:tr w:rsidR="00B55BAB" w14:paraId="689C0E41" w14:textId="77777777" w:rsidTr="008E21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5DC2235" w14:textId="77777777" w:rsidR="00B55BAB" w:rsidRPr="0054507C" w:rsidRDefault="00B55BAB" w:rsidP="008E218A">
            <w:pPr>
              <w:rPr>
                <w:b/>
              </w:rPr>
            </w:pPr>
            <w:r w:rsidRPr="0054507C">
              <w:rPr>
                <w:b/>
              </w:rPr>
              <w:lastRenderedPageBreak/>
              <w:t>Document title</w:t>
            </w:r>
          </w:p>
        </w:tc>
        <w:tc>
          <w:tcPr>
            <w:tcW w:w="7938" w:type="dxa"/>
          </w:tcPr>
          <w:p w14:paraId="49193F3E" w14:textId="34067B4F" w:rsidR="00B55BAB" w:rsidRPr="006145BB" w:rsidRDefault="00EF3ADA" w:rsidP="008E218A">
            <w:pPr>
              <w:cnfStyle w:val="000000000000" w:firstRow="0" w:lastRow="0" w:firstColumn="0" w:lastColumn="0" w:oddVBand="0" w:evenVBand="0" w:oddHBand="0" w:evenHBand="0" w:firstRowFirstColumn="0" w:firstRowLastColumn="0" w:lastRowFirstColumn="0" w:lastRowLastColumn="0"/>
            </w:pPr>
            <w:sdt>
              <w:sdtPr>
                <w:alias w:val="Title"/>
                <w:tag w:val="Title"/>
                <w:id w:val="-1514139904"/>
                <w:placeholder>
                  <w:docPart w:val="6923B36ABA9F414E88C45129AB06EB8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55BAB">
                  <w:t>Complaints management in schools - policy</w:t>
                </w:r>
              </w:sdtContent>
            </w:sdt>
          </w:p>
        </w:tc>
      </w:tr>
      <w:tr w:rsidR="00B55BAB" w14:paraId="640DDB12" w14:textId="77777777" w:rsidTr="008E218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5DBC08F" w14:textId="77777777" w:rsidR="00B55BAB" w:rsidRPr="0054507C" w:rsidRDefault="00B55BAB" w:rsidP="008E218A">
            <w:pPr>
              <w:rPr>
                <w:b/>
              </w:rPr>
            </w:pPr>
            <w:r w:rsidRPr="0054507C">
              <w:rPr>
                <w:b/>
              </w:rPr>
              <w:t>Contact details</w:t>
            </w:r>
          </w:p>
        </w:tc>
        <w:tc>
          <w:tcPr>
            <w:tcW w:w="7938" w:type="dxa"/>
          </w:tcPr>
          <w:p w14:paraId="1A770BD6" w14:textId="43C9B8BC" w:rsidR="00B55BAB" w:rsidRPr="006145BB" w:rsidRDefault="005E1337" w:rsidP="008E218A">
            <w:pPr>
              <w:cnfStyle w:val="000000010000" w:firstRow="0" w:lastRow="0" w:firstColumn="0" w:lastColumn="0" w:oddVBand="0" w:evenVBand="0" w:oddHBand="0" w:evenHBand="1" w:firstRowFirstColumn="0" w:firstRowLastColumn="0" w:lastRowFirstColumn="0" w:lastRowLastColumn="0"/>
            </w:pPr>
            <w:r>
              <w:t xml:space="preserve">Quality Regulations and Standards, </w:t>
            </w:r>
            <w:r w:rsidR="00B55BAB">
              <w:t>Resolution Unit</w:t>
            </w:r>
            <w:r>
              <w:t xml:space="preserve">, </w:t>
            </w:r>
            <w:hyperlink r:id="rId22" w:history="1">
              <w:r w:rsidR="007F4E15" w:rsidRPr="00365C5C">
                <w:rPr>
                  <w:rStyle w:val="Hyperlink"/>
                </w:rPr>
                <w:t>resolution.doe@education.nt.gov.au</w:t>
              </w:r>
            </w:hyperlink>
            <w:r w:rsidR="007F4E15">
              <w:t xml:space="preserve"> </w:t>
            </w:r>
          </w:p>
        </w:tc>
      </w:tr>
      <w:tr w:rsidR="00B55BAB" w14:paraId="53D15E8A" w14:textId="77777777" w:rsidTr="008E21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29A2293" w14:textId="77777777" w:rsidR="00B55BAB" w:rsidRPr="0054507C" w:rsidRDefault="00B55BAB" w:rsidP="008E218A">
            <w:pPr>
              <w:rPr>
                <w:b/>
              </w:rPr>
            </w:pPr>
            <w:r w:rsidRPr="0054507C">
              <w:rPr>
                <w:b/>
              </w:rPr>
              <w:t>Approved by</w:t>
            </w:r>
          </w:p>
        </w:tc>
        <w:tc>
          <w:tcPr>
            <w:tcW w:w="7938" w:type="dxa"/>
          </w:tcPr>
          <w:p w14:paraId="6E2D1D7E" w14:textId="40755329" w:rsidR="00B55BAB" w:rsidRPr="006145BB" w:rsidRDefault="005E1337" w:rsidP="008E218A">
            <w:pPr>
              <w:cnfStyle w:val="000000000000" w:firstRow="0" w:lastRow="0" w:firstColumn="0" w:lastColumn="0" w:oddVBand="0" w:evenVBand="0" w:oddHBand="0" w:evenHBand="0" w:firstRowFirstColumn="0" w:firstRowLastColumn="0" w:lastRowFirstColumn="0" w:lastRowLastColumn="0"/>
            </w:pPr>
            <w:r>
              <w:t>Executive Director</w:t>
            </w:r>
            <w:r w:rsidR="00DC685E">
              <w:t>,</w:t>
            </w:r>
            <w:r>
              <w:t xml:space="preserve"> Quality Regulations and Standards</w:t>
            </w:r>
          </w:p>
        </w:tc>
      </w:tr>
      <w:tr w:rsidR="00B55BAB" w14:paraId="13DA9D43" w14:textId="77777777" w:rsidTr="008E218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24B6F7" w14:textId="77777777" w:rsidR="00B55BAB" w:rsidRPr="0054507C" w:rsidRDefault="00B55BAB" w:rsidP="008E218A">
            <w:pPr>
              <w:rPr>
                <w:b/>
              </w:rPr>
            </w:pPr>
            <w:r w:rsidRPr="0054507C">
              <w:rPr>
                <w:b/>
              </w:rPr>
              <w:t>Date approved</w:t>
            </w:r>
          </w:p>
        </w:tc>
        <w:tc>
          <w:tcPr>
            <w:tcW w:w="7938" w:type="dxa"/>
          </w:tcPr>
          <w:p w14:paraId="758BEB9B" w14:textId="1F38DAA7" w:rsidR="00B55BAB" w:rsidRPr="006145BB" w:rsidRDefault="00DC685E" w:rsidP="008E218A">
            <w:pPr>
              <w:cnfStyle w:val="000000010000" w:firstRow="0" w:lastRow="0" w:firstColumn="0" w:lastColumn="0" w:oddVBand="0" w:evenVBand="0" w:oddHBand="0" w:evenHBand="1" w:firstRowFirstColumn="0" w:firstRowLastColumn="0" w:lastRowFirstColumn="0" w:lastRowLastColumn="0"/>
            </w:pPr>
            <w:r>
              <w:t>3 July 2023</w:t>
            </w:r>
          </w:p>
        </w:tc>
      </w:tr>
      <w:tr w:rsidR="00B55BAB" w14:paraId="1EAFAA90" w14:textId="77777777" w:rsidTr="008E218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225B860" w14:textId="77777777" w:rsidR="00B55BAB" w:rsidRPr="0054507C" w:rsidRDefault="00B55BAB" w:rsidP="008E218A">
            <w:pPr>
              <w:rPr>
                <w:b/>
              </w:rPr>
            </w:pPr>
            <w:r w:rsidRPr="0054507C">
              <w:rPr>
                <w:b/>
              </w:rPr>
              <w:t>TRM number</w:t>
            </w:r>
          </w:p>
        </w:tc>
        <w:tc>
          <w:tcPr>
            <w:tcW w:w="7938" w:type="dxa"/>
          </w:tcPr>
          <w:p w14:paraId="0C1F0FD9" w14:textId="22876D35" w:rsidR="00B55BAB" w:rsidRPr="006145BB" w:rsidRDefault="00DC685E" w:rsidP="008E218A">
            <w:pPr>
              <w:cnfStyle w:val="000000000000" w:firstRow="0" w:lastRow="0" w:firstColumn="0" w:lastColumn="0" w:oddVBand="0" w:evenVBand="0" w:oddHBand="0" w:evenHBand="0" w:firstRowFirstColumn="0" w:firstRowLastColumn="0" w:lastRowFirstColumn="0" w:lastRowLastColumn="0"/>
            </w:pPr>
            <w:r w:rsidRPr="00DC685E">
              <w:t>50:D23:55498</w:t>
            </w:r>
          </w:p>
        </w:tc>
      </w:tr>
    </w:tbl>
    <w:p w14:paraId="542F08AA" w14:textId="77777777" w:rsidR="00B55BAB" w:rsidRDefault="00B55BAB" w:rsidP="00B55BAB"/>
    <w:tbl>
      <w:tblPr>
        <w:tblStyle w:val="NTGtable1"/>
        <w:tblW w:w="10343" w:type="dxa"/>
        <w:tblLayout w:type="fixed"/>
        <w:tblLook w:val="0120" w:firstRow="1" w:lastRow="0" w:firstColumn="0" w:lastColumn="1" w:noHBand="0" w:noVBand="0"/>
        <w:tblCaption w:val="Table showing document version control information."/>
      </w:tblPr>
      <w:tblGrid>
        <w:gridCol w:w="1129"/>
        <w:gridCol w:w="2268"/>
        <w:gridCol w:w="2552"/>
        <w:gridCol w:w="4394"/>
      </w:tblGrid>
      <w:tr w:rsidR="00B55BAB" w:rsidRPr="00E87DE1" w14:paraId="0B69514A" w14:textId="77777777" w:rsidTr="008E218A">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B6C3DFF" w14:textId="77777777" w:rsidR="00B55BAB" w:rsidRPr="00E87DE1" w:rsidRDefault="00B55BAB" w:rsidP="008E218A">
            <w:r w:rsidRPr="00E87DE1">
              <w:rPr>
                <w:w w:val="105"/>
              </w:rPr>
              <w:t>Version</w:t>
            </w:r>
          </w:p>
        </w:tc>
        <w:tc>
          <w:tcPr>
            <w:tcW w:w="2268" w:type="dxa"/>
          </w:tcPr>
          <w:p w14:paraId="72932A1D" w14:textId="77777777" w:rsidR="00B55BAB" w:rsidRPr="00E87DE1" w:rsidRDefault="00B55BAB" w:rsidP="008E218A">
            <w:r w:rsidRPr="00E87DE1">
              <w:rPr>
                <w:w w:val="105"/>
              </w:rPr>
              <w:t>Date</w:t>
            </w:r>
          </w:p>
        </w:tc>
        <w:tc>
          <w:tcPr>
            <w:tcW w:w="2552" w:type="dxa"/>
          </w:tcPr>
          <w:p w14:paraId="12C38982" w14:textId="77777777" w:rsidR="00B55BAB" w:rsidRPr="00E87DE1" w:rsidRDefault="00B55BAB" w:rsidP="008E218A">
            <w:r w:rsidRPr="00E87DE1">
              <w:rPr>
                <w:w w:val="105"/>
              </w:rPr>
              <w:t>Author</w:t>
            </w:r>
          </w:p>
        </w:tc>
        <w:tc>
          <w:tcPr>
            <w:tcW w:w="4394" w:type="dxa"/>
          </w:tcPr>
          <w:p w14:paraId="727EF426" w14:textId="77777777" w:rsidR="00B55BAB" w:rsidRPr="00E87DE1" w:rsidRDefault="00B55BAB" w:rsidP="008E218A">
            <w:r w:rsidRPr="00E87DE1">
              <w:t>Changes made</w:t>
            </w:r>
          </w:p>
        </w:tc>
      </w:tr>
      <w:tr w:rsidR="00B55BAB" w:rsidRPr="00E87DE1" w14:paraId="6F3B95BF" w14:textId="77777777" w:rsidTr="008E218A">
        <w:trPr>
          <w:trHeight w:val="431"/>
        </w:trPr>
        <w:tc>
          <w:tcPr>
            <w:tcW w:w="1129" w:type="dxa"/>
            <w:tcBorders>
              <w:bottom w:val="nil"/>
            </w:tcBorders>
            <w:vAlign w:val="top"/>
          </w:tcPr>
          <w:p w14:paraId="6260448B" w14:textId="77777777" w:rsidR="00B55BAB" w:rsidRPr="006145BB" w:rsidRDefault="00B55BAB" w:rsidP="008E218A">
            <w:r>
              <w:t>3.1</w:t>
            </w:r>
          </w:p>
        </w:tc>
        <w:tc>
          <w:tcPr>
            <w:tcW w:w="2268" w:type="dxa"/>
            <w:tcBorders>
              <w:bottom w:val="nil"/>
            </w:tcBorders>
            <w:vAlign w:val="top"/>
          </w:tcPr>
          <w:p w14:paraId="22327F56" w14:textId="77777777" w:rsidR="00B55BAB" w:rsidRPr="006145BB" w:rsidRDefault="00B55BAB" w:rsidP="008E218A">
            <w:r>
              <w:t>30 June 2020</w:t>
            </w:r>
          </w:p>
        </w:tc>
        <w:tc>
          <w:tcPr>
            <w:tcW w:w="2552" w:type="dxa"/>
            <w:tcBorders>
              <w:bottom w:val="nil"/>
            </w:tcBorders>
            <w:vAlign w:val="top"/>
          </w:tcPr>
          <w:p w14:paraId="064BBCDE" w14:textId="77777777" w:rsidR="00B55BAB" w:rsidRPr="006145BB" w:rsidRDefault="00B55BAB" w:rsidP="008E218A">
            <w:r>
              <w:t>Operational Policy Coordination Unit</w:t>
            </w:r>
          </w:p>
        </w:tc>
        <w:tc>
          <w:tcPr>
            <w:tcW w:w="4394" w:type="dxa"/>
            <w:tcBorders>
              <w:bottom w:val="nil"/>
            </w:tcBorders>
            <w:vAlign w:val="top"/>
          </w:tcPr>
          <w:p w14:paraId="22995416" w14:textId="77777777" w:rsidR="00B55BAB" w:rsidRPr="006145BB" w:rsidRDefault="00B55BAB" w:rsidP="008E218A">
            <w:r>
              <w:t>Minor amendment for NTG template, branding and publishing standards</w:t>
            </w:r>
          </w:p>
        </w:tc>
      </w:tr>
      <w:tr w:rsidR="00B55BAB" w:rsidRPr="00E87DE1" w14:paraId="67A130AC" w14:textId="77777777" w:rsidTr="008E218A">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nil"/>
            </w:tcBorders>
            <w:vAlign w:val="top"/>
          </w:tcPr>
          <w:p w14:paraId="5BECC4B5" w14:textId="77777777" w:rsidR="00B55BAB" w:rsidRPr="006145BB" w:rsidRDefault="00B55BAB" w:rsidP="008E218A">
            <w:r>
              <w:t>3.1</w:t>
            </w:r>
          </w:p>
        </w:tc>
        <w:tc>
          <w:tcPr>
            <w:tcW w:w="2268" w:type="dxa"/>
            <w:tcBorders>
              <w:top w:val="nil"/>
              <w:bottom w:val="nil"/>
            </w:tcBorders>
            <w:vAlign w:val="top"/>
          </w:tcPr>
          <w:p w14:paraId="25434B91" w14:textId="77777777" w:rsidR="00B55BAB" w:rsidRPr="006145BB" w:rsidRDefault="00B55BAB" w:rsidP="008E218A">
            <w:r>
              <w:t>July 2020</w:t>
            </w:r>
          </w:p>
        </w:tc>
        <w:tc>
          <w:tcPr>
            <w:tcW w:w="2552" w:type="dxa"/>
            <w:tcBorders>
              <w:top w:val="nil"/>
              <w:bottom w:val="nil"/>
            </w:tcBorders>
            <w:vAlign w:val="top"/>
          </w:tcPr>
          <w:p w14:paraId="21B6BE2A" w14:textId="77777777" w:rsidR="00B55BAB" w:rsidRPr="006145BB" w:rsidRDefault="00B55BAB" w:rsidP="008E218A">
            <w:r>
              <w:t>Resolution Unit</w:t>
            </w:r>
          </w:p>
        </w:tc>
        <w:tc>
          <w:tcPr>
            <w:tcW w:w="4394" w:type="dxa"/>
            <w:tcBorders>
              <w:top w:val="nil"/>
              <w:bottom w:val="nil"/>
            </w:tcBorders>
            <w:vAlign w:val="top"/>
          </w:tcPr>
          <w:p w14:paraId="7AAA057B" w14:textId="77777777" w:rsidR="00B55BAB" w:rsidRPr="006145BB" w:rsidRDefault="00B55BAB" w:rsidP="008E218A">
            <w:r>
              <w:t>Inclusion of preschools within the scope of the policy</w:t>
            </w:r>
          </w:p>
        </w:tc>
      </w:tr>
      <w:tr w:rsidR="00B55BAB" w:rsidRPr="00E87DE1" w14:paraId="5EC1C026" w14:textId="77777777" w:rsidTr="007F4E15">
        <w:trPr>
          <w:trHeight w:val="431"/>
        </w:trPr>
        <w:tc>
          <w:tcPr>
            <w:tcW w:w="0" w:type="dxa"/>
            <w:tcBorders>
              <w:top w:val="nil"/>
              <w:bottom w:val="nil"/>
            </w:tcBorders>
            <w:vAlign w:val="top"/>
          </w:tcPr>
          <w:p w14:paraId="2DD53364" w14:textId="77777777" w:rsidR="00B55BAB" w:rsidRDefault="00B55BAB" w:rsidP="008E218A">
            <w:r>
              <w:t>3.2</w:t>
            </w:r>
          </w:p>
        </w:tc>
        <w:tc>
          <w:tcPr>
            <w:tcW w:w="0" w:type="dxa"/>
            <w:tcBorders>
              <w:top w:val="nil"/>
              <w:bottom w:val="nil"/>
            </w:tcBorders>
            <w:vAlign w:val="top"/>
          </w:tcPr>
          <w:p w14:paraId="6721554C" w14:textId="77777777" w:rsidR="00B55BAB" w:rsidRDefault="00B55BAB" w:rsidP="008E218A">
            <w:r>
              <w:t>4 September 2020</w:t>
            </w:r>
          </w:p>
        </w:tc>
        <w:tc>
          <w:tcPr>
            <w:tcW w:w="0" w:type="dxa"/>
            <w:tcBorders>
              <w:top w:val="nil"/>
              <w:bottom w:val="nil"/>
            </w:tcBorders>
            <w:vAlign w:val="top"/>
          </w:tcPr>
          <w:p w14:paraId="04D239E0" w14:textId="77777777" w:rsidR="00B55BAB" w:rsidRDefault="00B55BAB" w:rsidP="008E218A">
            <w:r>
              <w:t>Operational Policy Coordination Unit</w:t>
            </w:r>
          </w:p>
        </w:tc>
        <w:tc>
          <w:tcPr>
            <w:tcW w:w="0" w:type="dxa"/>
            <w:tcBorders>
              <w:top w:val="nil"/>
              <w:bottom w:val="nil"/>
            </w:tcBorders>
            <w:vAlign w:val="top"/>
          </w:tcPr>
          <w:p w14:paraId="1003041F" w14:textId="77777777" w:rsidR="00B55BAB" w:rsidRDefault="00B55BAB" w:rsidP="008E218A">
            <w:r>
              <w:t>Minor review and updates for accessibility and NTG publishing standards</w:t>
            </w:r>
          </w:p>
        </w:tc>
      </w:tr>
      <w:tr w:rsidR="00B55BAB" w:rsidRPr="00E87DE1" w14:paraId="0B7B63B3" w14:textId="77777777" w:rsidTr="008E218A">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vAlign w:val="top"/>
          </w:tcPr>
          <w:p w14:paraId="49F5560F" w14:textId="77777777" w:rsidR="00B55BAB" w:rsidRDefault="00B55BAB" w:rsidP="008E218A">
            <w:r>
              <w:t>3.3</w:t>
            </w:r>
          </w:p>
        </w:tc>
        <w:tc>
          <w:tcPr>
            <w:tcW w:w="2268" w:type="dxa"/>
            <w:tcBorders>
              <w:top w:val="nil"/>
              <w:bottom w:val="single" w:sz="4" w:space="0" w:color="auto"/>
            </w:tcBorders>
            <w:vAlign w:val="top"/>
          </w:tcPr>
          <w:p w14:paraId="63F358A3" w14:textId="37EB7802" w:rsidR="00B55BAB" w:rsidRPr="005E1337" w:rsidRDefault="00DC685E" w:rsidP="008E218A">
            <w:pPr>
              <w:rPr>
                <w:u w:val="double"/>
              </w:rPr>
            </w:pPr>
            <w:r w:rsidRPr="00DC685E">
              <w:t>July 2023</w:t>
            </w:r>
          </w:p>
        </w:tc>
        <w:tc>
          <w:tcPr>
            <w:tcW w:w="2552" w:type="dxa"/>
            <w:tcBorders>
              <w:top w:val="nil"/>
              <w:bottom w:val="single" w:sz="4" w:space="0" w:color="auto"/>
            </w:tcBorders>
            <w:vAlign w:val="top"/>
          </w:tcPr>
          <w:p w14:paraId="099C413B" w14:textId="77777777" w:rsidR="00B55BAB" w:rsidRDefault="00B55BAB" w:rsidP="008E218A">
            <w:r>
              <w:t>Resolution Unit</w:t>
            </w:r>
          </w:p>
        </w:tc>
        <w:tc>
          <w:tcPr>
            <w:tcW w:w="4394" w:type="dxa"/>
            <w:tcBorders>
              <w:top w:val="nil"/>
              <w:bottom w:val="single" w:sz="4" w:space="0" w:color="auto"/>
            </w:tcBorders>
            <w:vAlign w:val="top"/>
          </w:tcPr>
          <w:p w14:paraId="4A7F2A02" w14:textId="77777777" w:rsidR="00B55BAB" w:rsidRDefault="00B55BAB" w:rsidP="008E218A">
            <w:r>
              <w:t>Minor review and updates for post-alignment language and compliance with NQF and child safe organisation principles</w:t>
            </w:r>
          </w:p>
        </w:tc>
      </w:tr>
    </w:tbl>
    <w:p w14:paraId="17AC7CC2" w14:textId="77777777" w:rsidR="00B55BAB" w:rsidRDefault="00B55BAB" w:rsidP="00B55BAB"/>
    <w:bookmarkEnd w:id="0"/>
    <w:p w14:paraId="23120A7E" w14:textId="77777777" w:rsidR="00B55BAB" w:rsidRPr="00A22984" w:rsidRDefault="00B55BAB" w:rsidP="00A22984">
      <w:pPr>
        <w:rPr>
          <w:lang w:eastAsia="en-AU"/>
        </w:rPr>
      </w:pPr>
    </w:p>
    <w:sectPr w:rsidR="00B55BAB" w:rsidRPr="00A22984" w:rsidSect="008B7C3D">
      <w:footerReference w:type="default" r:id="rId23"/>
      <w:headerReference w:type="firs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CA9D" w14:textId="77777777" w:rsidR="00B677C3" w:rsidRDefault="00B677C3">
      <w:r>
        <w:separator/>
      </w:r>
    </w:p>
  </w:endnote>
  <w:endnote w:type="continuationSeparator" w:id="0">
    <w:p w14:paraId="1A7E2BE8" w14:textId="77777777" w:rsidR="00B677C3" w:rsidRDefault="00B677C3">
      <w:r>
        <w:continuationSeparator/>
      </w:r>
    </w:p>
  </w:endnote>
  <w:endnote w:type="continuationNotice" w:id="1">
    <w:p w14:paraId="0FD81708" w14:textId="77777777" w:rsidR="00B677C3" w:rsidRDefault="00B67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317F" w14:textId="77777777" w:rsidR="00964B22" w:rsidRPr="00F538BD" w:rsidRDefault="000A385C" w:rsidP="000A385C">
    <w:pPr>
      <w:pStyle w:val="Hidden"/>
      <w:ind w:firstLine="0"/>
      <w:jc w:val="right"/>
    </w:pPr>
    <w:r w:rsidRPr="001852AF">
      <w:rPr>
        <w:noProof/>
        <w:lang w:eastAsia="en-AU"/>
      </w:rPr>
      <w:drawing>
        <wp:inline distT="0" distB="0" distL="0" distR="0" wp14:anchorId="0A630B48" wp14:editId="14B46D6D">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EF11"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7F4C081B" w14:textId="77777777" w:rsidTr="00007EB5">
      <w:trPr>
        <w:cantSplit/>
        <w:trHeight w:hRule="exact" w:val="850"/>
        <w:tblHeader/>
      </w:trPr>
      <w:tc>
        <w:tcPr>
          <w:tcW w:w="10318" w:type="dxa"/>
          <w:vAlign w:val="bottom"/>
        </w:tcPr>
        <w:p w14:paraId="196A44A2" w14:textId="06DAE5C1" w:rsidR="00CB6A67" w:rsidRDefault="00CB6A67" w:rsidP="00CB6A67">
          <w:pPr>
            <w:spacing w:after="0"/>
            <w:rPr>
              <w:rStyle w:val="PageNumber"/>
              <w:b/>
            </w:rPr>
          </w:pPr>
          <w:r>
            <w:rPr>
              <w:rStyle w:val="PageNumber"/>
            </w:rPr>
            <w:t xml:space="preserve">Department of </w:t>
          </w:r>
          <w:sdt>
            <w:sdtPr>
              <w:rPr>
                <w:rStyle w:val="PageNumber"/>
                <w:b/>
                <w:bCs/>
              </w:rPr>
              <w:alias w:val="Company"/>
              <w:tag w:val=""/>
              <w:id w:val="-1550452142"/>
              <w:placeholder>
                <w:docPart w:val="EFB403F47A444161B05812B05924C8C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7113F" w:rsidRPr="00206647">
                <w:rPr>
                  <w:rStyle w:val="PageNumber"/>
                  <w:b/>
                  <w:bCs/>
                </w:rPr>
                <w:t>Education</w:t>
              </w:r>
            </w:sdtContent>
          </w:sdt>
        </w:p>
        <w:p w14:paraId="3E925FB1" w14:textId="766715B1" w:rsidR="00206647" w:rsidRDefault="00206647" w:rsidP="00CB6A67">
          <w:pPr>
            <w:spacing w:after="0"/>
            <w:rPr>
              <w:rStyle w:val="PageNumber"/>
            </w:rPr>
          </w:pPr>
          <w:r>
            <w:rPr>
              <w:rStyle w:val="PageNumber"/>
            </w:rPr>
            <w:t xml:space="preserve">Published </w:t>
          </w:r>
          <w:r w:rsidR="00DC685E">
            <w:rPr>
              <w:rStyle w:val="PageNumber"/>
            </w:rPr>
            <w:t>July</w:t>
          </w:r>
          <w:r>
            <w:rPr>
              <w:rStyle w:val="PageNumber"/>
            </w:rPr>
            <w:t xml:space="preserve"> 2023</w:t>
          </w:r>
        </w:p>
        <w:p w14:paraId="18F16212" w14:textId="256569A3"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B1E8A">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B1E8A">
            <w:rPr>
              <w:rStyle w:val="PageNumber"/>
              <w:noProof/>
            </w:rPr>
            <w:t>5</w:t>
          </w:r>
          <w:r w:rsidRPr="00AC4488">
            <w:rPr>
              <w:rStyle w:val="PageNumber"/>
            </w:rPr>
            <w:fldChar w:fldCharType="end"/>
          </w:r>
        </w:p>
      </w:tc>
    </w:tr>
  </w:tbl>
  <w:p w14:paraId="22DFDD29" w14:textId="77777777" w:rsidR="001852AF" w:rsidRDefault="001852AF" w:rsidP="001852AF">
    <w:pPr>
      <w:pStyle w:val="Hidden"/>
      <w:ind w:firstLine="0"/>
    </w:pPr>
  </w:p>
  <w:p w14:paraId="0134305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9A84" w14:textId="77777777" w:rsidR="00B677C3" w:rsidRDefault="00B677C3">
      <w:r>
        <w:separator/>
      </w:r>
    </w:p>
  </w:footnote>
  <w:footnote w:type="continuationSeparator" w:id="0">
    <w:p w14:paraId="1688EAE3" w14:textId="77777777" w:rsidR="00B677C3" w:rsidRDefault="00B677C3">
      <w:r>
        <w:continuationSeparator/>
      </w:r>
    </w:p>
  </w:footnote>
  <w:footnote w:type="continuationNotice" w:id="1">
    <w:p w14:paraId="48A60C6D" w14:textId="77777777" w:rsidR="00B677C3" w:rsidRDefault="00B677C3">
      <w:pPr>
        <w:spacing w:after="0"/>
      </w:pPr>
    </w:p>
  </w:footnote>
  <w:footnote w:id="2">
    <w:p w14:paraId="5EB9F102" w14:textId="77777777" w:rsidR="00B55BAB" w:rsidRPr="00E129D9" w:rsidRDefault="00B55BAB" w:rsidP="00B55BAB">
      <w:pPr>
        <w:pStyle w:val="FootnoteText"/>
        <w:rPr>
          <w:lang w:val="en-US"/>
        </w:rPr>
      </w:pPr>
      <w:r>
        <w:rPr>
          <w:rStyle w:val="FootnoteReference"/>
        </w:rPr>
        <w:footnoteRef/>
      </w:r>
      <w:r>
        <w:t xml:space="preserve"> </w:t>
      </w:r>
      <w:hyperlink r:id="rId1" w:history="1">
        <w:r w:rsidRPr="004C47B6">
          <w:rPr>
            <w:rStyle w:val="Hyperlink"/>
          </w:rPr>
          <w:t>https://education.nt.gov.au/policies/complaints</w:t>
        </w:r>
      </w:hyperlink>
    </w:p>
  </w:footnote>
  <w:footnote w:id="3">
    <w:p w14:paraId="0C960A45" w14:textId="1902294F" w:rsidR="00834B5F" w:rsidRPr="00834B5F" w:rsidRDefault="00834B5F">
      <w:pPr>
        <w:pStyle w:val="FootnoteText"/>
        <w:rPr>
          <w:lang w:val="en-US"/>
        </w:rPr>
      </w:pPr>
      <w:r>
        <w:rPr>
          <w:rStyle w:val="FootnoteReference"/>
        </w:rPr>
        <w:footnoteRef/>
      </w:r>
      <w:r>
        <w:t xml:space="preserve"> </w:t>
      </w:r>
      <w:hyperlink r:id="rId2" w:history="1">
        <w:r w:rsidRPr="00C74871">
          <w:rPr>
            <w:rStyle w:val="Hyperlink"/>
          </w:rPr>
          <w:t>https://legislation.nt.gov.au/en/Legislation/EDUCATION-AND-CARE-SERVICES-NATIONAL-UNIFORM-LEGISLATION-ACT-2011</w:t>
        </w:r>
      </w:hyperlink>
    </w:p>
  </w:footnote>
  <w:footnote w:id="4">
    <w:p w14:paraId="7314A19A" w14:textId="6CDF1411" w:rsidR="00834B5F" w:rsidRPr="00834B5F" w:rsidRDefault="00834B5F">
      <w:pPr>
        <w:pStyle w:val="FootnoteText"/>
        <w:rPr>
          <w:lang w:val="en-US"/>
        </w:rPr>
      </w:pPr>
      <w:r>
        <w:rPr>
          <w:rStyle w:val="FootnoteReference"/>
        </w:rPr>
        <w:footnoteRef/>
      </w:r>
      <w:r>
        <w:t xml:space="preserve"> </w:t>
      </w:r>
      <w:bookmarkStart w:id="4" w:name="_Hlk138843216"/>
      <w:r>
        <w:fldChar w:fldCharType="begin"/>
      </w:r>
      <w:r>
        <w:instrText>HYPERLINK "https://www.acecqa.gov.au/nqf/national-law-regulations/national-regulations"</w:instrText>
      </w:r>
      <w:r>
        <w:fldChar w:fldCharType="separate"/>
      </w:r>
      <w:r w:rsidR="00C557D9" w:rsidRPr="00C557D9">
        <w:rPr>
          <w:rStyle w:val="Hyperlink"/>
        </w:rPr>
        <w:t>https://www.acecqa.gov.au/nqf/national-law-regulations/national-regulations</w:t>
      </w:r>
      <w:r>
        <w:rPr>
          <w:rStyle w:val="Hyperlink"/>
        </w:rPr>
        <w:fldChar w:fldCharType="end"/>
      </w:r>
      <w:bookmarkEnd w:id="4"/>
    </w:p>
  </w:footnote>
  <w:footnote w:id="5">
    <w:p w14:paraId="7988750C" w14:textId="1D3E98D1" w:rsidR="00075BE7" w:rsidRPr="00075BE7" w:rsidRDefault="00075BE7">
      <w:pPr>
        <w:pStyle w:val="FootnoteText"/>
        <w:rPr>
          <w:lang w:val="en-US"/>
        </w:rPr>
      </w:pPr>
      <w:r>
        <w:rPr>
          <w:rStyle w:val="FootnoteReference"/>
        </w:rPr>
        <w:footnoteRef/>
      </w:r>
      <w:r>
        <w:t xml:space="preserve"> </w:t>
      </w:r>
      <w:hyperlink r:id="rId3" w:history="1">
        <w:r w:rsidRPr="00AB16AC">
          <w:rPr>
            <w:rStyle w:val="Hyperlink"/>
          </w:rPr>
          <w:t>https://education.nt.gov.au/policies/privacy</w:t>
        </w:r>
      </w:hyperlink>
    </w:p>
  </w:footnote>
  <w:footnote w:id="6">
    <w:p w14:paraId="02FF40FA" w14:textId="7AF7E08F" w:rsidR="00436BD2" w:rsidRPr="00436BD2" w:rsidRDefault="00436BD2">
      <w:pPr>
        <w:pStyle w:val="FootnoteText"/>
        <w:rPr>
          <w:lang w:val="en-US"/>
        </w:rPr>
      </w:pPr>
      <w:r>
        <w:rPr>
          <w:rStyle w:val="FootnoteReference"/>
        </w:rPr>
        <w:footnoteRef/>
      </w:r>
      <w:r>
        <w:t xml:space="preserve"> </w:t>
      </w:r>
      <w:hyperlink r:id="rId4" w:history="1">
        <w:r w:rsidRPr="00AB16AC">
          <w:rPr>
            <w:rStyle w:val="Hyperlink"/>
          </w:rPr>
          <w:t>https://www.asqa.gov.au/</w:t>
        </w:r>
      </w:hyperlink>
    </w:p>
  </w:footnote>
  <w:footnote w:id="7">
    <w:p w14:paraId="156C74CA" w14:textId="013DF881" w:rsidR="00436BD2" w:rsidRPr="00436BD2" w:rsidRDefault="00436BD2">
      <w:pPr>
        <w:pStyle w:val="FootnoteText"/>
        <w:rPr>
          <w:lang w:val="en-US"/>
        </w:rPr>
      </w:pPr>
      <w:r>
        <w:rPr>
          <w:rStyle w:val="FootnoteReference"/>
        </w:rPr>
        <w:footnoteRef/>
      </w:r>
      <w:r>
        <w:t xml:space="preserve"> </w:t>
      </w:r>
      <w:hyperlink r:id="rId5" w:history="1">
        <w:r w:rsidRPr="00AB16AC">
          <w:rPr>
            <w:rStyle w:val="Hyperlink"/>
          </w:rPr>
          <w:t>https://www.teqsa.gov.au/</w:t>
        </w:r>
      </w:hyperlink>
    </w:p>
  </w:footnote>
  <w:footnote w:id="8">
    <w:p w14:paraId="16982102" w14:textId="77777777" w:rsidR="00206647" w:rsidRPr="003200E2" w:rsidRDefault="00206647" w:rsidP="00206647">
      <w:pPr>
        <w:pStyle w:val="FootnoteText"/>
        <w:rPr>
          <w:lang w:val="en-US"/>
        </w:rPr>
      </w:pPr>
      <w:r>
        <w:rPr>
          <w:rStyle w:val="FootnoteReference"/>
        </w:rPr>
        <w:footnoteRef/>
      </w:r>
      <w:r>
        <w:t xml:space="preserve"> </w:t>
      </w:r>
      <w:hyperlink r:id="rId6" w:history="1">
        <w:r>
          <w:rPr>
            <w:rStyle w:val="Hyperlink"/>
          </w:rPr>
          <w:t>https://legislation.nt.gov.au/en/Legislation/PUBLIC-SECTOR-EMPLOYMENT-AND-MANAGEMENT-ACT-1993</w:t>
        </w:r>
      </w:hyperlink>
    </w:p>
  </w:footnote>
  <w:footnote w:id="9">
    <w:p w14:paraId="0085C29A" w14:textId="77777777" w:rsidR="00206647" w:rsidRPr="00FB65FE" w:rsidRDefault="00206647" w:rsidP="00206647">
      <w:pPr>
        <w:pStyle w:val="FootnoteText"/>
        <w:rPr>
          <w:lang w:val="en-US"/>
        </w:rPr>
      </w:pPr>
      <w:r>
        <w:rPr>
          <w:rStyle w:val="FootnoteReference"/>
        </w:rPr>
        <w:footnoteRef/>
      </w:r>
      <w:r>
        <w:t xml:space="preserve"> </w:t>
      </w:r>
      <w:hyperlink r:id="rId7" w:history="1">
        <w:r w:rsidRPr="00DC5584">
          <w:rPr>
            <w:rStyle w:val="Hyperlink"/>
          </w:rPr>
          <w:t>https://www.legislation.nsw.gov.au/#/view/regulation/2011/653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68DF" w14:textId="18D92318" w:rsidR="00964B22" w:rsidRPr="008E0345" w:rsidRDefault="00EF3AD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55BAB">
          <w:t>Complaints management in schools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07"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08AC2C84" wp14:editId="5034887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D56F"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C499D99" w14:textId="065A89FD" w:rsidR="00983000" w:rsidRPr="00964B22" w:rsidRDefault="00B55BAB" w:rsidP="008E0345">
        <w:pPr>
          <w:pStyle w:val="Header"/>
          <w:rPr>
            <w:b/>
          </w:rPr>
        </w:pPr>
        <w:r>
          <w:t>Complaints management in schools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92479"/>
    <w:multiLevelType w:val="hybridMultilevel"/>
    <w:tmpl w:val="E25C8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49B3E47"/>
    <w:multiLevelType w:val="hybridMultilevel"/>
    <w:tmpl w:val="DF3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913E64"/>
    <w:multiLevelType w:val="hybridMultilevel"/>
    <w:tmpl w:val="3B70C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66611F"/>
    <w:multiLevelType w:val="hybridMultilevel"/>
    <w:tmpl w:val="53A67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C40CAC"/>
    <w:multiLevelType w:val="hybridMultilevel"/>
    <w:tmpl w:val="8DD6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0676E3"/>
    <w:multiLevelType w:val="multilevel"/>
    <w:tmpl w:val="FD1CD746"/>
    <w:numStyleLink w:val="Numbered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A8656FC"/>
    <w:multiLevelType w:val="hybridMultilevel"/>
    <w:tmpl w:val="7732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77779771">
    <w:abstractNumId w:val="35"/>
  </w:num>
  <w:num w:numId="2" w16cid:durableId="1853718448">
    <w:abstractNumId w:val="24"/>
  </w:num>
  <w:num w:numId="3" w16cid:durableId="1646810360">
    <w:abstractNumId w:val="73"/>
  </w:num>
  <w:num w:numId="4" w16cid:durableId="66734191">
    <w:abstractNumId w:val="45"/>
  </w:num>
  <w:num w:numId="5" w16cid:durableId="460880921">
    <w:abstractNumId w:val="29"/>
  </w:num>
  <w:num w:numId="6" w16cid:durableId="799303439">
    <w:abstractNumId w:val="16"/>
  </w:num>
  <w:num w:numId="7" w16cid:durableId="1804998383">
    <w:abstractNumId w:val="50"/>
  </w:num>
  <w:num w:numId="8" w16cid:durableId="1879393656">
    <w:abstractNumId w:val="27"/>
  </w:num>
  <w:num w:numId="9" w16cid:durableId="920793919">
    <w:abstractNumId w:val="58"/>
  </w:num>
  <w:num w:numId="10" w16cid:durableId="740621">
    <w:abstractNumId w:val="23"/>
  </w:num>
  <w:num w:numId="11" w16cid:durableId="787551941">
    <w:abstractNumId w:val="64"/>
  </w:num>
  <w:num w:numId="12" w16cid:durableId="1830635226">
    <w:abstractNumId w:val="18"/>
  </w:num>
  <w:num w:numId="13" w16cid:durableId="1471052622">
    <w:abstractNumId w:val="1"/>
  </w:num>
  <w:num w:numId="14" w16cid:durableId="681393461">
    <w:abstractNumId w:val="62"/>
  </w:num>
  <w:num w:numId="15" w16cid:durableId="1875774278">
    <w:abstractNumId w:val="28"/>
  </w:num>
  <w:num w:numId="16" w16cid:durableId="864248483">
    <w:abstractNumId w:val="63"/>
  </w:num>
  <w:num w:numId="17" w16cid:durableId="889656359">
    <w:abstractNumId w:val="70"/>
  </w:num>
  <w:num w:numId="18" w16cid:durableId="1100838100">
    <w:abstractNumId w:val="57"/>
  </w:num>
  <w:num w:numId="19" w16cid:durableId="1907258906">
    <w:abstractNumId w:val="48"/>
  </w:num>
  <w:num w:numId="20" w16cid:durableId="756635491">
    <w:abstractNumId w:val="52"/>
  </w:num>
  <w:num w:numId="21" w16cid:durableId="1118791933">
    <w:abstractNumId w:val="41"/>
  </w:num>
  <w:num w:numId="22" w16cid:durableId="1891381364">
    <w:abstractNumId w:val="55"/>
  </w:num>
  <w:num w:numId="23" w16cid:durableId="212272332">
    <w:abstractNumId w:val="47"/>
  </w:num>
  <w:num w:numId="24" w16cid:durableId="2023430844">
    <w:abstractNumId w:val="43"/>
  </w:num>
  <w:num w:numId="25" w16cid:durableId="1764840133">
    <w:abstractNumId w:val="38"/>
  </w:num>
  <w:num w:numId="26" w16cid:durableId="1398867925">
    <w:abstractNumId w:val="12"/>
  </w:num>
  <w:num w:numId="27" w16cid:durableId="278604632">
    <w:abstractNumId w:val="71"/>
  </w:num>
  <w:num w:numId="28" w16cid:durableId="622493478">
    <w:abstractNumId w:val="37"/>
  </w:num>
  <w:num w:numId="29" w16cid:durableId="1984383236">
    <w:abstractNumId w:val="30"/>
  </w:num>
  <w:num w:numId="30" w16cid:durableId="1036347519">
    <w:abstractNumId w:val="0"/>
  </w:num>
  <w:num w:numId="31" w16cid:durableId="933824070">
    <w:abstractNumId w:val="42"/>
  </w:num>
  <w:num w:numId="32" w16cid:durableId="1981767069">
    <w:abstractNumId w:val="11"/>
  </w:num>
  <w:num w:numId="33" w16cid:durableId="1562406629">
    <w:abstractNumId w:val="65"/>
  </w:num>
  <w:num w:numId="34" w16cid:durableId="1144271709">
    <w:abstractNumId w:val="33"/>
  </w:num>
  <w:num w:numId="35" w16cid:durableId="213003555">
    <w:abstractNumId w:val="72"/>
  </w:num>
  <w:num w:numId="36" w16cid:durableId="560749812">
    <w:abstractNumId w:val="59"/>
  </w:num>
  <w:num w:numId="37" w16cid:durableId="1044057742">
    <w:abstractNumId w:val="4"/>
  </w:num>
  <w:num w:numId="38" w16cid:durableId="657999226">
    <w:abstractNumId w:val="36"/>
  </w:num>
  <w:num w:numId="39" w16cid:durableId="914629566">
    <w:abstractNumId w:val="49"/>
  </w:num>
  <w:num w:numId="40" w16cid:durableId="905455850">
    <w:abstractNumId w:val="40"/>
  </w:num>
  <w:num w:numId="41" w16cid:durableId="13729317">
    <w:abstractNumId w:val="2"/>
  </w:num>
  <w:num w:numId="42" w16cid:durableId="1700623946">
    <w:abstractNumId w:val="67"/>
  </w:num>
  <w:num w:numId="43" w16cid:durableId="161506846">
    <w:abstractNumId w:val="22"/>
  </w:num>
  <w:num w:numId="44" w16cid:durableId="1104500401">
    <w:abstractNumId w:val="56"/>
  </w:num>
  <w:num w:numId="45" w16cid:durableId="1688866760">
    <w:abstractNumId w:val="9"/>
  </w:num>
  <w:num w:numId="46" w16cid:durableId="2041466456">
    <w:abstractNumId w:val="13"/>
  </w:num>
  <w:num w:numId="47" w16cid:durableId="879509576">
    <w:abstractNumId w:val="21"/>
  </w:num>
  <w:num w:numId="48" w16cid:durableId="33885286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4B"/>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75BE7"/>
    <w:rsid w:val="00080202"/>
    <w:rsid w:val="00080DCD"/>
    <w:rsid w:val="00080E22"/>
    <w:rsid w:val="00082573"/>
    <w:rsid w:val="000840A3"/>
    <w:rsid w:val="00085062"/>
    <w:rsid w:val="00086A5F"/>
    <w:rsid w:val="000911EF"/>
    <w:rsid w:val="000962C5"/>
    <w:rsid w:val="00096840"/>
    <w:rsid w:val="000A04AF"/>
    <w:rsid w:val="000A385C"/>
    <w:rsid w:val="000A4317"/>
    <w:rsid w:val="000A559C"/>
    <w:rsid w:val="000B2473"/>
    <w:rsid w:val="000B2CA1"/>
    <w:rsid w:val="000C3861"/>
    <w:rsid w:val="000C442A"/>
    <w:rsid w:val="000D1F29"/>
    <w:rsid w:val="000D633D"/>
    <w:rsid w:val="000E0962"/>
    <w:rsid w:val="000E342B"/>
    <w:rsid w:val="000E38FB"/>
    <w:rsid w:val="000E5DD2"/>
    <w:rsid w:val="000E7B46"/>
    <w:rsid w:val="000F2958"/>
    <w:rsid w:val="000F4805"/>
    <w:rsid w:val="00101194"/>
    <w:rsid w:val="00104E7F"/>
    <w:rsid w:val="001117D8"/>
    <w:rsid w:val="001137EC"/>
    <w:rsid w:val="001152F5"/>
    <w:rsid w:val="00117743"/>
    <w:rsid w:val="00117F5B"/>
    <w:rsid w:val="00122B61"/>
    <w:rsid w:val="00132658"/>
    <w:rsid w:val="00147DED"/>
    <w:rsid w:val="00150DC0"/>
    <w:rsid w:val="00156CD4"/>
    <w:rsid w:val="00161CC6"/>
    <w:rsid w:val="00164A3E"/>
    <w:rsid w:val="001664F7"/>
    <w:rsid w:val="00166FF6"/>
    <w:rsid w:val="00172C77"/>
    <w:rsid w:val="00176123"/>
    <w:rsid w:val="00181620"/>
    <w:rsid w:val="001852AF"/>
    <w:rsid w:val="00194B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647"/>
    <w:rsid w:val="00206936"/>
    <w:rsid w:val="00206C6F"/>
    <w:rsid w:val="00206FBD"/>
    <w:rsid w:val="00207746"/>
    <w:rsid w:val="0021010C"/>
    <w:rsid w:val="00221220"/>
    <w:rsid w:val="00230031"/>
    <w:rsid w:val="00235C01"/>
    <w:rsid w:val="00236878"/>
    <w:rsid w:val="00237DEC"/>
    <w:rsid w:val="00247343"/>
    <w:rsid w:val="00265C56"/>
    <w:rsid w:val="002716CD"/>
    <w:rsid w:val="00274D4B"/>
    <w:rsid w:val="002806F5"/>
    <w:rsid w:val="00281577"/>
    <w:rsid w:val="00282557"/>
    <w:rsid w:val="002926BC"/>
    <w:rsid w:val="00293A72"/>
    <w:rsid w:val="002A0160"/>
    <w:rsid w:val="002A30C3"/>
    <w:rsid w:val="002A6272"/>
    <w:rsid w:val="002A6F6A"/>
    <w:rsid w:val="002A7712"/>
    <w:rsid w:val="002B38F7"/>
    <w:rsid w:val="002B5591"/>
    <w:rsid w:val="002B6AA4"/>
    <w:rsid w:val="002C1FE9"/>
    <w:rsid w:val="002C3A16"/>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00E2"/>
    <w:rsid w:val="003223FE"/>
    <w:rsid w:val="003228B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6FA"/>
    <w:rsid w:val="003D7818"/>
    <w:rsid w:val="003E2445"/>
    <w:rsid w:val="003E3BB2"/>
    <w:rsid w:val="003E5725"/>
    <w:rsid w:val="003F3141"/>
    <w:rsid w:val="003F5B58"/>
    <w:rsid w:val="0040222A"/>
    <w:rsid w:val="004047BC"/>
    <w:rsid w:val="00404AE3"/>
    <w:rsid w:val="00406497"/>
    <w:rsid w:val="004100F7"/>
    <w:rsid w:val="00411552"/>
    <w:rsid w:val="00414CB3"/>
    <w:rsid w:val="0041563D"/>
    <w:rsid w:val="00420CF5"/>
    <w:rsid w:val="00422874"/>
    <w:rsid w:val="00426E25"/>
    <w:rsid w:val="00427D9C"/>
    <w:rsid w:val="00427E7E"/>
    <w:rsid w:val="00436BD2"/>
    <w:rsid w:val="0043734B"/>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47B6"/>
    <w:rsid w:val="004C6C39"/>
    <w:rsid w:val="004C70A1"/>
    <w:rsid w:val="004D0060"/>
    <w:rsid w:val="004D075F"/>
    <w:rsid w:val="004D1B76"/>
    <w:rsid w:val="004D253C"/>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87BBF"/>
    <w:rsid w:val="00595386"/>
    <w:rsid w:val="005A3621"/>
    <w:rsid w:val="005A4AC0"/>
    <w:rsid w:val="005A5FDF"/>
    <w:rsid w:val="005B0FB7"/>
    <w:rsid w:val="005B122A"/>
    <w:rsid w:val="005B5AC2"/>
    <w:rsid w:val="005C2833"/>
    <w:rsid w:val="005D3089"/>
    <w:rsid w:val="005D3964"/>
    <w:rsid w:val="005E1337"/>
    <w:rsid w:val="005E144D"/>
    <w:rsid w:val="005E1500"/>
    <w:rsid w:val="005E3A43"/>
    <w:rsid w:val="005E51A4"/>
    <w:rsid w:val="005F77C7"/>
    <w:rsid w:val="0060030B"/>
    <w:rsid w:val="006145BB"/>
    <w:rsid w:val="0061506D"/>
    <w:rsid w:val="00620675"/>
    <w:rsid w:val="00622910"/>
    <w:rsid w:val="006433C3"/>
    <w:rsid w:val="006472FE"/>
    <w:rsid w:val="006502AA"/>
    <w:rsid w:val="00650F5B"/>
    <w:rsid w:val="00652DC0"/>
    <w:rsid w:val="00652ED3"/>
    <w:rsid w:val="0065554B"/>
    <w:rsid w:val="00660584"/>
    <w:rsid w:val="00663E1D"/>
    <w:rsid w:val="0066432A"/>
    <w:rsid w:val="006670D7"/>
    <w:rsid w:val="006719EA"/>
    <w:rsid w:val="00671F13"/>
    <w:rsid w:val="00673355"/>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42E0"/>
    <w:rsid w:val="007761D8"/>
    <w:rsid w:val="00777795"/>
    <w:rsid w:val="00781A4B"/>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4E15"/>
    <w:rsid w:val="007F5579"/>
    <w:rsid w:val="008002E8"/>
    <w:rsid w:val="0080766E"/>
    <w:rsid w:val="008105BE"/>
    <w:rsid w:val="00811169"/>
    <w:rsid w:val="008131DE"/>
    <w:rsid w:val="00815297"/>
    <w:rsid w:val="00817BA1"/>
    <w:rsid w:val="00823022"/>
    <w:rsid w:val="0082634E"/>
    <w:rsid w:val="008313C4"/>
    <w:rsid w:val="008330D8"/>
    <w:rsid w:val="00834B5F"/>
    <w:rsid w:val="00835434"/>
    <w:rsid w:val="008358C0"/>
    <w:rsid w:val="00842838"/>
    <w:rsid w:val="00854EC1"/>
    <w:rsid w:val="0085797F"/>
    <w:rsid w:val="00860804"/>
    <w:rsid w:val="00861DC3"/>
    <w:rsid w:val="00867019"/>
    <w:rsid w:val="008678A9"/>
    <w:rsid w:val="008735A9"/>
    <w:rsid w:val="00877D20"/>
    <w:rsid w:val="00881C48"/>
    <w:rsid w:val="00885590"/>
    <w:rsid w:val="00885B80"/>
    <w:rsid w:val="00885C30"/>
    <w:rsid w:val="00885E9B"/>
    <w:rsid w:val="00886C9D"/>
    <w:rsid w:val="00890BEA"/>
    <w:rsid w:val="00890D61"/>
    <w:rsid w:val="00893C96"/>
    <w:rsid w:val="0089500A"/>
    <w:rsid w:val="00897C94"/>
    <w:rsid w:val="008A51A3"/>
    <w:rsid w:val="008A7C12"/>
    <w:rsid w:val="008B03CE"/>
    <w:rsid w:val="008B529E"/>
    <w:rsid w:val="008B5E06"/>
    <w:rsid w:val="008B7C3D"/>
    <w:rsid w:val="008C17FB"/>
    <w:rsid w:val="008C5F0D"/>
    <w:rsid w:val="008C725D"/>
    <w:rsid w:val="008D1B00"/>
    <w:rsid w:val="008D57B8"/>
    <w:rsid w:val="008E0345"/>
    <w:rsid w:val="008E03FC"/>
    <w:rsid w:val="008E510B"/>
    <w:rsid w:val="00902B13"/>
    <w:rsid w:val="00911941"/>
    <w:rsid w:val="009138A0"/>
    <w:rsid w:val="00920C59"/>
    <w:rsid w:val="00925F0F"/>
    <w:rsid w:val="00930C91"/>
    <w:rsid w:val="00930CE5"/>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E7A02"/>
    <w:rsid w:val="009F06BD"/>
    <w:rsid w:val="009F2A4D"/>
    <w:rsid w:val="009F3302"/>
    <w:rsid w:val="009F519C"/>
    <w:rsid w:val="00A00828"/>
    <w:rsid w:val="00A03290"/>
    <w:rsid w:val="00A04B97"/>
    <w:rsid w:val="00A07490"/>
    <w:rsid w:val="00A10655"/>
    <w:rsid w:val="00A1197C"/>
    <w:rsid w:val="00A12B64"/>
    <w:rsid w:val="00A22984"/>
    <w:rsid w:val="00A22C38"/>
    <w:rsid w:val="00A25193"/>
    <w:rsid w:val="00A26E80"/>
    <w:rsid w:val="00A31AE8"/>
    <w:rsid w:val="00A3739D"/>
    <w:rsid w:val="00A37DDA"/>
    <w:rsid w:val="00A37ED8"/>
    <w:rsid w:val="00A45BF7"/>
    <w:rsid w:val="00A542B4"/>
    <w:rsid w:val="00A70F63"/>
    <w:rsid w:val="00A71E1C"/>
    <w:rsid w:val="00A804E8"/>
    <w:rsid w:val="00A869FF"/>
    <w:rsid w:val="00A87DB5"/>
    <w:rsid w:val="00A925EC"/>
    <w:rsid w:val="00A929AA"/>
    <w:rsid w:val="00A92B6B"/>
    <w:rsid w:val="00A955A9"/>
    <w:rsid w:val="00AA479F"/>
    <w:rsid w:val="00AA541E"/>
    <w:rsid w:val="00AB16AC"/>
    <w:rsid w:val="00AD0DA4"/>
    <w:rsid w:val="00AD4169"/>
    <w:rsid w:val="00AE25C6"/>
    <w:rsid w:val="00AE306C"/>
    <w:rsid w:val="00AF28C1"/>
    <w:rsid w:val="00AF5F76"/>
    <w:rsid w:val="00B02EF1"/>
    <w:rsid w:val="00B07C97"/>
    <w:rsid w:val="00B07EA1"/>
    <w:rsid w:val="00B11C67"/>
    <w:rsid w:val="00B12E45"/>
    <w:rsid w:val="00B15754"/>
    <w:rsid w:val="00B15A27"/>
    <w:rsid w:val="00B2046E"/>
    <w:rsid w:val="00B20E8B"/>
    <w:rsid w:val="00B25395"/>
    <w:rsid w:val="00B257E1"/>
    <w:rsid w:val="00B2599A"/>
    <w:rsid w:val="00B27AC4"/>
    <w:rsid w:val="00B33008"/>
    <w:rsid w:val="00B34266"/>
    <w:rsid w:val="00B343CC"/>
    <w:rsid w:val="00B43C75"/>
    <w:rsid w:val="00B47ABC"/>
    <w:rsid w:val="00B5084A"/>
    <w:rsid w:val="00B55BAB"/>
    <w:rsid w:val="00B606A1"/>
    <w:rsid w:val="00B614F7"/>
    <w:rsid w:val="00B61B26"/>
    <w:rsid w:val="00B675B2"/>
    <w:rsid w:val="00B677C3"/>
    <w:rsid w:val="00B67E17"/>
    <w:rsid w:val="00B81261"/>
    <w:rsid w:val="00B8223E"/>
    <w:rsid w:val="00B832AE"/>
    <w:rsid w:val="00B83E5C"/>
    <w:rsid w:val="00B86678"/>
    <w:rsid w:val="00B86A69"/>
    <w:rsid w:val="00B92F9B"/>
    <w:rsid w:val="00B941B3"/>
    <w:rsid w:val="00B96513"/>
    <w:rsid w:val="00BA1D47"/>
    <w:rsid w:val="00BA66F0"/>
    <w:rsid w:val="00BB1E8A"/>
    <w:rsid w:val="00BB2239"/>
    <w:rsid w:val="00BB2AE7"/>
    <w:rsid w:val="00BB6464"/>
    <w:rsid w:val="00BC1BB8"/>
    <w:rsid w:val="00BC1E52"/>
    <w:rsid w:val="00BC3A18"/>
    <w:rsid w:val="00BD7FE1"/>
    <w:rsid w:val="00BE37CA"/>
    <w:rsid w:val="00BE531C"/>
    <w:rsid w:val="00BE6144"/>
    <w:rsid w:val="00BE635A"/>
    <w:rsid w:val="00BF17E9"/>
    <w:rsid w:val="00BF2ABB"/>
    <w:rsid w:val="00BF5099"/>
    <w:rsid w:val="00BF5345"/>
    <w:rsid w:val="00C10F10"/>
    <w:rsid w:val="00C15D4D"/>
    <w:rsid w:val="00C175DC"/>
    <w:rsid w:val="00C30171"/>
    <w:rsid w:val="00C309D8"/>
    <w:rsid w:val="00C333AF"/>
    <w:rsid w:val="00C43519"/>
    <w:rsid w:val="00C51537"/>
    <w:rsid w:val="00C52BC3"/>
    <w:rsid w:val="00C557D9"/>
    <w:rsid w:val="00C61AFA"/>
    <w:rsid w:val="00C61D64"/>
    <w:rsid w:val="00C62099"/>
    <w:rsid w:val="00C64EA3"/>
    <w:rsid w:val="00C72867"/>
    <w:rsid w:val="00C74871"/>
    <w:rsid w:val="00C75E81"/>
    <w:rsid w:val="00C75F52"/>
    <w:rsid w:val="00C800F1"/>
    <w:rsid w:val="00C86533"/>
    <w:rsid w:val="00C86609"/>
    <w:rsid w:val="00C92B4C"/>
    <w:rsid w:val="00C954F6"/>
    <w:rsid w:val="00CA6BC5"/>
    <w:rsid w:val="00CB6A67"/>
    <w:rsid w:val="00CC61CD"/>
    <w:rsid w:val="00CD41FD"/>
    <w:rsid w:val="00CD5011"/>
    <w:rsid w:val="00CE640F"/>
    <w:rsid w:val="00CE76BC"/>
    <w:rsid w:val="00CF540E"/>
    <w:rsid w:val="00D00A56"/>
    <w:rsid w:val="00D00F36"/>
    <w:rsid w:val="00D02F07"/>
    <w:rsid w:val="00D23346"/>
    <w:rsid w:val="00D27EBE"/>
    <w:rsid w:val="00D36A49"/>
    <w:rsid w:val="00D47994"/>
    <w:rsid w:val="00D517C6"/>
    <w:rsid w:val="00D64806"/>
    <w:rsid w:val="00D71D84"/>
    <w:rsid w:val="00D72464"/>
    <w:rsid w:val="00D768EB"/>
    <w:rsid w:val="00D812CB"/>
    <w:rsid w:val="00D82D1E"/>
    <w:rsid w:val="00D832D9"/>
    <w:rsid w:val="00D87CCA"/>
    <w:rsid w:val="00D90F00"/>
    <w:rsid w:val="00D94F6B"/>
    <w:rsid w:val="00D975C0"/>
    <w:rsid w:val="00DA2625"/>
    <w:rsid w:val="00DA5285"/>
    <w:rsid w:val="00DB191D"/>
    <w:rsid w:val="00DB4F91"/>
    <w:rsid w:val="00DB5BBC"/>
    <w:rsid w:val="00DC1EF7"/>
    <w:rsid w:val="00DC1F0F"/>
    <w:rsid w:val="00DC21D7"/>
    <w:rsid w:val="00DC3117"/>
    <w:rsid w:val="00DC5584"/>
    <w:rsid w:val="00DC5DD9"/>
    <w:rsid w:val="00DC685E"/>
    <w:rsid w:val="00DC6D2D"/>
    <w:rsid w:val="00DD64C2"/>
    <w:rsid w:val="00DE33B5"/>
    <w:rsid w:val="00DE5E18"/>
    <w:rsid w:val="00DE6E01"/>
    <w:rsid w:val="00DF0487"/>
    <w:rsid w:val="00DF1C5B"/>
    <w:rsid w:val="00DF5EA4"/>
    <w:rsid w:val="00E02681"/>
    <w:rsid w:val="00E02792"/>
    <w:rsid w:val="00E034D8"/>
    <w:rsid w:val="00E04CC0"/>
    <w:rsid w:val="00E129D9"/>
    <w:rsid w:val="00E15816"/>
    <w:rsid w:val="00E160D5"/>
    <w:rsid w:val="00E173AB"/>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6A85"/>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ADA"/>
    <w:rsid w:val="00EF3CA4"/>
    <w:rsid w:val="00EF5E1F"/>
    <w:rsid w:val="00EF7859"/>
    <w:rsid w:val="00F014DA"/>
    <w:rsid w:val="00F01BE6"/>
    <w:rsid w:val="00F02591"/>
    <w:rsid w:val="00F14273"/>
    <w:rsid w:val="00F20CAC"/>
    <w:rsid w:val="00F24F21"/>
    <w:rsid w:val="00F30056"/>
    <w:rsid w:val="00F41754"/>
    <w:rsid w:val="00F470E5"/>
    <w:rsid w:val="00F5696E"/>
    <w:rsid w:val="00F60EFF"/>
    <w:rsid w:val="00F65289"/>
    <w:rsid w:val="00F67D2D"/>
    <w:rsid w:val="00F7113F"/>
    <w:rsid w:val="00F72BAF"/>
    <w:rsid w:val="00F860CC"/>
    <w:rsid w:val="00F90858"/>
    <w:rsid w:val="00F94398"/>
    <w:rsid w:val="00F9723A"/>
    <w:rsid w:val="00FA4629"/>
    <w:rsid w:val="00FB0845"/>
    <w:rsid w:val="00FB087F"/>
    <w:rsid w:val="00FB2B56"/>
    <w:rsid w:val="00FB4E3A"/>
    <w:rsid w:val="00FB65FE"/>
    <w:rsid w:val="00FC0604"/>
    <w:rsid w:val="00FC12BF"/>
    <w:rsid w:val="00FC1A7C"/>
    <w:rsid w:val="00FC2C60"/>
    <w:rsid w:val="00FC3448"/>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E641"/>
  <w15:docId w15:val="{4589DBE7-1DC8-4C63-9842-BE08A7A3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97"/>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3200E2"/>
    <w:rPr>
      <w:color w:val="8C4799" w:themeColor="followedHyperlink"/>
      <w:u w:val="single"/>
    </w:rPr>
  </w:style>
  <w:style w:type="paragraph" w:styleId="BalloonText">
    <w:name w:val="Balloon Text"/>
    <w:basedOn w:val="Normal"/>
    <w:link w:val="BalloonTextChar"/>
    <w:uiPriority w:val="99"/>
    <w:semiHidden/>
    <w:unhideWhenUsed/>
    <w:rsid w:val="00237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EC"/>
    <w:rPr>
      <w:rFonts w:ascii="Segoe UI" w:hAnsi="Segoe UI" w:cs="Segoe UI"/>
      <w:sz w:val="18"/>
      <w:szCs w:val="18"/>
    </w:rPr>
  </w:style>
  <w:style w:type="character" w:styleId="CommentReference">
    <w:name w:val="annotation reference"/>
    <w:basedOn w:val="DefaultParagraphFont"/>
    <w:uiPriority w:val="99"/>
    <w:semiHidden/>
    <w:unhideWhenUsed/>
    <w:rsid w:val="00A542B4"/>
    <w:rPr>
      <w:sz w:val="16"/>
      <w:szCs w:val="16"/>
    </w:rPr>
  </w:style>
  <w:style w:type="paragraph" w:styleId="CommentText">
    <w:name w:val="annotation text"/>
    <w:basedOn w:val="Normal"/>
    <w:link w:val="CommentTextChar"/>
    <w:uiPriority w:val="99"/>
    <w:unhideWhenUsed/>
    <w:rsid w:val="00A542B4"/>
    <w:rPr>
      <w:sz w:val="20"/>
      <w:szCs w:val="20"/>
    </w:rPr>
  </w:style>
  <w:style w:type="character" w:customStyle="1" w:styleId="CommentTextChar">
    <w:name w:val="Comment Text Char"/>
    <w:basedOn w:val="DefaultParagraphFont"/>
    <w:link w:val="CommentText"/>
    <w:uiPriority w:val="99"/>
    <w:rsid w:val="00A542B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542B4"/>
    <w:rPr>
      <w:b/>
      <w:bCs/>
    </w:rPr>
  </w:style>
  <w:style w:type="character" w:customStyle="1" w:styleId="CommentSubjectChar">
    <w:name w:val="Comment Subject Char"/>
    <w:basedOn w:val="CommentTextChar"/>
    <w:link w:val="CommentSubject"/>
    <w:uiPriority w:val="99"/>
    <w:semiHidden/>
    <w:rsid w:val="00A542B4"/>
    <w:rPr>
      <w:rFonts w:ascii="Lato" w:hAnsi="Lato"/>
      <w:b/>
      <w:bCs/>
      <w:sz w:val="20"/>
      <w:szCs w:val="20"/>
    </w:rPr>
  </w:style>
  <w:style w:type="paragraph" w:styleId="Revision">
    <w:name w:val="Revision"/>
    <w:hidden/>
    <w:uiPriority w:val="99"/>
    <w:semiHidden/>
    <w:rsid w:val="00FC3448"/>
    <w:pPr>
      <w:spacing w:after="0"/>
    </w:pPr>
    <w:rPr>
      <w:rFonts w:ascii="Lato" w:hAnsi="Lato"/>
    </w:rPr>
  </w:style>
  <w:style w:type="character" w:styleId="UnresolvedMention">
    <w:name w:val="Unresolved Mention"/>
    <w:basedOn w:val="DefaultParagraphFont"/>
    <w:uiPriority w:val="99"/>
    <w:semiHidden/>
    <w:unhideWhenUsed/>
    <w:rsid w:val="00D8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CARE-AND-PROTECTION-OF-CHILDREN-ACT-2007" TargetMode="External"/><Relationship Id="rId18" Type="http://schemas.openxmlformats.org/officeDocument/2006/relationships/hyperlink" Target="https://www.ombudsman.nt.gov.au/agencies/effective-complaints-management-fact-sheet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education.nt.gov.au/policies/health-safety#sexual_behaviour" TargetMode="External"/><Relationship Id="rId7" Type="http://schemas.openxmlformats.org/officeDocument/2006/relationships/footnotes" Target="footnotes.xml"/><Relationship Id="rId12" Type="http://schemas.openxmlformats.org/officeDocument/2006/relationships/hyperlink" Target="https://legislation.nt.gov.au/en/Legislation/ANTIDISCRIMINATION-ACT-1992" TargetMode="External"/><Relationship Id="rId17" Type="http://schemas.openxmlformats.org/officeDocument/2006/relationships/hyperlink" Target="https://legislation.nt.gov.au/Legislation/INFORMATION-ACT-2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ecqa.gov.au/nqf/national-law-regulations/national-regulations" TargetMode="External"/><Relationship Id="rId20" Type="http://schemas.openxmlformats.org/officeDocument/2006/relationships/hyperlink" Target="https://education.nt.gov.au/policies/con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nt.gov.au/en/Legislation/EDUCATION-AND-CARE-SERVICES-NATIONAL-UNIFORM-LEGISLATION-ACT-2011"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legislation.nt.gov.au/en/Legislation/PUBLIC-SECTOR-EMPLOYMENT-AND-MANAGEMENT-ACT-199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Legislation/EDUCATION-ACT-2015" TargetMode="External"/><Relationship Id="rId22" Type="http://schemas.openxmlformats.org/officeDocument/2006/relationships/hyperlink" Target="mailto:resolution.doe@education.nt.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ducation.nt.gov.au/policies/privacy" TargetMode="External"/><Relationship Id="rId7" Type="http://schemas.openxmlformats.org/officeDocument/2006/relationships/hyperlink" Target="https://www.legislation.nsw.gov.au/%23/view/regulation/2011/653" TargetMode="External"/><Relationship Id="rId2" Type="http://schemas.openxmlformats.org/officeDocument/2006/relationships/hyperlink" Target="https://legislation.nt.gov.au/en/Legislation/EDUCATION-AND-CARE-SERVICES-NATIONAL-UNIFORM-LEGISLATION-ACT-2011" TargetMode="External"/><Relationship Id="rId1" Type="http://schemas.openxmlformats.org/officeDocument/2006/relationships/hyperlink" Target="https://education.nt.gov.au/policies/complaints" TargetMode="External"/><Relationship Id="rId6" Type="http://schemas.openxmlformats.org/officeDocument/2006/relationships/hyperlink" Target="https://legislation.nt.gov.au/en/Legislation/PUBLIC-SECTOR-EMPLOYMENT-AND-MANAGEMENT-ACT-1993" TargetMode="External"/><Relationship Id="rId5" Type="http://schemas.openxmlformats.org/officeDocument/2006/relationships/hyperlink" Target="https://www.teqsa.gov.au/" TargetMode="External"/><Relationship Id="rId4" Type="http://schemas.openxmlformats.org/officeDocument/2006/relationships/hyperlink" Target="https://www.asq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AppData\Local\Microsoft\Windows\INetCache\IE\Q3JCYAIE\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640C9D87A4CF3930C88619F256785"/>
        <w:category>
          <w:name w:val="General"/>
          <w:gallery w:val="placeholder"/>
        </w:category>
        <w:types>
          <w:type w:val="bbPlcHdr"/>
        </w:types>
        <w:behaviors>
          <w:behavior w:val="content"/>
        </w:behaviors>
        <w:guid w:val="{16D36EE1-6B02-4A0C-9FCA-678AAF599EC8}"/>
      </w:docPartPr>
      <w:docPartBody>
        <w:p w:rsidR="00A67E02" w:rsidRDefault="007B4B4C">
          <w:pPr>
            <w:pStyle w:val="130640C9D87A4CF3930C88619F256785"/>
          </w:pPr>
          <w:r w:rsidRPr="000C7A65">
            <w:rPr>
              <w:rStyle w:val="PlaceholderText"/>
            </w:rPr>
            <w:t>[Title]</w:t>
          </w:r>
        </w:p>
      </w:docPartBody>
    </w:docPart>
    <w:docPart>
      <w:docPartPr>
        <w:name w:val="EFB403F47A444161B05812B05924C8CA"/>
        <w:category>
          <w:name w:val="General"/>
          <w:gallery w:val="placeholder"/>
        </w:category>
        <w:types>
          <w:type w:val="bbPlcHdr"/>
        </w:types>
        <w:behaviors>
          <w:behavior w:val="content"/>
        </w:behaviors>
        <w:guid w:val="{9EFDB70F-D6F4-4EC9-98AE-CA84A5588B32}"/>
      </w:docPartPr>
      <w:docPartBody>
        <w:p w:rsidR="00A67E02" w:rsidRDefault="007B4B4C">
          <w:pPr>
            <w:pStyle w:val="EFB403F47A444161B05812B05924C8CA"/>
          </w:pPr>
          <w:r w:rsidRPr="007B29CC">
            <w:rPr>
              <w:rStyle w:val="PlaceholderText"/>
            </w:rPr>
            <w:t>[Company]</w:t>
          </w:r>
        </w:p>
      </w:docPartBody>
    </w:docPart>
    <w:docPart>
      <w:docPartPr>
        <w:name w:val="6923B36ABA9F414E88C45129AB06EB89"/>
        <w:category>
          <w:name w:val="General"/>
          <w:gallery w:val="placeholder"/>
        </w:category>
        <w:types>
          <w:type w:val="bbPlcHdr"/>
        </w:types>
        <w:behaviors>
          <w:behavior w:val="content"/>
        </w:behaviors>
        <w:guid w:val="{70BF40EE-1729-4155-BC82-055296E49094}"/>
      </w:docPartPr>
      <w:docPartBody>
        <w:p w:rsidR="00935328" w:rsidRDefault="00CB76CA" w:rsidP="00CB76CA">
          <w:pPr>
            <w:pStyle w:val="6923B36ABA9F414E88C45129AB06EB89"/>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4C"/>
    <w:rsid w:val="002D4CE9"/>
    <w:rsid w:val="0034095A"/>
    <w:rsid w:val="003B2AC3"/>
    <w:rsid w:val="004F2E20"/>
    <w:rsid w:val="004F62C1"/>
    <w:rsid w:val="00645774"/>
    <w:rsid w:val="00650969"/>
    <w:rsid w:val="006D19CD"/>
    <w:rsid w:val="007B2B02"/>
    <w:rsid w:val="007B4B4C"/>
    <w:rsid w:val="008016EE"/>
    <w:rsid w:val="008666F8"/>
    <w:rsid w:val="00870E8F"/>
    <w:rsid w:val="008E77BB"/>
    <w:rsid w:val="00935328"/>
    <w:rsid w:val="009C69B7"/>
    <w:rsid w:val="00A25657"/>
    <w:rsid w:val="00A55FBE"/>
    <w:rsid w:val="00A67E02"/>
    <w:rsid w:val="00B72B64"/>
    <w:rsid w:val="00C163A4"/>
    <w:rsid w:val="00CB76CA"/>
    <w:rsid w:val="00D1146B"/>
    <w:rsid w:val="00D93307"/>
    <w:rsid w:val="00E156B2"/>
    <w:rsid w:val="00EA117B"/>
    <w:rsid w:val="00EE7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6CA"/>
    <w:rPr>
      <w:color w:val="808080"/>
    </w:rPr>
  </w:style>
  <w:style w:type="paragraph" w:customStyle="1" w:styleId="130640C9D87A4CF3930C88619F256785">
    <w:name w:val="130640C9D87A4CF3930C88619F256785"/>
  </w:style>
  <w:style w:type="paragraph" w:customStyle="1" w:styleId="EFB403F47A444161B05812B05924C8CA">
    <w:name w:val="EFB403F47A444161B05812B05924C8CA"/>
  </w:style>
  <w:style w:type="paragraph" w:customStyle="1" w:styleId="6923B36ABA9F414E88C45129AB06EB89">
    <w:name w:val="6923B36ABA9F414E88C45129AB06EB89"/>
    <w:rsid w:val="00CB7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EB31C-F744-4874-9009-57A09B54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Complaints management in schools - policy</vt:lpstr>
    </vt:vector>
  </TitlesOfParts>
  <Company>Education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in schools - policy</dc:title>
  <dc:creator>Northern Territory Government</dc:creator>
  <cp:lastModifiedBy>Kathy Bochow</cp:lastModifiedBy>
  <cp:revision>4</cp:revision>
  <cp:lastPrinted>2023-07-05T00:04:00Z</cp:lastPrinted>
  <dcterms:created xsi:type="dcterms:W3CDTF">2023-07-05T00:04:00Z</dcterms:created>
  <dcterms:modified xsi:type="dcterms:W3CDTF">2023-07-05T00:04:00Z</dcterms:modified>
</cp:coreProperties>
</file>