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A389" w14:textId="67136C7D" w:rsidR="00EA1621" w:rsidRDefault="00EA1621" w:rsidP="00EA1621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4C7DDE">
        <w:rPr>
          <w:noProof/>
          <w:lang w:eastAsia="en-AU"/>
        </w:rPr>
        <w:t>y</w:t>
      </w:r>
      <w:r>
        <w:rPr>
          <w:noProof/>
          <w:lang w:eastAsia="en-AU"/>
        </w:rPr>
        <w:t>ear 12</w:t>
      </w:r>
      <w:r w:rsidR="005F5820">
        <w:rPr>
          <w:noProof/>
          <w:lang w:eastAsia="en-AU"/>
        </w:rPr>
        <w:t xml:space="preserve"> policy statement</w:t>
      </w:r>
    </w:p>
    <w:p w14:paraId="278D7CE3" w14:textId="0F688C08" w:rsidR="00EA1621" w:rsidRPr="008C4585" w:rsidRDefault="00EA1621" w:rsidP="00EA1621">
      <w:pPr>
        <w:rPr>
          <w:color w:val="FF0000"/>
          <w:sz w:val="19"/>
        </w:rPr>
      </w:pPr>
      <w:r>
        <w:rPr>
          <w:lang w:eastAsia="en-AU"/>
        </w:rPr>
        <w:t>The Northern Territory Board of Studies (NTBOS) approved policy sets out the legislative foundation for the provision of school education in the Northern Territory (NT)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curriculum, assessment, reporting and certification.</w:t>
      </w:r>
    </w:p>
    <w:p w14:paraId="3651D44E" w14:textId="38D0C83A" w:rsidR="00D44626" w:rsidRDefault="00EA1621" w:rsidP="00EA1621">
      <w:pPr>
        <w:rPr>
          <w:lang w:eastAsia="en-AU"/>
        </w:rPr>
      </w:pPr>
      <w:r>
        <w:rPr>
          <w:lang w:eastAsia="en-AU"/>
        </w:rPr>
        <w:t xml:space="preserve">The Department of Education’s (the department) </w:t>
      </w:r>
      <w:bookmarkStart w:id="0" w:name="_Hlk81466190"/>
      <w:r>
        <w:rPr>
          <w:lang w:eastAsia="en-AU"/>
        </w:rPr>
        <w:t>Curriculum</w:t>
      </w:r>
      <w:bookmarkEnd w:id="0"/>
      <w:r>
        <w:rPr>
          <w:lang w:eastAsia="en-AU"/>
        </w:rPr>
        <w:t xml:space="preserve">, assessment, reporting and certification: early childhood to </w:t>
      </w:r>
      <w:r w:rsidR="004C7DDE">
        <w:rPr>
          <w:lang w:eastAsia="en-AU"/>
        </w:rPr>
        <w:t>y</w:t>
      </w:r>
      <w:r>
        <w:rPr>
          <w:lang w:eastAsia="en-AU"/>
        </w:rPr>
        <w:t>ear 12</w:t>
      </w:r>
      <w:r w:rsidR="001C1959">
        <w:rPr>
          <w:lang w:eastAsia="en-AU"/>
        </w:rPr>
        <w:t xml:space="preserve"> policy</w:t>
      </w:r>
      <w:r>
        <w:rPr>
          <w:lang w:eastAsia="en-AU"/>
        </w:rPr>
        <w:t xml:space="preserve"> informs department staff, that is school, regional</w:t>
      </w:r>
      <w:r w:rsidR="007A1BA4">
        <w:rPr>
          <w:lang w:eastAsia="en-AU"/>
        </w:rPr>
        <w:t>,</w:t>
      </w:r>
      <w:r>
        <w:rPr>
          <w:lang w:eastAsia="en-AU"/>
        </w:rPr>
        <w:t xml:space="preserve"> and corporate staff about the actions they must undertake to be compliant with legislation, the NTBOS policy and the department’s strategic direction.</w:t>
      </w:r>
    </w:p>
    <w:p w14:paraId="79FCDA31" w14:textId="499430B9" w:rsidR="00EA1621" w:rsidRDefault="00EA1621" w:rsidP="00EA1621">
      <w:pPr>
        <w:rPr>
          <w:lang w:eastAsia="en-AU"/>
        </w:rPr>
      </w:pPr>
      <w:r>
        <w:rPr>
          <w:lang w:eastAsia="en-AU"/>
        </w:rPr>
        <w:t xml:space="preserve">These guidelines provide information on action and processes for bilingual education (BE) in the </w:t>
      </w:r>
      <w:r w:rsidR="00621F57">
        <w:rPr>
          <w:lang w:eastAsia="en-AU"/>
        </w:rPr>
        <w:t xml:space="preserve">bilingual </w:t>
      </w:r>
      <w:r>
        <w:rPr>
          <w:lang w:eastAsia="en-AU"/>
        </w:rPr>
        <w:t>school context.</w:t>
      </w:r>
    </w:p>
    <w:p w14:paraId="744B7FCF" w14:textId="7749BE11" w:rsidR="00EA1621" w:rsidRDefault="00EA1621" w:rsidP="00EA1621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Policy</w:t>
      </w:r>
    </w:p>
    <w:p w14:paraId="0F732BB4" w14:textId="605564FA" w:rsidR="00EA1621" w:rsidRDefault="00EA1621" w:rsidP="00EA1621">
      <w:pPr>
        <w:rPr>
          <w:lang w:eastAsia="en-AU"/>
        </w:rPr>
      </w:pPr>
      <w:r>
        <w:rPr>
          <w:lang w:eastAsia="en-AU"/>
        </w:rPr>
        <w:t xml:space="preserve">BE </w:t>
      </w:r>
      <w:r w:rsidRPr="002F1D78">
        <w:rPr>
          <w:lang w:eastAsia="en-AU"/>
        </w:rPr>
        <w:t>use</w:t>
      </w:r>
      <w:r>
        <w:rPr>
          <w:lang w:eastAsia="en-AU"/>
        </w:rPr>
        <w:t>s</w:t>
      </w:r>
      <w:r w:rsidRPr="002F1D78">
        <w:rPr>
          <w:lang w:eastAsia="en-AU"/>
        </w:rPr>
        <w:t xml:space="preserve"> </w:t>
      </w:r>
      <w:r>
        <w:rPr>
          <w:lang w:eastAsia="en-AU"/>
        </w:rPr>
        <w:t xml:space="preserve">two languages to deliver curriculum, </w:t>
      </w:r>
      <w:r w:rsidRPr="002F1D78">
        <w:rPr>
          <w:lang w:eastAsia="en-AU"/>
        </w:rPr>
        <w:t xml:space="preserve">an Australian </w:t>
      </w:r>
      <w:r>
        <w:rPr>
          <w:lang w:eastAsia="en-AU"/>
        </w:rPr>
        <w:t>Aboriginal</w:t>
      </w:r>
      <w:r w:rsidRPr="002F1D78">
        <w:rPr>
          <w:lang w:eastAsia="en-AU"/>
        </w:rPr>
        <w:t xml:space="preserve"> language spoken by </w:t>
      </w:r>
      <w:r>
        <w:rPr>
          <w:lang w:eastAsia="en-AU"/>
        </w:rPr>
        <w:t>learners</w:t>
      </w:r>
      <w:r w:rsidRPr="002F1D78">
        <w:rPr>
          <w:lang w:eastAsia="en-AU"/>
        </w:rPr>
        <w:t xml:space="preserve"> as their first language and English</w:t>
      </w:r>
      <w:r>
        <w:rPr>
          <w:lang w:eastAsia="en-AU"/>
        </w:rPr>
        <w:t xml:space="preserve">. </w:t>
      </w:r>
      <w:r w:rsidRPr="00B566F4">
        <w:rPr>
          <w:lang w:eastAsia="en-AU"/>
        </w:rPr>
        <w:t>An Australian Aboriginal language may include a t</w:t>
      </w:r>
      <w:r w:rsidRPr="00B566F4">
        <w:t>raditional language, creoles</w:t>
      </w:r>
      <w:r w:rsidR="00E9486A">
        <w:t xml:space="preserve"> or </w:t>
      </w:r>
      <w:r w:rsidRPr="00B566F4">
        <w:t>Kriol and related varieties, or Aboriginal English</w:t>
      </w:r>
      <w:r w:rsidRPr="007A1BA4">
        <w:t>.</w:t>
      </w:r>
      <w:r>
        <w:rPr>
          <w:lang w:eastAsia="en-AU"/>
        </w:rPr>
        <w:t xml:space="preserve"> BE allows Aboriginal learners who do not speak English at home to use the language they bring to school to learn curriculum content while they are learning English. Thirty to 50% of the curriculum is taught in the learner</w:t>
      </w:r>
      <w:r w:rsidR="007A1BA4">
        <w:rPr>
          <w:lang w:eastAsia="en-AU"/>
        </w:rPr>
        <w:t>’</w:t>
      </w:r>
      <w:r>
        <w:rPr>
          <w:lang w:eastAsia="en-AU"/>
        </w:rPr>
        <w:t xml:space="preserve">s first language (L1) </w:t>
      </w:r>
      <w:r w:rsidRPr="004A2A49">
        <w:rPr>
          <w:lang w:eastAsia="en-AU"/>
        </w:rPr>
        <w:t>in addition to</w:t>
      </w:r>
      <w:r>
        <w:rPr>
          <w:lang w:eastAsia="en-AU"/>
        </w:rPr>
        <w:t xml:space="preserve"> English leading to improved outcomes in English language, curriculum learning and the maintenance and enrichment of first languages.</w:t>
      </w:r>
    </w:p>
    <w:p w14:paraId="50604379" w14:textId="2FD07A6B" w:rsidR="00EA1621" w:rsidRDefault="00EA1621" w:rsidP="00EA1621">
      <w:pPr>
        <w:rPr>
          <w:lang w:eastAsia="en-AU"/>
        </w:rPr>
      </w:pPr>
      <w:r>
        <w:rPr>
          <w:lang w:eastAsia="en-AU"/>
        </w:rPr>
        <w:t xml:space="preserve">In a bilingual school, the Australian Curriculum </w:t>
      </w:r>
      <w:r w:rsidRPr="002F1D78">
        <w:rPr>
          <w:lang w:eastAsia="en-AU"/>
        </w:rPr>
        <w:t xml:space="preserve">is </w:t>
      </w:r>
      <w:r>
        <w:rPr>
          <w:lang w:eastAsia="en-AU"/>
        </w:rPr>
        <w:t xml:space="preserve">delivered through a formal bilingual program using the </w:t>
      </w:r>
      <w:r>
        <w:t>NT</w:t>
      </w:r>
      <w:r w:rsidR="001C1959">
        <w:t> </w:t>
      </w:r>
      <w:r>
        <w:t>Indigenous Languages and Cultures Curriculum</w:t>
      </w:r>
      <w:r>
        <w:rPr>
          <w:lang w:eastAsia="en-AU"/>
        </w:rPr>
        <w:t xml:space="preserve"> </w:t>
      </w:r>
      <w:r w:rsidR="004D3B90">
        <w:rPr>
          <w:lang w:eastAsia="en-AU"/>
        </w:rPr>
        <w:t xml:space="preserve">(NTILC) </w:t>
      </w:r>
      <w:r w:rsidRPr="002F1D78">
        <w:rPr>
          <w:lang w:eastAsia="en-AU"/>
        </w:rPr>
        <w:t>with the agreement and support of</w:t>
      </w:r>
      <w:r>
        <w:rPr>
          <w:lang w:eastAsia="en-AU"/>
        </w:rPr>
        <w:t xml:space="preserve"> families and</w:t>
      </w:r>
      <w:r w:rsidRPr="002F1D78">
        <w:rPr>
          <w:lang w:eastAsia="en-AU"/>
        </w:rPr>
        <w:t xml:space="preserve"> the local community.</w:t>
      </w:r>
    </w:p>
    <w:p w14:paraId="180963CF" w14:textId="77777777" w:rsidR="00EA1621" w:rsidRDefault="00EA1621" w:rsidP="00EA1621">
      <w:pPr>
        <w:pStyle w:val="Heading1"/>
        <w:rPr>
          <w:lang w:eastAsia="en-AU"/>
        </w:rPr>
      </w:pPr>
      <w:r>
        <w:rPr>
          <w:lang w:eastAsia="en-AU"/>
        </w:rPr>
        <w:t>Roles and responsibilities</w:t>
      </w:r>
    </w:p>
    <w:p w14:paraId="3B46B06D" w14:textId="40566591" w:rsidR="00EA1621" w:rsidRDefault="007A1BA4" w:rsidP="00EA1621">
      <w:pPr>
        <w:rPr>
          <w:lang w:eastAsia="en-AU"/>
        </w:rPr>
      </w:pPr>
      <w:r>
        <w:rPr>
          <w:lang w:eastAsia="en-AU"/>
        </w:rPr>
        <w:t xml:space="preserve">Teaching and Learning </w:t>
      </w:r>
      <w:r w:rsidR="000F3D9B">
        <w:rPr>
          <w:lang w:eastAsia="en-AU"/>
        </w:rPr>
        <w:t>S</w:t>
      </w:r>
      <w:r w:rsidR="00742BCA">
        <w:rPr>
          <w:lang w:eastAsia="en-AU"/>
        </w:rPr>
        <w:t xml:space="preserve">ervices </w:t>
      </w:r>
      <w:r w:rsidR="00EA1621">
        <w:rPr>
          <w:lang w:eastAsia="en-AU"/>
        </w:rPr>
        <w:t>as the policy owner is responsible for:</w:t>
      </w:r>
    </w:p>
    <w:p w14:paraId="21EB103A" w14:textId="283DE632" w:rsidR="00EA1621" w:rsidRDefault="00C00416" w:rsidP="00EA1621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communicating</w:t>
      </w:r>
      <w:r w:rsidR="00EA1621">
        <w:rPr>
          <w:lang w:eastAsia="en-AU"/>
        </w:rPr>
        <w:t xml:space="preserve"> and review</w:t>
      </w:r>
      <w:r w:rsidR="00D44626">
        <w:rPr>
          <w:lang w:eastAsia="en-AU"/>
        </w:rPr>
        <w:t>ing</w:t>
      </w:r>
      <w:r w:rsidR="00EA1621">
        <w:rPr>
          <w:lang w:eastAsia="en-AU"/>
        </w:rPr>
        <w:t xml:space="preserve"> these guideline</w:t>
      </w:r>
      <w:r w:rsidR="00D44626">
        <w:rPr>
          <w:lang w:eastAsia="en-AU"/>
        </w:rPr>
        <w:t>s</w:t>
      </w:r>
      <w:r w:rsidR="00EA1621">
        <w:rPr>
          <w:lang w:eastAsia="en-AU"/>
        </w:rPr>
        <w:t xml:space="preserve"> through schools’ Annual School Improvement Plans</w:t>
      </w:r>
    </w:p>
    <w:p w14:paraId="51DA579D" w14:textId="4E6559E3" w:rsidR="00EA1621" w:rsidRDefault="00EA1621" w:rsidP="00EA1621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assisting schools to develop whole school curriculum and assessment plans</w:t>
      </w:r>
    </w:p>
    <w:p w14:paraId="405FF402" w14:textId="3C63FE47" w:rsidR="00EA1621" w:rsidRDefault="00EA1621" w:rsidP="000F3D9B">
      <w:pPr>
        <w:pStyle w:val="ListParagraph"/>
        <w:numPr>
          <w:ilvl w:val="0"/>
          <w:numId w:val="11"/>
        </w:numPr>
        <w:spacing w:after="200"/>
        <w:ind w:left="777" w:hanging="357"/>
        <w:rPr>
          <w:lang w:eastAsia="en-AU"/>
        </w:rPr>
      </w:pPr>
      <w:r>
        <w:rPr>
          <w:lang w:eastAsia="en-AU"/>
        </w:rPr>
        <w:t xml:space="preserve">allocating targeted funding and assisting schools to implement localised curriculum, assessment, </w:t>
      </w:r>
      <w:r w:rsidR="00E0285E">
        <w:rPr>
          <w:lang w:eastAsia="en-AU"/>
        </w:rPr>
        <w:t xml:space="preserve">and </w:t>
      </w:r>
      <w:r>
        <w:rPr>
          <w:lang w:eastAsia="en-AU"/>
        </w:rPr>
        <w:t>reporting</w:t>
      </w:r>
      <w:r w:rsidR="00E0285E">
        <w:rPr>
          <w:lang w:eastAsia="en-AU"/>
        </w:rPr>
        <w:t xml:space="preserve"> </w:t>
      </w:r>
      <w:r>
        <w:rPr>
          <w:lang w:eastAsia="en-AU"/>
        </w:rPr>
        <w:t>plans.</w:t>
      </w:r>
    </w:p>
    <w:p w14:paraId="3C20BFA0" w14:textId="77777777" w:rsidR="00EA1621" w:rsidRDefault="00EA1621" w:rsidP="00B677C4">
      <w:pPr>
        <w:rPr>
          <w:lang w:eastAsia="en-AU"/>
        </w:rPr>
      </w:pPr>
      <w:r>
        <w:rPr>
          <w:lang w:eastAsia="en-AU"/>
        </w:rPr>
        <w:t>The school principal as the instructional leader of the school is responsible for:</w:t>
      </w:r>
    </w:p>
    <w:p w14:paraId="5BF9C542" w14:textId="5583A2A1" w:rsidR="00C00416" w:rsidRDefault="00C00416" w:rsidP="00EA1621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implementing these guidelines</w:t>
      </w:r>
    </w:p>
    <w:p w14:paraId="4F64413B" w14:textId="69B4E673" w:rsidR="00EA1621" w:rsidRDefault="00EA1621" w:rsidP="00EA1621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building and maintaining meaningful, consultative partnerships regarding implementation</w:t>
      </w:r>
    </w:p>
    <w:p w14:paraId="542741AF" w14:textId="26833DA0" w:rsidR="00EA1621" w:rsidRDefault="00EA1621" w:rsidP="00EA1621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developing language use and bilingual education model </w:t>
      </w:r>
      <w:r w:rsidR="00270FD6">
        <w:rPr>
          <w:lang w:eastAsia="en-AU"/>
        </w:rPr>
        <w:t>procedures and guidelines</w:t>
      </w:r>
      <w:r>
        <w:rPr>
          <w:lang w:eastAsia="en-AU"/>
        </w:rPr>
        <w:t xml:space="preserve"> </w:t>
      </w:r>
      <w:r w:rsidR="003E6528">
        <w:rPr>
          <w:lang w:eastAsia="en-AU"/>
        </w:rPr>
        <w:t xml:space="preserve">and targeted strategic plans </w:t>
      </w:r>
      <w:r>
        <w:rPr>
          <w:lang w:eastAsia="en-AU"/>
        </w:rPr>
        <w:t>to deliver a bilingual program</w:t>
      </w:r>
      <w:r w:rsidRPr="00FE5DCE">
        <w:rPr>
          <w:lang w:eastAsia="en-AU"/>
        </w:rPr>
        <w:t xml:space="preserve"> </w:t>
      </w:r>
      <w:r>
        <w:rPr>
          <w:lang w:eastAsia="en-AU"/>
        </w:rPr>
        <w:t>and communicating these to the school community</w:t>
      </w:r>
    </w:p>
    <w:p w14:paraId="010FBAD5" w14:textId="02A7F815" w:rsidR="00EA1621" w:rsidRDefault="00EA1621" w:rsidP="000F3D9B">
      <w:pPr>
        <w:pStyle w:val="ListParagraph"/>
        <w:numPr>
          <w:ilvl w:val="0"/>
          <w:numId w:val="9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providing support and professional learning opportunities for bilingual teaching teams.</w:t>
      </w:r>
      <w:r w:rsidR="00775949">
        <w:rPr>
          <w:lang w:eastAsia="en-AU"/>
        </w:rPr>
        <w:br/>
      </w:r>
    </w:p>
    <w:p w14:paraId="537F3234" w14:textId="77777777" w:rsidR="00EA1621" w:rsidRDefault="00EA1621" w:rsidP="00EA1621">
      <w:pPr>
        <w:rPr>
          <w:lang w:eastAsia="en-AU"/>
        </w:rPr>
      </w:pPr>
      <w:r>
        <w:rPr>
          <w:lang w:eastAsia="en-AU"/>
        </w:rPr>
        <w:lastRenderedPageBreak/>
        <w:t>School representative bodies are responsible for:</w:t>
      </w:r>
    </w:p>
    <w:p w14:paraId="51B5D0E7" w14:textId="468B5E1D" w:rsidR="00EA1621" w:rsidRDefault="00B677C4" w:rsidP="00EA1621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 xml:space="preserve">contributing to a strong direction and a clear vision by </w:t>
      </w:r>
      <w:r w:rsidR="00EA1621">
        <w:rPr>
          <w:lang w:eastAsia="en-AU"/>
        </w:rPr>
        <w:t>providing cultural advice to school leadership</w:t>
      </w:r>
    </w:p>
    <w:p w14:paraId="471C1552" w14:textId="77777777" w:rsidR="00EA1621" w:rsidRDefault="00EA1621" w:rsidP="00EA1621">
      <w:pPr>
        <w:pStyle w:val="ListParagraph"/>
        <w:numPr>
          <w:ilvl w:val="0"/>
          <w:numId w:val="12"/>
        </w:numPr>
        <w:rPr>
          <w:lang w:eastAsia="en-AU"/>
        </w:rPr>
      </w:pPr>
      <w:r>
        <w:rPr>
          <w:lang w:eastAsia="en-AU"/>
        </w:rPr>
        <w:t>providing information to the broader community and encouraging strong partnerships between the community and school</w:t>
      </w:r>
    </w:p>
    <w:p w14:paraId="1B6AB7BE" w14:textId="77777777" w:rsidR="00EA1621" w:rsidRDefault="00EA1621" w:rsidP="000F3D9B">
      <w:pPr>
        <w:pStyle w:val="ListParagraph"/>
        <w:numPr>
          <w:ilvl w:val="0"/>
          <w:numId w:val="12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supporting the allocation of resources in the school’s global budget including the commitment to employ local language workers and teaching staff.</w:t>
      </w:r>
    </w:p>
    <w:p w14:paraId="6817BC67" w14:textId="77777777" w:rsidR="00EA1621" w:rsidRDefault="00EA1621" w:rsidP="00EA1621">
      <w:pPr>
        <w:rPr>
          <w:lang w:eastAsia="en-AU"/>
        </w:rPr>
      </w:pPr>
      <w:r>
        <w:rPr>
          <w:lang w:eastAsia="en-AU"/>
        </w:rPr>
        <w:t>Teacher linguists are responsible for:</w:t>
      </w:r>
    </w:p>
    <w:p w14:paraId="71A3A716" w14:textId="77777777" w:rsidR="00EA1621" w:rsidRDefault="00EA1621" w:rsidP="00EA1621">
      <w:pPr>
        <w:pStyle w:val="ListParagraph"/>
        <w:numPr>
          <w:ilvl w:val="0"/>
          <w:numId w:val="13"/>
        </w:numPr>
        <w:rPr>
          <w:lang w:eastAsia="en-AU"/>
        </w:rPr>
      </w:pPr>
      <w:r>
        <w:rPr>
          <w:lang w:eastAsia="en-AU"/>
        </w:rPr>
        <w:t>working collaboratively with language workers, educators and community experts in the development and implementation of bilingual teaching and learning programs and L1 resources</w:t>
      </w:r>
    </w:p>
    <w:p w14:paraId="2E4DF7DF" w14:textId="77777777" w:rsidR="00EA1621" w:rsidRDefault="00EA1621" w:rsidP="000F3D9B">
      <w:pPr>
        <w:pStyle w:val="ListParagraph"/>
        <w:numPr>
          <w:ilvl w:val="0"/>
          <w:numId w:val="13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coaching bilingual teaching teams in working cross-culturally.</w:t>
      </w:r>
    </w:p>
    <w:p w14:paraId="002AE9AD" w14:textId="77777777" w:rsidR="00EA1621" w:rsidRDefault="00EA1621" w:rsidP="00EA1621">
      <w:pPr>
        <w:rPr>
          <w:lang w:eastAsia="en-AU"/>
        </w:rPr>
      </w:pPr>
      <w:r>
        <w:rPr>
          <w:lang w:eastAsia="en-AU"/>
        </w:rPr>
        <w:t>Teachers are responsible for:</w:t>
      </w:r>
    </w:p>
    <w:p w14:paraId="09534627" w14:textId="77777777" w:rsidR="00EA1621" w:rsidRDefault="00EA1621" w:rsidP="00EA1621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assessing, evaluating and catering for the learning needs of learners across all areas of the curriculum</w:t>
      </w:r>
    </w:p>
    <w:p w14:paraId="5AB6F167" w14:textId="1E633438" w:rsidR="00EA1621" w:rsidRDefault="00EA1621" w:rsidP="00EA1621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developing teaching and learning programs and classroom resources in English using effective English as an alternative </w:t>
      </w:r>
      <w:r w:rsidRPr="00B677C4">
        <w:rPr>
          <w:lang w:eastAsia="en-AU"/>
        </w:rPr>
        <w:t>dialect/language</w:t>
      </w:r>
      <w:r>
        <w:rPr>
          <w:lang w:eastAsia="en-AU"/>
        </w:rPr>
        <w:t xml:space="preserve"> pedagogy and L1, in collaboration with language workers, assistant teachers and community experts</w:t>
      </w:r>
    </w:p>
    <w:p w14:paraId="3757DD38" w14:textId="0E9B40EB" w:rsidR="00EA1621" w:rsidRDefault="00EA1621" w:rsidP="00EA1621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participating in Planning Together, Learning Together sessions and other learning opportunities</w:t>
      </w:r>
      <w:r w:rsidR="006D087C">
        <w:rPr>
          <w:lang w:eastAsia="en-AU"/>
        </w:rPr>
        <w:t xml:space="preserve"> and </w:t>
      </w:r>
      <w:r>
        <w:rPr>
          <w:lang w:eastAsia="en-AU"/>
        </w:rPr>
        <w:t xml:space="preserve"> leading where appropriate</w:t>
      </w:r>
    </w:p>
    <w:p w14:paraId="40CE6B9C" w14:textId="494736DB" w:rsidR="00EA1621" w:rsidRDefault="00EA1621" w:rsidP="000F3D9B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preparing learner achievement records and reporting </w:t>
      </w:r>
      <w:r w:rsidR="00B5380A">
        <w:rPr>
          <w:lang w:eastAsia="en-AU"/>
        </w:rPr>
        <w:t xml:space="preserve">learner </w:t>
      </w:r>
      <w:r>
        <w:rPr>
          <w:lang w:eastAsia="en-AU"/>
        </w:rPr>
        <w:t>progress to parents.</w:t>
      </w:r>
    </w:p>
    <w:p w14:paraId="4A031756" w14:textId="77777777" w:rsidR="00EA1621" w:rsidRDefault="00EA1621" w:rsidP="00EA1621">
      <w:pPr>
        <w:rPr>
          <w:lang w:eastAsia="en-AU"/>
        </w:rPr>
      </w:pPr>
      <w:r>
        <w:rPr>
          <w:lang w:eastAsia="en-AU"/>
        </w:rPr>
        <w:t>Assistant teachers are responsible for:</w:t>
      </w:r>
    </w:p>
    <w:p w14:paraId="73A32C02" w14:textId="77777777" w:rsidR="00EA1621" w:rsidRDefault="00EA1621" w:rsidP="00EA1621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co-delivering BE as a member of a teaching team, focusing on the use and resourcing of L1 in teaching and learning</w:t>
      </w:r>
    </w:p>
    <w:p w14:paraId="55DC4CE6" w14:textId="77777777" w:rsidR="00EA1621" w:rsidRDefault="00EA1621" w:rsidP="00EA1621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collaborating with teachers to assess and record learner achievement and report progress to parents</w:t>
      </w:r>
    </w:p>
    <w:p w14:paraId="7F7EFD46" w14:textId="5578FAEA" w:rsidR="00EA1621" w:rsidRDefault="00EA1621" w:rsidP="00EA1621">
      <w:pPr>
        <w:pStyle w:val="ListParagraph"/>
        <w:numPr>
          <w:ilvl w:val="0"/>
          <w:numId w:val="14"/>
        </w:numPr>
        <w:rPr>
          <w:lang w:eastAsia="en-AU"/>
        </w:rPr>
      </w:pPr>
      <w:r>
        <w:rPr>
          <w:lang w:eastAsia="en-AU"/>
        </w:rPr>
        <w:t>participating in Planning Together, Learning Together sessions and other learning opportunities</w:t>
      </w:r>
      <w:r w:rsidR="006D087C">
        <w:rPr>
          <w:lang w:eastAsia="en-AU"/>
        </w:rPr>
        <w:t xml:space="preserve"> and</w:t>
      </w:r>
      <w:r>
        <w:rPr>
          <w:lang w:eastAsia="en-AU"/>
        </w:rPr>
        <w:t xml:space="preserve"> leading where appropriate.</w:t>
      </w:r>
    </w:p>
    <w:p w14:paraId="45C771F2" w14:textId="77777777" w:rsidR="00EA1621" w:rsidRDefault="00EA1621" w:rsidP="00EA1621">
      <w:pPr>
        <w:pStyle w:val="Heading1"/>
        <w:rPr>
          <w:lang w:eastAsia="en-AU"/>
        </w:rPr>
      </w:pPr>
      <w:r>
        <w:rPr>
          <w:lang w:eastAsia="en-AU"/>
        </w:rPr>
        <w:t>Guidelines</w:t>
      </w:r>
    </w:p>
    <w:p w14:paraId="0F6B3326" w14:textId="74B4C1B5" w:rsidR="00EA1621" w:rsidRPr="00160B8F" w:rsidRDefault="00EA1621" w:rsidP="00EA1621">
      <w:pPr>
        <w:spacing w:after="0"/>
        <w:rPr>
          <w:lang w:eastAsia="en-AU"/>
        </w:rPr>
      </w:pPr>
      <w:r w:rsidRPr="00160B8F">
        <w:rPr>
          <w:lang w:eastAsia="en-AU"/>
        </w:rPr>
        <w:t xml:space="preserve">Implementation of </w:t>
      </w:r>
      <w:r>
        <w:rPr>
          <w:lang w:eastAsia="en-AU"/>
        </w:rPr>
        <w:t>BE</w:t>
      </w:r>
      <w:r w:rsidRPr="00160B8F">
        <w:rPr>
          <w:lang w:eastAsia="en-AU"/>
        </w:rPr>
        <w:t xml:space="preserve"> involves three phases</w:t>
      </w:r>
      <w:r>
        <w:rPr>
          <w:lang w:eastAsia="en-AU"/>
        </w:rPr>
        <w:t xml:space="preserve">. </w:t>
      </w:r>
      <w:r w:rsidRPr="00160B8F">
        <w:rPr>
          <w:lang w:eastAsia="en-AU"/>
        </w:rPr>
        <w:t xml:space="preserve">Each </w:t>
      </w:r>
      <w:r>
        <w:rPr>
          <w:lang w:eastAsia="en-AU"/>
        </w:rPr>
        <w:t>phase</w:t>
      </w:r>
      <w:r w:rsidRPr="00160B8F">
        <w:rPr>
          <w:lang w:eastAsia="en-AU"/>
        </w:rPr>
        <w:t xml:space="preserve"> is not an end in itself but is a prerequisite for the next phase. The timelines for working through phases will vary across schools depending on whether the school is establishing a program for the first time, re-establishing a program that previously existed or aligning a program to the curriculum, assessment and reporting requirements of the</w:t>
      </w:r>
      <w:r w:rsidR="006D087C" w:rsidRPr="006D087C">
        <w:t xml:space="preserve"> </w:t>
      </w:r>
      <w:r w:rsidR="006D087C">
        <w:t xml:space="preserve">NTBOS-approved </w:t>
      </w:r>
      <w:r w:rsidR="004D3B90">
        <w:rPr>
          <w:lang w:eastAsia="en-AU"/>
        </w:rPr>
        <w:t>NTILC</w:t>
      </w:r>
      <w:r w:rsidRPr="00160B8F">
        <w:rPr>
          <w:lang w:eastAsia="en-AU"/>
        </w:rPr>
        <w:t>.</w:t>
      </w:r>
    </w:p>
    <w:p w14:paraId="1E95F14E" w14:textId="77777777" w:rsidR="00EA1621" w:rsidRPr="00345A21" w:rsidRDefault="00EA1621" w:rsidP="00EA1621">
      <w:pPr>
        <w:pStyle w:val="Heading2"/>
        <w:rPr>
          <w:lang w:eastAsia="en-AU"/>
        </w:rPr>
      </w:pPr>
      <w:r w:rsidRPr="00345A21">
        <w:rPr>
          <w:lang w:eastAsia="en-AU"/>
        </w:rPr>
        <w:t>Phase 1 – Initiating</w:t>
      </w:r>
    </w:p>
    <w:p w14:paraId="7956EF29" w14:textId="77777777" w:rsidR="00EA1621" w:rsidRDefault="00EA1621" w:rsidP="00EA1621">
      <w:r>
        <w:t>Establish</w:t>
      </w:r>
      <w:r w:rsidRPr="00955E1D">
        <w:t xml:space="preserve"> the found</w:t>
      </w:r>
      <w:r>
        <w:t xml:space="preserve">ations of the bilingual program in </w:t>
      </w:r>
      <w:r w:rsidRPr="00955E1D">
        <w:t xml:space="preserve">consultation and engagement with the </w:t>
      </w:r>
      <w:r>
        <w:t xml:space="preserve">school </w:t>
      </w:r>
      <w:r w:rsidRPr="00955E1D">
        <w:t xml:space="preserve">community </w:t>
      </w:r>
      <w:r>
        <w:t>and</w:t>
      </w:r>
      <w:r w:rsidRPr="00955E1D">
        <w:t xml:space="preserve"> develop an implementation plan and timeline in the school strategic plan</w:t>
      </w:r>
      <w:r>
        <w:t>.</w:t>
      </w:r>
    </w:p>
    <w:p w14:paraId="1721F015" w14:textId="083F6865" w:rsidR="00EA1621" w:rsidRDefault="00EA1621" w:rsidP="00EA1621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Phase 2 – </w:t>
      </w:r>
      <w:r w:rsidRPr="00DA0F9B">
        <w:rPr>
          <w:lang w:eastAsia="en-AU"/>
        </w:rPr>
        <w:t>Embedding</w:t>
      </w:r>
    </w:p>
    <w:p w14:paraId="0C041698" w14:textId="6067F681" w:rsidR="00EA1621" w:rsidRDefault="00EA1621" w:rsidP="00EA1621">
      <w:r>
        <w:t>D</w:t>
      </w:r>
      <w:r w:rsidRPr="00A83BF2">
        <w:t>evelop a whole school curriculum</w:t>
      </w:r>
      <w:r>
        <w:t xml:space="preserve">, </w:t>
      </w:r>
      <w:r w:rsidRPr="00A83BF2">
        <w:t>assessment</w:t>
      </w:r>
      <w:r>
        <w:t xml:space="preserve"> and reporting</w:t>
      </w:r>
      <w:r w:rsidRPr="00A83BF2">
        <w:t xml:space="preserve"> plan based on an evidence-based model for using both the </w:t>
      </w:r>
      <w:r w:rsidR="00B677C4">
        <w:t xml:space="preserve">Australian </w:t>
      </w:r>
      <w:r w:rsidRPr="00A83BF2">
        <w:t>Aboriginal language and English</w:t>
      </w:r>
      <w:r>
        <w:t xml:space="preserve"> aligned </w:t>
      </w:r>
      <w:r w:rsidRPr="00A83BF2">
        <w:t xml:space="preserve">with the approved Australian </w:t>
      </w:r>
      <w:r>
        <w:t>C</w:t>
      </w:r>
      <w:r w:rsidRPr="00A83BF2">
        <w:t xml:space="preserve">urriculum and </w:t>
      </w:r>
      <w:r>
        <w:t xml:space="preserve">NTBOS-approved </w:t>
      </w:r>
      <w:r w:rsidR="004D3B90">
        <w:rPr>
          <w:lang w:eastAsia="en-AU"/>
        </w:rPr>
        <w:t>NTILC</w:t>
      </w:r>
      <w:r w:rsidRPr="00A83BF2">
        <w:t xml:space="preserve">. </w:t>
      </w:r>
      <w:r>
        <w:t>Identify p</w:t>
      </w:r>
      <w:r w:rsidRPr="00A83BF2">
        <w:t>oints for monitoring learning across the year levels and at key transition points.</w:t>
      </w:r>
    </w:p>
    <w:p w14:paraId="13E38B34" w14:textId="1AAC5DDF" w:rsidR="00EA1621" w:rsidRDefault="00EA1621" w:rsidP="00EA1621">
      <w:pPr>
        <w:pStyle w:val="Heading2"/>
        <w:rPr>
          <w:lang w:eastAsia="en-AU"/>
        </w:rPr>
      </w:pPr>
      <w:r>
        <w:rPr>
          <w:lang w:eastAsia="en-AU"/>
        </w:rPr>
        <w:t xml:space="preserve">Phase 3 </w:t>
      </w:r>
      <w:r w:rsidR="00F70F84">
        <w:rPr>
          <w:lang w:eastAsia="en-AU"/>
        </w:rPr>
        <w:t>–</w:t>
      </w:r>
      <w:r>
        <w:rPr>
          <w:lang w:eastAsia="en-AU"/>
        </w:rPr>
        <w:t xml:space="preserve"> </w:t>
      </w:r>
      <w:r w:rsidRPr="00DA0F9B">
        <w:rPr>
          <w:lang w:eastAsia="en-AU"/>
        </w:rPr>
        <w:t>Reviewing</w:t>
      </w:r>
    </w:p>
    <w:p w14:paraId="34E54103" w14:textId="2F2E0688" w:rsidR="00C10301" w:rsidRDefault="00EA1621">
      <w:r>
        <w:t>Measure</w:t>
      </w:r>
      <w:r w:rsidRPr="001B4328">
        <w:t xml:space="preserve"> progress </w:t>
      </w:r>
      <w:r>
        <w:t xml:space="preserve">through both qualitative and quantitative school review data </w:t>
      </w:r>
      <w:r w:rsidRPr="001B4328">
        <w:t xml:space="preserve">against the goals and performance targets identified for the program. </w:t>
      </w:r>
      <w:r>
        <w:t>The s</w:t>
      </w:r>
      <w:r w:rsidRPr="001B4328">
        <w:t>chool review process should involve the participation and engagement of the school community, parents and teachers, language owners and custodians.</w:t>
      </w:r>
    </w:p>
    <w:p w14:paraId="13BD4E0D" w14:textId="77777777" w:rsidR="00730AA0" w:rsidRDefault="00730AA0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C10301" w:rsidRPr="00E87DE1" w14:paraId="0055D47C" w14:textId="77777777" w:rsidTr="00F3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257880EC" w14:textId="77777777" w:rsidR="00C10301" w:rsidRPr="00E87DE1" w:rsidRDefault="00C10301" w:rsidP="00F365D9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1AF69243" w14:textId="77777777" w:rsidR="00C10301" w:rsidRPr="00E87DE1" w:rsidRDefault="00C10301" w:rsidP="00F365D9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F70F84" w:rsidRPr="00E87DE1" w14:paraId="58D9F39F" w14:textId="77777777" w:rsidTr="0020114C">
        <w:trPr>
          <w:trHeight w:val="431"/>
        </w:trPr>
        <w:tc>
          <w:tcPr>
            <w:tcW w:w="1980" w:type="dxa"/>
          </w:tcPr>
          <w:p w14:paraId="0A000C61" w14:textId="77777777" w:rsidR="00F70F84" w:rsidRPr="006145BB" w:rsidRDefault="00F70F84" w:rsidP="0020114C">
            <w:r>
              <w:t>BE</w:t>
            </w:r>
          </w:p>
        </w:tc>
        <w:tc>
          <w:tcPr>
            <w:tcW w:w="8363" w:type="dxa"/>
          </w:tcPr>
          <w:p w14:paraId="3EE7ACB8" w14:textId="7E418F33" w:rsidR="00F70F84" w:rsidRPr="006145BB" w:rsidRDefault="00F70F84" w:rsidP="0020114C">
            <w:r>
              <w:t xml:space="preserve">Bilingual </w:t>
            </w:r>
            <w:r w:rsidR="00DD18FB">
              <w:t>E</w:t>
            </w:r>
            <w:r>
              <w:t xml:space="preserve">ducation </w:t>
            </w:r>
          </w:p>
        </w:tc>
      </w:tr>
      <w:tr w:rsidR="00F70F84" w:rsidRPr="00E87DE1" w14:paraId="5602C928" w14:textId="77777777" w:rsidTr="00201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1E9F6E4B" w14:textId="77777777" w:rsidR="00F70F84" w:rsidRPr="006145BB" w:rsidRDefault="00F70F84" w:rsidP="0020114C">
            <w:r>
              <w:t>L1</w:t>
            </w:r>
          </w:p>
        </w:tc>
        <w:tc>
          <w:tcPr>
            <w:tcW w:w="8363" w:type="dxa"/>
          </w:tcPr>
          <w:p w14:paraId="6557025E" w14:textId="1305AE75" w:rsidR="00F70F84" w:rsidRPr="006145BB" w:rsidRDefault="00F70F84" w:rsidP="0020114C">
            <w:r>
              <w:t xml:space="preserve">First </w:t>
            </w:r>
            <w:r w:rsidR="00DD18FB">
              <w:t>L</w:t>
            </w:r>
            <w:r>
              <w:t xml:space="preserve">anguage </w:t>
            </w:r>
          </w:p>
        </w:tc>
      </w:tr>
      <w:tr w:rsidR="00F70F84" w:rsidRPr="00E87DE1" w14:paraId="51C07CA9" w14:textId="77777777" w:rsidTr="0020114C">
        <w:trPr>
          <w:trHeight w:val="431"/>
        </w:trPr>
        <w:tc>
          <w:tcPr>
            <w:tcW w:w="1980" w:type="dxa"/>
          </w:tcPr>
          <w:p w14:paraId="5B886650" w14:textId="77777777" w:rsidR="00F70F84" w:rsidRPr="006145BB" w:rsidRDefault="00F70F84" w:rsidP="0020114C">
            <w:r w:rsidRPr="006145BB">
              <w:t>NT</w:t>
            </w:r>
          </w:p>
        </w:tc>
        <w:tc>
          <w:tcPr>
            <w:tcW w:w="8363" w:type="dxa"/>
          </w:tcPr>
          <w:p w14:paraId="1AC9FB75" w14:textId="77777777" w:rsidR="00F70F84" w:rsidRPr="006145BB" w:rsidRDefault="00F70F84" w:rsidP="0020114C">
            <w:r w:rsidRPr="006145BB">
              <w:t>Northern Territory</w:t>
            </w:r>
          </w:p>
        </w:tc>
      </w:tr>
      <w:tr w:rsidR="00C10301" w:rsidRPr="00E87DE1" w14:paraId="7C115CB0" w14:textId="77777777" w:rsidTr="000F3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0" w:type="dxa"/>
            <w:tcBorders>
              <w:bottom w:val="nil"/>
            </w:tcBorders>
          </w:tcPr>
          <w:p w14:paraId="46B79BDB" w14:textId="1D40855B" w:rsidR="00C10301" w:rsidRPr="006145BB" w:rsidRDefault="00742BCA" w:rsidP="00F365D9">
            <w:r>
              <w:t>NTBOS</w:t>
            </w:r>
          </w:p>
        </w:tc>
        <w:tc>
          <w:tcPr>
            <w:tcW w:w="0" w:type="dxa"/>
            <w:tcBorders>
              <w:bottom w:val="nil"/>
            </w:tcBorders>
          </w:tcPr>
          <w:p w14:paraId="0CE303B1" w14:textId="5B7EA477" w:rsidR="00C10301" w:rsidRPr="006145BB" w:rsidRDefault="00742BCA" w:rsidP="00F365D9">
            <w:r>
              <w:t xml:space="preserve">Northern Territory Board of Studies </w:t>
            </w:r>
          </w:p>
        </w:tc>
      </w:tr>
      <w:tr w:rsidR="004D3B90" w:rsidRPr="00E87DE1" w14:paraId="6B74E845" w14:textId="77777777" w:rsidTr="000F3D9B">
        <w:trPr>
          <w:trHeight w:val="431"/>
        </w:trPr>
        <w:tc>
          <w:tcPr>
            <w:tcW w:w="0" w:type="dxa"/>
            <w:tcBorders>
              <w:top w:val="nil"/>
              <w:bottom w:val="single" w:sz="4" w:space="0" w:color="auto"/>
            </w:tcBorders>
          </w:tcPr>
          <w:p w14:paraId="07857DD9" w14:textId="7F85801F" w:rsidR="004D3B90" w:rsidRDefault="004D3B90" w:rsidP="00F365D9">
            <w:r>
              <w:rPr>
                <w:lang w:eastAsia="en-AU"/>
              </w:rPr>
              <w:t>NTILC</w:t>
            </w:r>
          </w:p>
        </w:tc>
        <w:tc>
          <w:tcPr>
            <w:tcW w:w="0" w:type="dxa"/>
            <w:tcBorders>
              <w:top w:val="nil"/>
              <w:bottom w:val="single" w:sz="4" w:space="0" w:color="auto"/>
            </w:tcBorders>
          </w:tcPr>
          <w:p w14:paraId="2739B22B" w14:textId="157515DC" w:rsidR="004D3B90" w:rsidRDefault="004D3B90" w:rsidP="00F365D9">
            <w:r>
              <w:t>NT</w:t>
            </w:r>
            <w:r w:rsidR="00930017">
              <w:t xml:space="preserve"> </w:t>
            </w:r>
            <w:r>
              <w:t>Indigenous Languages and Cultures Curriculum</w:t>
            </w:r>
          </w:p>
        </w:tc>
      </w:tr>
    </w:tbl>
    <w:p w14:paraId="7CAE5AE2" w14:textId="08EBE06A" w:rsidR="00B14257" w:rsidRDefault="00B14257" w:rsidP="00EA1621"/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C10301" w14:paraId="3DDCC9AC" w14:textId="77777777" w:rsidTr="00F365D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5454CA6" w14:textId="77777777" w:rsidR="00C10301" w:rsidRPr="0054507C" w:rsidRDefault="00C10301" w:rsidP="00F365D9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3E9A3B2C" w14:textId="52F78699" w:rsidR="00C10301" w:rsidRPr="006145BB" w:rsidRDefault="00473812" w:rsidP="00F3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1908B66F8AE04545A0431597A87BB5D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42BCA">
                  <w:t>Bilingual education – guidelines</w:t>
                </w:r>
              </w:sdtContent>
            </w:sdt>
          </w:p>
        </w:tc>
      </w:tr>
      <w:tr w:rsidR="00C10301" w14:paraId="51EEA911" w14:textId="77777777" w:rsidTr="00F3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A319849" w14:textId="77777777" w:rsidR="00C10301" w:rsidRPr="0054507C" w:rsidRDefault="00C10301" w:rsidP="00F365D9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3BAC0954" w14:textId="58D6230B" w:rsidR="00C10301" w:rsidRPr="006145BB" w:rsidRDefault="00742BCA" w:rsidP="00F365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CD66B8">
              <w:t xml:space="preserve">, </w:t>
            </w:r>
            <w:hyperlink r:id="rId9" w:history="1">
              <w:r w:rsidR="00CD66B8" w:rsidRPr="00382503">
                <w:rPr>
                  <w:rStyle w:val="Hyperlink"/>
                </w:rPr>
                <w:t>otls.doe@education.nt.gov.au</w:t>
              </w:r>
            </w:hyperlink>
            <w:r w:rsidR="00CD66B8">
              <w:t xml:space="preserve"> </w:t>
            </w:r>
            <w:r>
              <w:t xml:space="preserve"> </w:t>
            </w:r>
          </w:p>
        </w:tc>
      </w:tr>
      <w:tr w:rsidR="00C10301" w14:paraId="0EA37D21" w14:textId="77777777" w:rsidTr="00F365D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BD8CAF1" w14:textId="77777777" w:rsidR="00C10301" w:rsidRPr="0054507C" w:rsidRDefault="00C10301" w:rsidP="00F365D9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56EE4A41" w14:textId="04286993" w:rsidR="00C10301" w:rsidRPr="006145BB" w:rsidRDefault="00742BCA" w:rsidP="00F3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Director Teaching and Learning Services </w:t>
            </w:r>
          </w:p>
        </w:tc>
      </w:tr>
      <w:tr w:rsidR="00C10301" w14:paraId="027894CE" w14:textId="77777777" w:rsidTr="00F3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3104027A" w14:textId="77777777" w:rsidR="00C10301" w:rsidRPr="0054507C" w:rsidRDefault="00C10301" w:rsidP="00F365D9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01DFD199" w14:textId="5D2DB049" w:rsidR="00C10301" w:rsidRPr="006145BB" w:rsidRDefault="00CD66B8" w:rsidP="00F365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C10301" w14:paraId="08273670" w14:textId="77777777" w:rsidTr="00B9050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1F1F5F" w:themeFill="text1"/>
          </w:tcPr>
          <w:p w14:paraId="66F15B7B" w14:textId="77777777" w:rsidR="00C10301" w:rsidRPr="0054507C" w:rsidRDefault="00C10301" w:rsidP="00F365D9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0" w:type="dxa"/>
          </w:tcPr>
          <w:p w14:paraId="544F7ACF" w14:textId="529E95E9" w:rsidR="00C10301" w:rsidRPr="006145BB" w:rsidRDefault="00742BCA" w:rsidP="00F3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50:D22:</w:t>
            </w:r>
            <w:r w:rsidR="00E9486A">
              <w:t>63397</w:t>
            </w:r>
          </w:p>
        </w:tc>
      </w:tr>
    </w:tbl>
    <w:p w14:paraId="5C0CF396" w14:textId="76F27082" w:rsidR="00C10301" w:rsidRDefault="00C10301" w:rsidP="00EA162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271"/>
        <w:gridCol w:w="1701"/>
        <w:gridCol w:w="3260"/>
        <w:gridCol w:w="4111"/>
      </w:tblGrid>
      <w:tr w:rsidR="00C10301" w:rsidRPr="00E87DE1" w14:paraId="5F113C85" w14:textId="77777777" w:rsidTr="00DD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271" w:type="dxa"/>
          </w:tcPr>
          <w:p w14:paraId="534B7DC0" w14:textId="77777777" w:rsidR="00C10301" w:rsidRPr="00E87DE1" w:rsidRDefault="00C10301" w:rsidP="00F365D9">
            <w:r w:rsidRPr="00E87DE1">
              <w:rPr>
                <w:w w:val="105"/>
              </w:rPr>
              <w:t>Version</w:t>
            </w:r>
          </w:p>
        </w:tc>
        <w:tc>
          <w:tcPr>
            <w:tcW w:w="1701" w:type="dxa"/>
          </w:tcPr>
          <w:p w14:paraId="122407D8" w14:textId="77777777" w:rsidR="00C10301" w:rsidRPr="00E87DE1" w:rsidRDefault="00C10301" w:rsidP="00F365D9">
            <w:r w:rsidRPr="00E87DE1">
              <w:rPr>
                <w:w w:val="105"/>
              </w:rPr>
              <w:t>Date</w:t>
            </w:r>
          </w:p>
        </w:tc>
        <w:tc>
          <w:tcPr>
            <w:tcW w:w="3260" w:type="dxa"/>
          </w:tcPr>
          <w:p w14:paraId="0B4D9BD3" w14:textId="77777777" w:rsidR="00C10301" w:rsidRPr="00E87DE1" w:rsidRDefault="00C10301" w:rsidP="00F365D9">
            <w:r w:rsidRPr="00E87DE1">
              <w:rPr>
                <w:w w:val="105"/>
              </w:rPr>
              <w:t>Author</w:t>
            </w:r>
          </w:p>
        </w:tc>
        <w:tc>
          <w:tcPr>
            <w:tcW w:w="4111" w:type="dxa"/>
          </w:tcPr>
          <w:p w14:paraId="3B5FA387" w14:textId="77777777" w:rsidR="00C10301" w:rsidRPr="00E87DE1" w:rsidRDefault="00C10301" w:rsidP="00F365D9">
            <w:r w:rsidRPr="00E87DE1">
              <w:t>Changes made</w:t>
            </w:r>
          </w:p>
        </w:tc>
      </w:tr>
      <w:tr w:rsidR="00C10301" w:rsidRPr="00E87DE1" w14:paraId="0FD47949" w14:textId="77777777" w:rsidTr="00DD18FB">
        <w:trPr>
          <w:trHeight w:val="431"/>
        </w:trPr>
        <w:tc>
          <w:tcPr>
            <w:tcW w:w="1271" w:type="dxa"/>
            <w:tcBorders>
              <w:bottom w:val="nil"/>
            </w:tcBorders>
          </w:tcPr>
          <w:p w14:paraId="334BA949" w14:textId="17F7241F" w:rsidR="00C10301" w:rsidRPr="006145BB" w:rsidRDefault="00F70F84" w:rsidP="00F365D9"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14:paraId="78AA2FBB" w14:textId="631FF488" w:rsidR="00C10301" w:rsidRPr="006145BB" w:rsidRDefault="00F70F84" w:rsidP="00F365D9">
            <w:r>
              <w:t>17 May 2022</w:t>
            </w:r>
          </w:p>
        </w:tc>
        <w:tc>
          <w:tcPr>
            <w:tcW w:w="3260" w:type="dxa"/>
            <w:tcBorders>
              <w:bottom w:val="nil"/>
            </w:tcBorders>
          </w:tcPr>
          <w:p w14:paraId="33F60D73" w14:textId="4D09B192" w:rsidR="00C10301" w:rsidRPr="006145BB" w:rsidRDefault="00554C71" w:rsidP="00F365D9">
            <w:r>
              <w:t>Quality Teaching and Learning</w:t>
            </w:r>
          </w:p>
        </w:tc>
        <w:tc>
          <w:tcPr>
            <w:tcW w:w="4111" w:type="dxa"/>
            <w:tcBorders>
              <w:bottom w:val="nil"/>
            </w:tcBorders>
          </w:tcPr>
          <w:p w14:paraId="016EB9A4" w14:textId="6501CC2C" w:rsidR="00C10301" w:rsidRPr="006145BB" w:rsidRDefault="00F70F84" w:rsidP="00F365D9">
            <w:r>
              <w:t>TRM 50:D21:69270</w:t>
            </w:r>
          </w:p>
        </w:tc>
      </w:tr>
      <w:tr w:rsidR="00C10301" w:rsidRPr="00E87DE1" w14:paraId="7C084C9A" w14:textId="77777777" w:rsidTr="00DD18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14:paraId="653D9B8B" w14:textId="3DBE5A5B" w:rsidR="00C10301" w:rsidRPr="006145BB" w:rsidRDefault="00F70F84" w:rsidP="00F365D9">
            <w: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85076B" w14:textId="14A7C69E" w:rsidR="00C10301" w:rsidRPr="006145BB" w:rsidRDefault="004A01D7" w:rsidP="00F365D9">
            <w:r>
              <w:t>August 2022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157A3C7C" w14:textId="21328940" w:rsidR="00C10301" w:rsidRPr="006145BB" w:rsidRDefault="00F70F84" w:rsidP="00F365D9">
            <w:r>
              <w:t>Quality Standards and Regulation – Operational Policy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0D6F25C2" w14:textId="016D461C" w:rsidR="00C10301" w:rsidRPr="006145BB" w:rsidRDefault="00DD18FB" w:rsidP="00F365D9">
            <w:r w:rsidRPr="00DD18FB">
              <w:t>Administrative amendments to align roles and responsibilities to the structural alignment in effect from 1 July 2022, including NTG template and minor formatting</w:t>
            </w:r>
          </w:p>
        </w:tc>
      </w:tr>
    </w:tbl>
    <w:p w14:paraId="4DD3359E" w14:textId="77777777" w:rsidR="00C10301" w:rsidRPr="00EA1621" w:rsidRDefault="00C10301" w:rsidP="00EA1621"/>
    <w:sectPr w:rsidR="00C10301" w:rsidRPr="00EA1621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8D3A" w14:textId="77777777" w:rsidR="00A503A9" w:rsidRDefault="00A503A9" w:rsidP="007332FF">
      <w:r>
        <w:separator/>
      </w:r>
    </w:p>
  </w:endnote>
  <w:endnote w:type="continuationSeparator" w:id="0">
    <w:p w14:paraId="7262E72C" w14:textId="77777777" w:rsidR="00A503A9" w:rsidRDefault="00A503A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3D7D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F10BAD2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451D4D65" w14:textId="77777777" w:rsidR="007A1BA4" w:rsidRDefault="007A1BA4" w:rsidP="007A1BA4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26717061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FA6DD1">
                <w:rPr>
                  <w:rStyle w:val="PageNumber"/>
                </w:rPr>
                <w:t>Education</w:t>
              </w:r>
            </w:sdtContent>
          </w:sdt>
        </w:p>
        <w:p w14:paraId="4A748EA4" w14:textId="12FA9615" w:rsidR="00CD66B8" w:rsidRPr="00CE6614" w:rsidRDefault="00CD66B8" w:rsidP="00CD66B8">
          <w:pPr>
            <w:spacing w:after="0"/>
            <w:rPr>
              <w:rStyle w:val="PageNumber"/>
            </w:rPr>
          </w:pPr>
          <w:r>
            <w:rPr>
              <w:rStyle w:val="PageNumber"/>
              <w:iCs/>
            </w:rPr>
            <w:t>Published November 2022</w:t>
          </w:r>
        </w:p>
        <w:p w14:paraId="1A5FFA44" w14:textId="74910E94" w:rsidR="00CA36A0" w:rsidRPr="00AC4488" w:rsidRDefault="007A1BA4" w:rsidP="007A1BA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A52D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A52D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DC0C5D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3AE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E3AE916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38B30C85" w14:textId="24ED19C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EA1621" w:rsidRPr="00FA6DD1">
                <w:rPr>
                  <w:rStyle w:val="PageNumber"/>
                </w:rPr>
                <w:t>Education</w:t>
              </w:r>
            </w:sdtContent>
          </w:sdt>
        </w:p>
        <w:p w14:paraId="47F409C8" w14:textId="2F4F0EBF" w:rsidR="00D47DC7" w:rsidRPr="00CE6614" w:rsidRDefault="00CD66B8" w:rsidP="00D47DC7">
          <w:pPr>
            <w:spacing w:after="0"/>
            <w:rPr>
              <w:rStyle w:val="PageNumber"/>
            </w:rPr>
          </w:pPr>
          <w:r>
            <w:rPr>
              <w:rStyle w:val="PageNumber"/>
              <w:iCs/>
            </w:rPr>
            <w:t>Published November 2022</w:t>
          </w:r>
        </w:p>
        <w:p w14:paraId="782811B9" w14:textId="20364E1B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6A52D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6A52D9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343CDEC5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5328F1F" wp14:editId="5FA98BB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550CA956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4897" w14:textId="77777777" w:rsidR="00A503A9" w:rsidRDefault="00A503A9" w:rsidP="007332FF">
      <w:r>
        <w:separator/>
      </w:r>
    </w:p>
  </w:footnote>
  <w:footnote w:type="continuationSeparator" w:id="0">
    <w:p w14:paraId="7BE632EB" w14:textId="77777777" w:rsidR="00A503A9" w:rsidRDefault="00A503A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282D" w14:textId="214E9488" w:rsidR="00983000" w:rsidRPr="00162207" w:rsidRDefault="0047381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2BCA">
          <w:t>Bilingual education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C3A2726" w14:textId="5EA4EA90" w:rsidR="00E54F9E" w:rsidRDefault="00742BCA" w:rsidP="00435082">
        <w:pPr>
          <w:pStyle w:val="Title"/>
        </w:pPr>
        <w:r>
          <w:rPr>
            <w:rStyle w:val="TitleChar"/>
          </w:rPr>
          <w:t>Bilingual education – guidelines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BAC"/>
    <w:multiLevelType w:val="hybridMultilevel"/>
    <w:tmpl w:val="DA105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1D53B18"/>
    <w:multiLevelType w:val="hybridMultilevel"/>
    <w:tmpl w:val="ADBA3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7127311C"/>
    <w:multiLevelType w:val="hybridMultilevel"/>
    <w:tmpl w:val="93C8F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453796601">
    <w:abstractNumId w:val="22"/>
  </w:num>
  <w:num w:numId="2" w16cid:durableId="1632857946">
    <w:abstractNumId w:val="13"/>
  </w:num>
  <w:num w:numId="3" w16cid:durableId="262494052">
    <w:abstractNumId w:val="39"/>
  </w:num>
  <w:num w:numId="4" w16cid:durableId="1551041470">
    <w:abstractNumId w:val="26"/>
  </w:num>
  <w:num w:numId="5" w16cid:durableId="1646547704">
    <w:abstractNumId w:val="17"/>
  </w:num>
  <w:num w:numId="6" w16cid:durableId="989480370">
    <w:abstractNumId w:val="9"/>
  </w:num>
  <w:num w:numId="7" w16cid:durableId="239489175">
    <w:abstractNumId w:val="28"/>
  </w:num>
  <w:num w:numId="8" w16cid:durableId="1653365629">
    <w:abstractNumId w:val="16"/>
  </w:num>
  <w:num w:numId="9" w16cid:durableId="1765877560">
    <w:abstractNumId w:val="34"/>
  </w:num>
  <w:num w:numId="10" w16cid:durableId="1404137168">
    <w:abstractNumId w:val="18"/>
  </w:num>
  <w:num w:numId="11" w16cid:durableId="1455489567">
    <w:abstractNumId w:val="24"/>
  </w:num>
  <w:num w:numId="12" w16cid:durableId="1229807993">
    <w:abstractNumId w:val="36"/>
  </w:num>
  <w:num w:numId="13" w16cid:durableId="1921210939">
    <w:abstractNumId w:val="0"/>
  </w:num>
  <w:num w:numId="14" w16cid:durableId="95008603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21"/>
    <w:rsid w:val="00001DDF"/>
    <w:rsid w:val="0000322D"/>
    <w:rsid w:val="00007670"/>
    <w:rsid w:val="00010665"/>
    <w:rsid w:val="0002393A"/>
    <w:rsid w:val="00027DB8"/>
    <w:rsid w:val="00030740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0463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A6D5D"/>
    <w:rsid w:val="000B2CA1"/>
    <w:rsid w:val="000C5B7D"/>
    <w:rsid w:val="000D1F29"/>
    <w:rsid w:val="000D633D"/>
    <w:rsid w:val="000E342B"/>
    <w:rsid w:val="000E3ED2"/>
    <w:rsid w:val="000E5DD2"/>
    <w:rsid w:val="000F2958"/>
    <w:rsid w:val="000F3850"/>
    <w:rsid w:val="000F3D9B"/>
    <w:rsid w:val="000F604F"/>
    <w:rsid w:val="00104E7F"/>
    <w:rsid w:val="001137EC"/>
    <w:rsid w:val="001152F5"/>
    <w:rsid w:val="00117743"/>
    <w:rsid w:val="00117F5B"/>
    <w:rsid w:val="0012015F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4D5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1959"/>
    <w:rsid w:val="001D01C4"/>
    <w:rsid w:val="001D40A2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0FD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1B76"/>
    <w:rsid w:val="002E20C8"/>
    <w:rsid w:val="002E4290"/>
    <w:rsid w:val="002E66A6"/>
    <w:rsid w:val="002F0DB1"/>
    <w:rsid w:val="002F2885"/>
    <w:rsid w:val="002F45A1"/>
    <w:rsid w:val="00301838"/>
    <w:rsid w:val="0030203D"/>
    <w:rsid w:val="003037F9"/>
    <w:rsid w:val="0030583E"/>
    <w:rsid w:val="00307FE1"/>
    <w:rsid w:val="003164BA"/>
    <w:rsid w:val="003258E6"/>
    <w:rsid w:val="00336613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1E9F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33F3"/>
    <w:rsid w:val="003D42C0"/>
    <w:rsid w:val="003D4A8F"/>
    <w:rsid w:val="003D5B29"/>
    <w:rsid w:val="003D7818"/>
    <w:rsid w:val="003E2445"/>
    <w:rsid w:val="003E3BB2"/>
    <w:rsid w:val="003E6528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00D1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0ACE"/>
    <w:rsid w:val="0047105A"/>
    <w:rsid w:val="00473812"/>
    <w:rsid w:val="00473C98"/>
    <w:rsid w:val="00474965"/>
    <w:rsid w:val="00482DF8"/>
    <w:rsid w:val="004864DE"/>
    <w:rsid w:val="00494BE5"/>
    <w:rsid w:val="004A01D7"/>
    <w:rsid w:val="004A0EBA"/>
    <w:rsid w:val="004A2538"/>
    <w:rsid w:val="004A331E"/>
    <w:rsid w:val="004B0C15"/>
    <w:rsid w:val="004B35EA"/>
    <w:rsid w:val="004B69E4"/>
    <w:rsid w:val="004C6C39"/>
    <w:rsid w:val="004C7DDE"/>
    <w:rsid w:val="004D075F"/>
    <w:rsid w:val="004D1B76"/>
    <w:rsid w:val="004D344E"/>
    <w:rsid w:val="004D3B90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61FD"/>
    <w:rsid w:val="00520499"/>
    <w:rsid w:val="0052171F"/>
    <w:rsid w:val="005249F5"/>
    <w:rsid w:val="005260F7"/>
    <w:rsid w:val="00543BD1"/>
    <w:rsid w:val="00554C7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65A"/>
    <w:rsid w:val="005D687F"/>
    <w:rsid w:val="005E144D"/>
    <w:rsid w:val="005E1500"/>
    <w:rsid w:val="005E3A43"/>
    <w:rsid w:val="005F0B17"/>
    <w:rsid w:val="005F5820"/>
    <w:rsid w:val="005F6602"/>
    <w:rsid w:val="005F77C7"/>
    <w:rsid w:val="00620675"/>
    <w:rsid w:val="00621F57"/>
    <w:rsid w:val="00622910"/>
    <w:rsid w:val="006254B6"/>
    <w:rsid w:val="00627FC8"/>
    <w:rsid w:val="006433C3"/>
    <w:rsid w:val="00650F5B"/>
    <w:rsid w:val="006652A8"/>
    <w:rsid w:val="006670D7"/>
    <w:rsid w:val="006719EA"/>
    <w:rsid w:val="00671F13"/>
    <w:rsid w:val="0067400A"/>
    <w:rsid w:val="006847AD"/>
    <w:rsid w:val="0069114B"/>
    <w:rsid w:val="006944C1"/>
    <w:rsid w:val="006A52D9"/>
    <w:rsid w:val="006A756A"/>
    <w:rsid w:val="006C0EC2"/>
    <w:rsid w:val="006D087C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AA0"/>
    <w:rsid w:val="00730B9B"/>
    <w:rsid w:val="0073182E"/>
    <w:rsid w:val="007332FF"/>
    <w:rsid w:val="007408F5"/>
    <w:rsid w:val="00741EAE"/>
    <w:rsid w:val="00742BCA"/>
    <w:rsid w:val="00755248"/>
    <w:rsid w:val="0076190B"/>
    <w:rsid w:val="0076355D"/>
    <w:rsid w:val="00763A2D"/>
    <w:rsid w:val="007676A4"/>
    <w:rsid w:val="00775949"/>
    <w:rsid w:val="00777795"/>
    <w:rsid w:val="00783A57"/>
    <w:rsid w:val="00784C92"/>
    <w:rsid w:val="007859CD"/>
    <w:rsid w:val="00785C24"/>
    <w:rsid w:val="007907E4"/>
    <w:rsid w:val="00796461"/>
    <w:rsid w:val="007A1BA4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4067"/>
    <w:rsid w:val="007E70CF"/>
    <w:rsid w:val="007E74A4"/>
    <w:rsid w:val="007F1B6F"/>
    <w:rsid w:val="007F263F"/>
    <w:rsid w:val="008015A8"/>
    <w:rsid w:val="008033F9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DC1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0B94"/>
    <w:rsid w:val="00911941"/>
    <w:rsid w:val="0092024D"/>
    <w:rsid w:val="00925146"/>
    <w:rsid w:val="00925F0F"/>
    <w:rsid w:val="00930017"/>
    <w:rsid w:val="00931B35"/>
    <w:rsid w:val="009329F0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379E"/>
    <w:rsid w:val="009D0EB5"/>
    <w:rsid w:val="009D0FB0"/>
    <w:rsid w:val="009D14F9"/>
    <w:rsid w:val="009D2B74"/>
    <w:rsid w:val="009D3F0D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03A9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380A"/>
    <w:rsid w:val="00B606A1"/>
    <w:rsid w:val="00B614F7"/>
    <w:rsid w:val="00B61B26"/>
    <w:rsid w:val="00B65E6B"/>
    <w:rsid w:val="00B675B2"/>
    <w:rsid w:val="00B677C4"/>
    <w:rsid w:val="00B81261"/>
    <w:rsid w:val="00B8223E"/>
    <w:rsid w:val="00B832AE"/>
    <w:rsid w:val="00B86678"/>
    <w:rsid w:val="00B90507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416"/>
    <w:rsid w:val="00C10301"/>
    <w:rsid w:val="00C10B5E"/>
    <w:rsid w:val="00C10F10"/>
    <w:rsid w:val="00C138C8"/>
    <w:rsid w:val="00C15D4D"/>
    <w:rsid w:val="00C175DC"/>
    <w:rsid w:val="00C30171"/>
    <w:rsid w:val="00C309D8"/>
    <w:rsid w:val="00C43519"/>
    <w:rsid w:val="00C45263"/>
    <w:rsid w:val="00C51537"/>
    <w:rsid w:val="00C525D9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3EB9"/>
    <w:rsid w:val="00CC571B"/>
    <w:rsid w:val="00CC61CD"/>
    <w:rsid w:val="00CC6C02"/>
    <w:rsid w:val="00CC737B"/>
    <w:rsid w:val="00CD4351"/>
    <w:rsid w:val="00CD5011"/>
    <w:rsid w:val="00CD66B8"/>
    <w:rsid w:val="00CE640F"/>
    <w:rsid w:val="00CE76BC"/>
    <w:rsid w:val="00CF540E"/>
    <w:rsid w:val="00D02F07"/>
    <w:rsid w:val="00D15D88"/>
    <w:rsid w:val="00D27D49"/>
    <w:rsid w:val="00D27EBE"/>
    <w:rsid w:val="00D36A49"/>
    <w:rsid w:val="00D44626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0586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8FB"/>
    <w:rsid w:val="00DD4E59"/>
    <w:rsid w:val="00DE33B5"/>
    <w:rsid w:val="00DE5E18"/>
    <w:rsid w:val="00DF0487"/>
    <w:rsid w:val="00DF5EA4"/>
    <w:rsid w:val="00E02681"/>
    <w:rsid w:val="00E02792"/>
    <w:rsid w:val="00E0285E"/>
    <w:rsid w:val="00E034D8"/>
    <w:rsid w:val="00E04CC0"/>
    <w:rsid w:val="00E1207D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486A"/>
    <w:rsid w:val="00E956C5"/>
    <w:rsid w:val="00E95C39"/>
    <w:rsid w:val="00EA1621"/>
    <w:rsid w:val="00EA2C39"/>
    <w:rsid w:val="00EA39B3"/>
    <w:rsid w:val="00EB0A3C"/>
    <w:rsid w:val="00EB0A96"/>
    <w:rsid w:val="00EB77F9"/>
    <w:rsid w:val="00EC2CE9"/>
    <w:rsid w:val="00EC5769"/>
    <w:rsid w:val="00EC738C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08D3"/>
    <w:rsid w:val="00F30AE1"/>
    <w:rsid w:val="00F3335B"/>
    <w:rsid w:val="00F5696E"/>
    <w:rsid w:val="00F60EFF"/>
    <w:rsid w:val="00F67D2D"/>
    <w:rsid w:val="00F70F84"/>
    <w:rsid w:val="00F84798"/>
    <w:rsid w:val="00F858F2"/>
    <w:rsid w:val="00F860CC"/>
    <w:rsid w:val="00F94398"/>
    <w:rsid w:val="00FA6DD1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3CBE6"/>
  <w15:docId w15:val="{07512C7A-0989-40C8-9629-14B7FBEC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2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41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416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416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8D3"/>
    <w:rPr>
      <w:color w:val="605E5C"/>
      <w:shd w:val="clear" w:color="auto" w:fill="E1DFDD"/>
    </w:rPr>
  </w:style>
  <w:style w:type="table" w:customStyle="1" w:styleId="NTGtable1">
    <w:name w:val="NTG table 1"/>
    <w:basedOn w:val="TableNormal"/>
    <w:uiPriority w:val="99"/>
    <w:rsid w:val="00C10301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42B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86A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86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6A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6DD1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tls.doe@education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short-portrait-template%20(2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08B66F8AE04545A0431597A87B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DBFC-A75C-4A5E-8CD4-BC8544BC7BEB}"/>
      </w:docPartPr>
      <w:docPartBody>
        <w:p w:rsidR="00D47086" w:rsidRDefault="008946F7" w:rsidP="008946F7">
          <w:pPr>
            <w:pStyle w:val="1908B66F8AE04545A0431597A87BB5DC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F7"/>
    <w:rsid w:val="0004064A"/>
    <w:rsid w:val="00166DFB"/>
    <w:rsid w:val="00482CA7"/>
    <w:rsid w:val="004A0756"/>
    <w:rsid w:val="005150FE"/>
    <w:rsid w:val="005A5D3C"/>
    <w:rsid w:val="00631432"/>
    <w:rsid w:val="00682329"/>
    <w:rsid w:val="008946F7"/>
    <w:rsid w:val="00902BE3"/>
    <w:rsid w:val="00A440D5"/>
    <w:rsid w:val="00B1458B"/>
    <w:rsid w:val="00B92406"/>
    <w:rsid w:val="00D47086"/>
    <w:rsid w:val="00D974A2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6F7"/>
    <w:rPr>
      <w:color w:val="808080"/>
    </w:rPr>
  </w:style>
  <w:style w:type="paragraph" w:customStyle="1" w:styleId="1908B66F8AE04545A0431597A87BB5DC">
    <w:name w:val="1908B66F8AE04545A0431597A87BB5DC"/>
    <w:rsid w:val="00894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7699F-F8E7-46C0-A4D3-1C630B39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(20).dotx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Bilingual education – guidelines</vt:lpstr>
    </vt:vector>
  </TitlesOfParts>
  <Company>Education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Bilingual education – guidelines</dc:title>
  <dc:creator>Northern Territory Government</dc:creator>
  <cp:lastModifiedBy>Kathy Bochow</cp:lastModifiedBy>
  <cp:revision>3</cp:revision>
  <cp:lastPrinted>2022-11-17T05:15:00Z</cp:lastPrinted>
  <dcterms:created xsi:type="dcterms:W3CDTF">2022-11-17T05:14:00Z</dcterms:created>
  <dcterms:modified xsi:type="dcterms:W3CDTF">2022-11-17T05:15:00Z</dcterms:modified>
</cp:coreProperties>
</file>