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1B1966DE" w:rsidR="00886C9D" w:rsidRPr="00886C9D" w:rsidRDefault="00D92366" w:rsidP="00F37738">
          <w:pPr>
            <w:pStyle w:val="Title"/>
          </w:pPr>
          <w:r>
            <w:rPr>
              <w:rStyle w:val="TitleChar"/>
            </w:rPr>
            <w:t xml:space="preserve">Infectious </w:t>
          </w:r>
          <w:r w:rsidR="000C0C34">
            <w:rPr>
              <w:rStyle w:val="TitleChar"/>
            </w:rPr>
            <w:t>d</w:t>
          </w:r>
          <w:r>
            <w:rPr>
              <w:rStyle w:val="TitleChar"/>
            </w:rPr>
            <w:t>iseases</w:t>
          </w:r>
          <w:r w:rsidR="00551F32">
            <w:rPr>
              <w:rStyle w:val="TitleChar"/>
            </w:rPr>
            <w:t xml:space="preserve"> –</w:t>
          </w:r>
          <w:r>
            <w:rPr>
              <w:rStyle w:val="TitleChar"/>
            </w:rPr>
            <w:t xml:space="preserve"> </w:t>
          </w:r>
          <w:r w:rsidR="000C0C34">
            <w:rPr>
              <w:rStyle w:val="TitleChar"/>
            </w:rPr>
            <w:t>e</w:t>
          </w:r>
          <w:r>
            <w:rPr>
              <w:rStyle w:val="TitleChar"/>
            </w:rPr>
            <w:t xml:space="preserve">xclusions from </w:t>
          </w:r>
          <w:r w:rsidR="000C0C34">
            <w:rPr>
              <w:rStyle w:val="TitleChar"/>
            </w:rPr>
            <w:t>s</w:t>
          </w:r>
          <w:r>
            <w:rPr>
              <w:rStyle w:val="TitleChar"/>
            </w:rPr>
            <w:t>chool</w:t>
          </w:r>
          <w:r w:rsidR="002F2B7D">
            <w:rPr>
              <w:rStyle w:val="TitleChar"/>
            </w:rPr>
            <w:t xml:space="preserve"> – policy</w:t>
          </w:r>
        </w:p>
      </w:sdtContent>
    </w:sdt>
    <w:p w14:paraId="77C6865F" w14:textId="77777777" w:rsidR="00964B22" w:rsidRDefault="00964B22" w:rsidP="00F37738">
      <w:pPr>
        <w:tabs>
          <w:tab w:val="center" w:pos="4819"/>
        </w:tabs>
      </w:pPr>
    </w:p>
    <w:p w14:paraId="161DE1BA" w14:textId="77777777" w:rsidR="007761D8" w:rsidRPr="00DD64C2" w:rsidRDefault="007761D8" w:rsidP="00F37738">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F37738">
          <w:pPr>
            <w:pStyle w:val="TOCHeading"/>
            <w:tabs>
              <w:tab w:val="left" w:pos="9444"/>
            </w:tabs>
            <w:spacing w:before="120" w:after="100"/>
            <w:rPr>
              <w:lang w:eastAsia="ja-JP"/>
            </w:rPr>
          </w:pPr>
          <w:r w:rsidRPr="00422874">
            <w:t>Contents</w:t>
          </w:r>
        </w:p>
        <w:p w14:paraId="213B791A" w14:textId="34EF2BC3" w:rsidR="00D764A8"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1427719" w:history="1">
            <w:r w:rsidR="00D764A8" w:rsidRPr="00C838A1">
              <w:rPr>
                <w:rStyle w:val="Hyperlink"/>
                <w:noProof/>
                <w:lang w:eastAsia="en-AU"/>
              </w:rPr>
              <w:t>1. Policy</w:t>
            </w:r>
            <w:r w:rsidR="00D764A8">
              <w:rPr>
                <w:noProof/>
                <w:webHidden/>
              </w:rPr>
              <w:tab/>
            </w:r>
            <w:r w:rsidR="00D764A8">
              <w:rPr>
                <w:noProof/>
                <w:webHidden/>
              </w:rPr>
              <w:fldChar w:fldCharType="begin"/>
            </w:r>
            <w:r w:rsidR="00D764A8">
              <w:rPr>
                <w:noProof/>
                <w:webHidden/>
              </w:rPr>
              <w:instrText xml:space="preserve"> PAGEREF _Toc131427719 \h </w:instrText>
            </w:r>
            <w:r w:rsidR="00D764A8">
              <w:rPr>
                <w:noProof/>
                <w:webHidden/>
              </w:rPr>
            </w:r>
            <w:r w:rsidR="00D764A8">
              <w:rPr>
                <w:noProof/>
                <w:webHidden/>
              </w:rPr>
              <w:fldChar w:fldCharType="separate"/>
            </w:r>
            <w:r w:rsidR="00D764A8">
              <w:rPr>
                <w:noProof/>
                <w:webHidden/>
              </w:rPr>
              <w:t>3</w:t>
            </w:r>
            <w:r w:rsidR="00D764A8">
              <w:rPr>
                <w:noProof/>
                <w:webHidden/>
              </w:rPr>
              <w:fldChar w:fldCharType="end"/>
            </w:r>
          </w:hyperlink>
        </w:p>
        <w:p w14:paraId="01A1A202" w14:textId="71FBD941" w:rsidR="00D764A8" w:rsidRDefault="00F57D83">
          <w:pPr>
            <w:pStyle w:val="TOC1"/>
            <w:rPr>
              <w:rFonts w:asciiTheme="minorHAnsi" w:eastAsiaTheme="minorEastAsia" w:hAnsiTheme="minorHAnsi" w:cstheme="minorBidi"/>
              <w:b w:val="0"/>
              <w:noProof/>
              <w:lang w:eastAsia="en-AU"/>
            </w:rPr>
          </w:pPr>
          <w:hyperlink w:anchor="_Toc131427720" w:history="1">
            <w:r w:rsidR="00D764A8" w:rsidRPr="00C838A1">
              <w:rPr>
                <w:rStyle w:val="Hyperlink"/>
                <w:noProof/>
                <w:lang w:eastAsia="en-AU"/>
              </w:rPr>
              <w:t>2. Business need</w:t>
            </w:r>
            <w:r w:rsidR="00D764A8">
              <w:rPr>
                <w:noProof/>
                <w:webHidden/>
              </w:rPr>
              <w:tab/>
            </w:r>
            <w:r w:rsidR="00D764A8">
              <w:rPr>
                <w:noProof/>
                <w:webHidden/>
              </w:rPr>
              <w:fldChar w:fldCharType="begin"/>
            </w:r>
            <w:r w:rsidR="00D764A8">
              <w:rPr>
                <w:noProof/>
                <w:webHidden/>
              </w:rPr>
              <w:instrText xml:space="preserve"> PAGEREF _Toc131427720 \h </w:instrText>
            </w:r>
            <w:r w:rsidR="00D764A8">
              <w:rPr>
                <w:noProof/>
                <w:webHidden/>
              </w:rPr>
            </w:r>
            <w:r w:rsidR="00D764A8">
              <w:rPr>
                <w:noProof/>
                <w:webHidden/>
              </w:rPr>
              <w:fldChar w:fldCharType="separate"/>
            </w:r>
            <w:r w:rsidR="00D764A8">
              <w:rPr>
                <w:noProof/>
                <w:webHidden/>
              </w:rPr>
              <w:t>3</w:t>
            </w:r>
            <w:r w:rsidR="00D764A8">
              <w:rPr>
                <w:noProof/>
                <w:webHidden/>
              </w:rPr>
              <w:fldChar w:fldCharType="end"/>
            </w:r>
          </w:hyperlink>
        </w:p>
        <w:p w14:paraId="30D0C5C0" w14:textId="7F8BEA89" w:rsidR="00D764A8" w:rsidRDefault="00F57D83">
          <w:pPr>
            <w:pStyle w:val="TOC1"/>
            <w:rPr>
              <w:rFonts w:asciiTheme="minorHAnsi" w:eastAsiaTheme="minorEastAsia" w:hAnsiTheme="minorHAnsi" w:cstheme="minorBidi"/>
              <w:b w:val="0"/>
              <w:noProof/>
              <w:lang w:eastAsia="en-AU"/>
            </w:rPr>
          </w:pPr>
          <w:hyperlink w:anchor="_Toc131427721" w:history="1">
            <w:r w:rsidR="00D764A8" w:rsidRPr="00C838A1">
              <w:rPr>
                <w:rStyle w:val="Hyperlink"/>
                <w:noProof/>
                <w:lang w:eastAsia="en-AU"/>
              </w:rPr>
              <w:t>3. Scope</w:t>
            </w:r>
            <w:r w:rsidR="00D764A8">
              <w:rPr>
                <w:noProof/>
                <w:webHidden/>
              </w:rPr>
              <w:tab/>
            </w:r>
            <w:r w:rsidR="00D764A8">
              <w:rPr>
                <w:noProof/>
                <w:webHidden/>
              </w:rPr>
              <w:fldChar w:fldCharType="begin"/>
            </w:r>
            <w:r w:rsidR="00D764A8">
              <w:rPr>
                <w:noProof/>
                <w:webHidden/>
              </w:rPr>
              <w:instrText xml:space="preserve"> PAGEREF _Toc131427721 \h </w:instrText>
            </w:r>
            <w:r w:rsidR="00D764A8">
              <w:rPr>
                <w:noProof/>
                <w:webHidden/>
              </w:rPr>
            </w:r>
            <w:r w:rsidR="00D764A8">
              <w:rPr>
                <w:noProof/>
                <w:webHidden/>
              </w:rPr>
              <w:fldChar w:fldCharType="separate"/>
            </w:r>
            <w:r w:rsidR="00D764A8">
              <w:rPr>
                <w:noProof/>
                <w:webHidden/>
              </w:rPr>
              <w:t>3</w:t>
            </w:r>
            <w:r w:rsidR="00D764A8">
              <w:rPr>
                <w:noProof/>
                <w:webHidden/>
              </w:rPr>
              <w:fldChar w:fldCharType="end"/>
            </w:r>
          </w:hyperlink>
        </w:p>
        <w:p w14:paraId="543F11DE" w14:textId="7B44A6C8" w:rsidR="00D764A8" w:rsidRDefault="00F57D83">
          <w:pPr>
            <w:pStyle w:val="TOC1"/>
            <w:rPr>
              <w:rFonts w:asciiTheme="minorHAnsi" w:eastAsiaTheme="minorEastAsia" w:hAnsiTheme="minorHAnsi" w:cstheme="minorBidi"/>
              <w:b w:val="0"/>
              <w:noProof/>
              <w:lang w:eastAsia="en-AU"/>
            </w:rPr>
          </w:pPr>
          <w:hyperlink w:anchor="_Toc131427722" w:history="1">
            <w:r w:rsidR="00D764A8" w:rsidRPr="00C838A1">
              <w:rPr>
                <w:rStyle w:val="Hyperlink"/>
                <w:noProof/>
                <w:lang w:val="en-US"/>
              </w:rPr>
              <w:t>4. Roles and responsibilities</w:t>
            </w:r>
            <w:r w:rsidR="00D764A8">
              <w:rPr>
                <w:noProof/>
                <w:webHidden/>
              </w:rPr>
              <w:tab/>
            </w:r>
            <w:r w:rsidR="00D764A8">
              <w:rPr>
                <w:noProof/>
                <w:webHidden/>
              </w:rPr>
              <w:fldChar w:fldCharType="begin"/>
            </w:r>
            <w:r w:rsidR="00D764A8">
              <w:rPr>
                <w:noProof/>
                <w:webHidden/>
              </w:rPr>
              <w:instrText xml:space="preserve"> PAGEREF _Toc131427722 \h </w:instrText>
            </w:r>
            <w:r w:rsidR="00D764A8">
              <w:rPr>
                <w:noProof/>
                <w:webHidden/>
              </w:rPr>
            </w:r>
            <w:r w:rsidR="00D764A8">
              <w:rPr>
                <w:noProof/>
                <w:webHidden/>
              </w:rPr>
              <w:fldChar w:fldCharType="separate"/>
            </w:r>
            <w:r w:rsidR="00D764A8">
              <w:rPr>
                <w:noProof/>
                <w:webHidden/>
              </w:rPr>
              <w:t>3</w:t>
            </w:r>
            <w:r w:rsidR="00D764A8">
              <w:rPr>
                <w:noProof/>
                <w:webHidden/>
              </w:rPr>
              <w:fldChar w:fldCharType="end"/>
            </w:r>
          </w:hyperlink>
        </w:p>
        <w:p w14:paraId="129D630E" w14:textId="250A6DB0" w:rsidR="00D764A8" w:rsidRDefault="00F57D83">
          <w:pPr>
            <w:pStyle w:val="TOC2"/>
            <w:rPr>
              <w:rFonts w:asciiTheme="minorHAnsi" w:eastAsiaTheme="minorEastAsia" w:hAnsiTheme="minorHAnsi" w:cstheme="minorBidi"/>
              <w:noProof/>
              <w:lang w:eastAsia="en-AU"/>
            </w:rPr>
          </w:pPr>
          <w:hyperlink w:anchor="_Toc131427723" w:history="1">
            <w:r w:rsidR="00D764A8" w:rsidRPr="00C838A1">
              <w:rPr>
                <w:rStyle w:val="Hyperlink"/>
                <w:noProof/>
              </w:rPr>
              <w:t>4.1. Inclusion, Wellbeing Programs and Services</w:t>
            </w:r>
            <w:r w:rsidR="00D764A8">
              <w:rPr>
                <w:noProof/>
                <w:webHidden/>
              </w:rPr>
              <w:tab/>
            </w:r>
            <w:r w:rsidR="00D764A8">
              <w:rPr>
                <w:noProof/>
                <w:webHidden/>
              </w:rPr>
              <w:fldChar w:fldCharType="begin"/>
            </w:r>
            <w:r w:rsidR="00D764A8">
              <w:rPr>
                <w:noProof/>
                <w:webHidden/>
              </w:rPr>
              <w:instrText xml:space="preserve"> PAGEREF _Toc131427723 \h </w:instrText>
            </w:r>
            <w:r w:rsidR="00D764A8">
              <w:rPr>
                <w:noProof/>
                <w:webHidden/>
              </w:rPr>
            </w:r>
            <w:r w:rsidR="00D764A8">
              <w:rPr>
                <w:noProof/>
                <w:webHidden/>
              </w:rPr>
              <w:fldChar w:fldCharType="separate"/>
            </w:r>
            <w:r w:rsidR="00D764A8">
              <w:rPr>
                <w:noProof/>
                <w:webHidden/>
              </w:rPr>
              <w:t>3</w:t>
            </w:r>
            <w:r w:rsidR="00D764A8">
              <w:rPr>
                <w:noProof/>
                <w:webHidden/>
              </w:rPr>
              <w:fldChar w:fldCharType="end"/>
            </w:r>
          </w:hyperlink>
        </w:p>
        <w:p w14:paraId="3AEDD35F" w14:textId="172E72D6" w:rsidR="00D764A8" w:rsidRDefault="00F57D83">
          <w:pPr>
            <w:pStyle w:val="TOC2"/>
            <w:rPr>
              <w:rFonts w:asciiTheme="minorHAnsi" w:eastAsiaTheme="minorEastAsia" w:hAnsiTheme="minorHAnsi" w:cstheme="minorBidi"/>
              <w:noProof/>
              <w:lang w:eastAsia="en-AU"/>
            </w:rPr>
          </w:pPr>
          <w:hyperlink w:anchor="_Toc131427724" w:history="1">
            <w:r w:rsidR="00D764A8" w:rsidRPr="00C838A1">
              <w:rPr>
                <w:rStyle w:val="Hyperlink"/>
                <w:noProof/>
              </w:rPr>
              <w:t>4.2. School Operations</w:t>
            </w:r>
            <w:r w:rsidR="00D764A8">
              <w:rPr>
                <w:noProof/>
                <w:webHidden/>
              </w:rPr>
              <w:tab/>
            </w:r>
            <w:r w:rsidR="00D764A8">
              <w:rPr>
                <w:noProof/>
                <w:webHidden/>
              </w:rPr>
              <w:fldChar w:fldCharType="begin"/>
            </w:r>
            <w:r w:rsidR="00D764A8">
              <w:rPr>
                <w:noProof/>
                <w:webHidden/>
              </w:rPr>
              <w:instrText xml:space="preserve"> PAGEREF _Toc131427724 \h </w:instrText>
            </w:r>
            <w:r w:rsidR="00D764A8">
              <w:rPr>
                <w:noProof/>
                <w:webHidden/>
              </w:rPr>
            </w:r>
            <w:r w:rsidR="00D764A8">
              <w:rPr>
                <w:noProof/>
                <w:webHidden/>
              </w:rPr>
              <w:fldChar w:fldCharType="separate"/>
            </w:r>
            <w:r w:rsidR="00D764A8">
              <w:rPr>
                <w:noProof/>
                <w:webHidden/>
              </w:rPr>
              <w:t>4</w:t>
            </w:r>
            <w:r w:rsidR="00D764A8">
              <w:rPr>
                <w:noProof/>
                <w:webHidden/>
              </w:rPr>
              <w:fldChar w:fldCharType="end"/>
            </w:r>
          </w:hyperlink>
        </w:p>
        <w:p w14:paraId="50D2C1B2" w14:textId="35A56BD8" w:rsidR="00D764A8" w:rsidRDefault="00F57D83">
          <w:pPr>
            <w:pStyle w:val="TOC2"/>
            <w:rPr>
              <w:rFonts w:asciiTheme="minorHAnsi" w:eastAsiaTheme="minorEastAsia" w:hAnsiTheme="minorHAnsi" w:cstheme="minorBidi"/>
              <w:noProof/>
              <w:lang w:eastAsia="en-AU"/>
            </w:rPr>
          </w:pPr>
          <w:hyperlink w:anchor="_Toc131427725" w:history="1">
            <w:r w:rsidR="00D764A8" w:rsidRPr="00C838A1">
              <w:rPr>
                <w:rStyle w:val="Hyperlink"/>
                <w:noProof/>
              </w:rPr>
              <w:t>4.3. Principals</w:t>
            </w:r>
            <w:r w:rsidR="00D764A8">
              <w:rPr>
                <w:noProof/>
                <w:webHidden/>
              </w:rPr>
              <w:tab/>
            </w:r>
            <w:r w:rsidR="00D764A8">
              <w:rPr>
                <w:noProof/>
                <w:webHidden/>
              </w:rPr>
              <w:fldChar w:fldCharType="begin"/>
            </w:r>
            <w:r w:rsidR="00D764A8">
              <w:rPr>
                <w:noProof/>
                <w:webHidden/>
              </w:rPr>
              <w:instrText xml:space="preserve"> PAGEREF _Toc131427725 \h </w:instrText>
            </w:r>
            <w:r w:rsidR="00D764A8">
              <w:rPr>
                <w:noProof/>
                <w:webHidden/>
              </w:rPr>
            </w:r>
            <w:r w:rsidR="00D764A8">
              <w:rPr>
                <w:noProof/>
                <w:webHidden/>
              </w:rPr>
              <w:fldChar w:fldCharType="separate"/>
            </w:r>
            <w:r w:rsidR="00D764A8">
              <w:rPr>
                <w:noProof/>
                <w:webHidden/>
              </w:rPr>
              <w:t>4</w:t>
            </w:r>
            <w:r w:rsidR="00D764A8">
              <w:rPr>
                <w:noProof/>
                <w:webHidden/>
              </w:rPr>
              <w:fldChar w:fldCharType="end"/>
            </w:r>
          </w:hyperlink>
        </w:p>
        <w:p w14:paraId="405DAFDE" w14:textId="10AF4B14" w:rsidR="00D764A8" w:rsidRDefault="00F57D83">
          <w:pPr>
            <w:pStyle w:val="TOC2"/>
            <w:rPr>
              <w:rFonts w:asciiTheme="minorHAnsi" w:eastAsiaTheme="minorEastAsia" w:hAnsiTheme="minorHAnsi" w:cstheme="minorBidi"/>
              <w:noProof/>
              <w:lang w:eastAsia="en-AU"/>
            </w:rPr>
          </w:pPr>
          <w:hyperlink w:anchor="_Toc131427726" w:history="1">
            <w:r w:rsidR="00D764A8" w:rsidRPr="00C838A1">
              <w:rPr>
                <w:rStyle w:val="Hyperlink"/>
                <w:noProof/>
              </w:rPr>
              <w:t>4.4. Parents and staff</w:t>
            </w:r>
            <w:r w:rsidR="00D764A8">
              <w:rPr>
                <w:noProof/>
                <w:webHidden/>
              </w:rPr>
              <w:tab/>
            </w:r>
            <w:r w:rsidR="00D764A8">
              <w:rPr>
                <w:noProof/>
                <w:webHidden/>
              </w:rPr>
              <w:fldChar w:fldCharType="begin"/>
            </w:r>
            <w:r w:rsidR="00D764A8">
              <w:rPr>
                <w:noProof/>
                <w:webHidden/>
              </w:rPr>
              <w:instrText xml:space="preserve"> PAGEREF _Toc131427726 \h </w:instrText>
            </w:r>
            <w:r w:rsidR="00D764A8">
              <w:rPr>
                <w:noProof/>
                <w:webHidden/>
              </w:rPr>
            </w:r>
            <w:r w:rsidR="00D764A8">
              <w:rPr>
                <w:noProof/>
                <w:webHidden/>
              </w:rPr>
              <w:fldChar w:fldCharType="separate"/>
            </w:r>
            <w:r w:rsidR="00D764A8">
              <w:rPr>
                <w:noProof/>
                <w:webHidden/>
              </w:rPr>
              <w:t>4</w:t>
            </w:r>
            <w:r w:rsidR="00D764A8">
              <w:rPr>
                <w:noProof/>
                <w:webHidden/>
              </w:rPr>
              <w:fldChar w:fldCharType="end"/>
            </w:r>
          </w:hyperlink>
        </w:p>
        <w:p w14:paraId="6530A832" w14:textId="513EAEE3" w:rsidR="00D764A8" w:rsidRDefault="00F57D83">
          <w:pPr>
            <w:pStyle w:val="TOC1"/>
            <w:rPr>
              <w:rFonts w:asciiTheme="minorHAnsi" w:eastAsiaTheme="minorEastAsia" w:hAnsiTheme="minorHAnsi" w:cstheme="minorBidi"/>
              <w:b w:val="0"/>
              <w:noProof/>
              <w:lang w:eastAsia="en-AU"/>
            </w:rPr>
          </w:pPr>
          <w:hyperlink w:anchor="_Toc131427727" w:history="1">
            <w:r w:rsidR="00D764A8" w:rsidRPr="00C838A1">
              <w:rPr>
                <w:rStyle w:val="Hyperlink"/>
                <w:noProof/>
                <w:lang w:eastAsia="en-AU"/>
              </w:rPr>
              <w:t>5. Definitions</w:t>
            </w:r>
            <w:r w:rsidR="00D764A8">
              <w:rPr>
                <w:noProof/>
                <w:webHidden/>
              </w:rPr>
              <w:tab/>
            </w:r>
            <w:r w:rsidR="00D764A8">
              <w:rPr>
                <w:noProof/>
                <w:webHidden/>
              </w:rPr>
              <w:fldChar w:fldCharType="begin"/>
            </w:r>
            <w:r w:rsidR="00D764A8">
              <w:rPr>
                <w:noProof/>
                <w:webHidden/>
              </w:rPr>
              <w:instrText xml:space="preserve"> PAGEREF _Toc131427727 \h </w:instrText>
            </w:r>
            <w:r w:rsidR="00D764A8">
              <w:rPr>
                <w:noProof/>
                <w:webHidden/>
              </w:rPr>
            </w:r>
            <w:r w:rsidR="00D764A8">
              <w:rPr>
                <w:noProof/>
                <w:webHidden/>
              </w:rPr>
              <w:fldChar w:fldCharType="separate"/>
            </w:r>
            <w:r w:rsidR="00D764A8">
              <w:rPr>
                <w:noProof/>
                <w:webHidden/>
              </w:rPr>
              <w:t>4</w:t>
            </w:r>
            <w:r w:rsidR="00D764A8">
              <w:rPr>
                <w:noProof/>
                <w:webHidden/>
              </w:rPr>
              <w:fldChar w:fldCharType="end"/>
            </w:r>
          </w:hyperlink>
        </w:p>
        <w:p w14:paraId="16B16A1F" w14:textId="639376AA" w:rsidR="00D764A8" w:rsidRDefault="00F57D83">
          <w:pPr>
            <w:pStyle w:val="TOC1"/>
            <w:rPr>
              <w:rFonts w:asciiTheme="minorHAnsi" w:eastAsiaTheme="minorEastAsia" w:hAnsiTheme="minorHAnsi" w:cstheme="minorBidi"/>
              <w:b w:val="0"/>
              <w:noProof/>
              <w:lang w:eastAsia="en-AU"/>
            </w:rPr>
          </w:pPr>
          <w:hyperlink w:anchor="_Toc131427728" w:history="1">
            <w:r w:rsidR="00D764A8" w:rsidRPr="00C838A1">
              <w:rPr>
                <w:rStyle w:val="Hyperlink"/>
                <w:noProof/>
              </w:rPr>
              <w:t>6. Related legislation, policy and resources</w:t>
            </w:r>
            <w:r w:rsidR="00D764A8">
              <w:rPr>
                <w:noProof/>
                <w:webHidden/>
              </w:rPr>
              <w:tab/>
            </w:r>
            <w:r w:rsidR="00D764A8">
              <w:rPr>
                <w:noProof/>
                <w:webHidden/>
              </w:rPr>
              <w:fldChar w:fldCharType="begin"/>
            </w:r>
            <w:r w:rsidR="00D764A8">
              <w:rPr>
                <w:noProof/>
                <w:webHidden/>
              </w:rPr>
              <w:instrText xml:space="preserve"> PAGEREF _Toc131427728 \h </w:instrText>
            </w:r>
            <w:r w:rsidR="00D764A8">
              <w:rPr>
                <w:noProof/>
                <w:webHidden/>
              </w:rPr>
            </w:r>
            <w:r w:rsidR="00D764A8">
              <w:rPr>
                <w:noProof/>
                <w:webHidden/>
              </w:rPr>
              <w:fldChar w:fldCharType="separate"/>
            </w:r>
            <w:r w:rsidR="00D764A8">
              <w:rPr>
                <w:noProof/>
                <w:webHidden/>
              </w:rPr>
              <w:t>4</w:t>
            </w:r>
            <w:r w:rsidR="00D764A8">
              <w:rPr>
                <w:noProof/>
                <w:webHidden/>
              </w:rPr>
              <w:fldChar w:fldCharType="end"/>
            </w:r>
          </w:hyperlink>
        </w:p>
        <w:p w14:paraId="2F40E694" w14:textId="70420418" w:rsidR="00D764A8" w:rsidRDefault="00F57D83">
          <w:pPr>
            <w:pStyle w:val="TOC2"/>
            <w:rPr>
              <w:rFonts w:asciiTheme="minorHAnsi" w:eastAsiaTheme="minorEastAsia" w:hAnsiTheme="minorHAnsi" w:cstheme="minorBidi"/>
              <w:noProof/>
              <w:lang w:eastAsia="en-AU"/>
            </w:rPr>
          </w:pPr>
          <w:hyperlink w:anchor="_Toc131427729" w:history="1">
            <w:r w:rsidR="00D764A8" w:rsidRPr="00C838A1">
              <w:rPr>
                <w:rStyle w:val="Hyperlink"/>
                <w:noProof/>
              </w:rPr>
              <w:t>6.1. Legislation</w:t>
            </w:r>
            <w:r w:rsidR="00D764A8">
              <w:rPr>
                <w:noProof/>
                <w:webHidden/>
              </w:rPr>
              <w:tab/>
            </w:r>
            <w:r w:rsidR="00D764A8">
              <w:rPr>
                <w:noProof/>
                <w:webHidden/>
              </w:rPr>
              <w:fldChar w:fldCharType="begin"/>
            </w:r>
            <w:r w:rsidR="00D764A8">
              <w:rPr>
                <w:noProof/>
                <w:webHidden/>
              </w:rPr>
              <w:instrText xml:space="preserve"> PAGEREF _Toc131427729 \h </w:instrText>
            </w:r>
            <w:r w:rsidR="00D764A8">
              <w:rPr>
                <w:noProof/>
                <w:webHidden/>
              </w:rPr>
            </w:r>
            <w:r w:rsidR="00D764A8">
              <w:rPr>
                <w:noProof/>
                <w:webHidden/>
              </w:rPr>
              <w:fldChar w:fldCharType="separate"/>
            </w:r>
            <w:r w:rsidR="00D764A8">
              <w:rPr>
                <w:noProof/>
                <w:webHidden/>
              </w:rPr>
              <w:t>4</w:t>
            </w:r>
            <w:r w:rsidR="00D764A8">
              <w:rPr>
                <w:noProof/>
                <w:webHidden/>
              </w:rPr>
              <w:fldChar w:fldCharType="end"/>
            </w:r>
          </w:hyperlink>
        </w:p>
        <w:p w14:paraId="67DA81E5" w14:textId="508FE542" w:rsidR="00D764A8" w:rsidRDefault="00F57D83">
          <w:pPr>
            <w:pStyle w:val="TOC2"/>
            <w:rPr>
              <w:rFonts w:asciiTheme="minorHAnsi" w:eastAsiaTheme="minorEastAsia" w:hAnsiTheme="minorHAnsi" w:cstheme="minorBidi"/>
              <w:noProof/>
              <w:lang w:eastAsia="en-AU"/>
            </w:rPr>
          </w:pPr>
          <w:hyperlink w:anchor="_Toc131427730" w:history="1">
            <w:r w:rsidR="00D764A8" w:rsidRPr="00C838A1">
              <w:rPr>
                <w:rStyle w:val="Hyperlink"/>
                <w:noProof/>
                <w:lang w:val="en-US"/>
              </w:rPr>
              <w:t>6.2. Policy</w:t>
            </w:r>
            <w:r w:rsidR="00D764A8">
              <w:rPr>
                <w:noProof/>
                <w:webHidden/>
              </w:rPr>
              <w:tab/>
            </w:r>
            <w:r w:rsidR="00D764A8">
              <w:rPr>
                <w:noProof/>
                <w:webHidden/>
              </w:rPr>
              <w:fldChar w:fldCharType="begin"/>
            </w:r>
            <w:r w:rsidR="00D764A8">
              <w:rPr>
                <w:noProof/>
                <w:webHidden/>
              </w:rPr>
              <w:instrText xml:space="preserve"> PAGEREF _Toc131427730 \h </w:instrText>
            </w:r>
            <w:r w:rsidR="00D764A8">
              <w:rPr>
                <w:noProof/>
                <w:webHidden/>
              </w:rPr>
            </w:r>
            <w:r w:rsidR="00D764A8">
              <w:rPr>
                <w:noProof/>
                <w:webHidden/>
              </w:rPr>
              <w:fldChar w:fldCharType="separate"/>
            </w:r>
            <w:r w:rsidR="00D764A8">
              <w:rPr>
                <w:noProof/>
                <w:webHidden/>
              </w:rPr>
              <w:t>5</w:t>
            </w:r>
            <w:r w:rsidR="00D764A8">
              <w:rPr>
                <w:noProof/>
                <w:webHidden/>
              </w:rPr>
              <w:fldChar w:fldCharType="end"/>
            </w:r>
          </w:hyperlink>
        </w:p>
        <w:p w14:paraId="44B62EFE" w14:textId="3FDEECA9" w:rsidR="00D764A8" w:rsidRDefault="00F57D83">
          <w:pPr>
            <w:pStyle w:val="TOC2"/>
            <w:rPr>
              <w:rFonts w:asciiTheme="minorHAnsi" w:eastAsiaTheme="minorEastAsia" w:hAnsiTheme="minorHAnsi" w:cstheme="minorBidi"/>
              <w:noProof/>
              <w:lang w:eastAsia="en-AU"/>
            </w:rPr>
          </w:pPr>
          <w:hyperlink w:anchor="_Toc131427731" w:history="1">
            <w:r w:rsidR="00D764A8" w:rsidRPr="00C838A1">
              <w:rPr>
                <w:rStyle w:val="Hyperlink"/>
                <w:noProof/>
              </w:rPr>
              <w:t>6.3. Resources</w:t>
            </w:r>
            <w:r w:rsidR="00D764A8">
              <w:rPr>
                <w:noProof/>
                <w:webHidden/>
              </w:rPr>
              <w:tab/>
            </w:r>
            <w:r w:rsidR="00D764A8">
              <w:rPr>
                <w:noProof/>
                <w:webHidden/>
              </w:rPr>
              <w:fldChar w:fldCharType="begin"/>
            </w:r>
            <w:r w:rsidR="00D764A8">
              <w:rPr>
                <w:noProof/>
                <w:webHidden/>
              </w:rPr>
              <w:instrText xml:space="preserve"> PAGEREF _Toc131427731 \h </w:instrText>
            </w:r>
            <w:r w:rsidR="00D764A8">
              <w:rPr>
                <w:noProof/>
                <w:webHidden/>
              </w:rPr>
            </w:r>
            <w:r w:rsidR="00D764A8">
              <w:rPr>
                <w:noProof/>
                <w:webHidden/>
              </w:rPr>
              <w:fldChar w:fldCharType="separate"/>
            </w:r>
            <w:r w:rsidR="00D764A8">
              <w:rPr>
                <w:noProof/>
                <w:webHidden/>
              </w:rPr>
              <w:t>5</w:t>
            </w:r>
            <w:r w:rsidR="00D764A8">
              <w:rPr>
                <w:noProof/>
                <w:webHidden/>
              </w:rPr>
              <w:fldChar w:fldCharType="end"/>
            </w:r>
          </w:hyperlink>
        </w:p>
        <w:p w14:paraId="71AF4E6D" w14:textId="51E03419" w:rsidR="00964B22" w:rsidRPr="002F2780" w:rsidRDefault="006747E0" w:rsidP="00F37738">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F37738">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080E0AD8" w14:textId="69C50103" w:rsidR="00D20FF0" w:rsidRDefault="00AB669F" w:rsidP="00AB669F">
      <w:pPr>
        <w:rPr>
          <w:noProof/>
          <w:lang w:eastAsia="en-AU"/>
        </w:rPr>
      </w:pPr>
      <w:bookmarkStart w:id="0" w:name="_Toc47017112"/>
      <w:bookmarkStart w:id="1" w:name="_Toc48056780"/>
      <w:r>
        <w:rPr>
          <w:rFonts w:asciiTheme="minorHAnsi" w:hAnsiTheme="minorHAnsi" w:cs="Arial"/>
          <w:color w:val="000000"/>
          <w:lang w:val="en-US"/>
        </w:rPr>
        <w:lastRenderedPageBreak/>
        <w:t xml:space="preserve">This document should be read with </w:t>
      </w:r>
      <w:r w:rsidR="00D20FF0">
        <w:rPr>
          <w:rFonts w:asciiTheme="minorHAnsi" w:hAnsiTheme="minorHAnsi" w:cs="Arial"/>
          <w:color w:val="000000"/>
          <w:lang w:val="en-US"/>
        </w:rPr>
        <w:t>the</w:t>
      </w:r>
      <w:r w:rsidR="00D20FF0" w:rsidRPr="006A2736">
        <w:rPr>
          <w:rFonts w:asciiTheme="minorHAnsi" w:hAnsiTheme="minorHAnsi" w:cs="Arial"/>
          <w:color w:val="000000"/>
          <w:lang w:val="en-US"/>
        </w:rPr>
        <w:t xml:space="preserve"> </w:t>
      </w:r>
      <w:bookmarkEnd w:id="0"/>
      <w:bookmarkEnd w:id="1"/>
      <w:r w:rsidR="00103FA0" w:rsidRPr="002F2B7D">
        <w:t>Centre for Disease Control</w:t>
      </w:r>
      <w:r w:rsidR="008A5852">
        <w:rPr>
          <w:rFonts w:asciiTheme="minorHAnsi" w:hAnsiTheme="minorHAnsi" w:cs="Arial"/>
          <w:lang w:val="en-US"/>
        </w:rPr>
        <w:t>’s</w:t>
      </w:r>
      <w:r w:rsidR="007176BB">
        <w:rPr>
          <w:rFonts w:asciiTheme="minorHAnsi" w:hAnsiTheme="minorHAnsi" w:cs="Arial"/>
          <w:lang w:val="en-US"/>
        </w:rPr>
        <w:t xml:space="preserve"> </w:t>
      </w:r>
      <w:r w:rsidR="007176BB" w:rsidRPr="001D1071">
        <w:t xml:space="preserve">Time </w:t>
      </w:r>
      <w:r w:rsidR="00C34C1B" w:rsidRPr="001D1071">
        <w:t>Out</w:t>
      </w:r>
      <w:r w:rsidR="008A5852">
        <w:t xml:space="preserve"> fact sheet</w:t>
      </w:r>
      <w:r w:rsidR="000B2A80">
        <w:t>.</w:t>
      </w:r>
    </w:p>
    <w:p w14:paraId="308C0A91" w14:textId="27679F0E" w:rsidR="00C800F1" w:rsidRDefault="00E6382C" w:rsidP="00F37738">
      <w:pPr>
        <w:pStyle w:val="Heading1"/>
        <w:spacing w:before="0"/>
        <w:rPr>
          <w:noProof/>
          <w:lang w:eastAsia="en-AU"/>
        </w:rPr>
      </w:pPr>
      <w:bookmarkStart w:id="2" w:name="_Toc131427719"/>
      <w:r>
        <w:rPr>
          <w:noProof/>
          <w:lang w:eastAsia="en-AU"/>
        </w:rPr>
        <w:t>Policy</w:t>
      </w:r>
      <w:bookmarkEnd w:id="2"/>
    </w:p>
    <w:p w14:paraId="00F389A2" w14:textId="77777777" w:rsidR="00E6382C" w:rsidRPr="00867484" w:rsidRDefault="00E6382C" w:rsidP="00F37738">
      <w:pPr>
        <w:rPr>
          <w:lang w:eastAsia="en-AU"/>
        </w:rPr>
      </w:pPr>
      <w:r w:rsidRPr="00867484">
        <w:rPr>
          <w:lang w:eastAsia="en-AU"/>
        </w:rPr>
        <w:t>Schools must take all reasonable steps to prevent the spread of infectious disease.</w:t>
      </w:r>
    </w:p>
    <w:p w14:paraId="19F3BFE4" w14:textId="30B9F32F" w:rsidR="00E6382C" w:rsidRPr="00867484" w:rsidRDefault="00E6382C" w:rsidP="00F37738">
      <w:pPr>
        <w:rPr>
          <w:lang w:eastAsia="en-AU"/>
        </w:rPr>
      </w:pPr>
      <w:r w:rsidRPr="00867484">
        <w:rPr>
          <w:lang w:eastAsia="en-AU"/>
        </w:rPr>
        <w:t>Schools must follow the Centre for Disease Control</w:t>
      </w:r>
      <w:r w:rsidR="008A5852">
        <w:rPr>
          <w:lang w:eastAsia="en-AU"/>
        </w:rPr>
        <w:t>’s</w:t>
      </w:r>
      <w:r w:rsidRPr="00867484">
        <w:rPr>
          <w:lang w:eastAsia="en-AU"/>
        </w:rPr>
        <w:t xml:space="preserve"> Time </w:t>
      </w:r>
      <w:r w:rsidR="008A5852">
        <w:rPr>
          <w:lang w:eastAsia="en-AU"/>
        </w:rPr>
        <w:t>O</w:t>
      </w:r>
      <w:r w:rsidR="000B2A80" w:rsidRPr="00867484">
        <w:rPr>
          <w:lang w:eastAsia="en-AU"/>
        </w:rPr>
        <w:t xml:space="preserve">ut </w:t>
      </w:r>
      <w:r w:rsidRPr="00867484">
        <w:rPr>
          <w:lang w:eastAsia="en-AU"/>
        </w:rPr>
        <w:t xml:space="preserve">minimum periods of exclusion from school, preschool and childcare facilities for children or staff with, or exposed to, infection </w:t>
      </w:r>
      <w:r w:rsidR="00F37738" w:rsidRPr="00867484">
        <w:rPr>
          <w:lang w:eastAsia="en-AU"/>
        </w:rPr>
        <w:t>diseases</w:t>
      </w:r>
      <w:r w:rsidRPr="00867484">
        <w:rPr>
          <w:lang w:eastAsia="en-AU"/>
        </w:rPr>
        <w:t xml:space="preserve">. The Time </w:t>
      </w:r>
      <w:r w:rsidR="000B2A80" w:rsidRPr="00867484">
        <w:rPr>
          <w:lang w:eastAsia="en-AU"/>
        </w:rPr>
        <w:t xml:space="preserve">out </w:t>
      </w:r>
      <w:r w:rsidRPr="00867484">
        <w:rPr>
          <w:lang w:eastAsia="en-AU"/>
        </w:rPr>
        <w:t xml:space="preserve">advice is consistent with the Communicable </w:t>
      </w:r>
      <w:r w:rsidR="000B2A80" w:rsidRPr="00867484">
        <w:rPr>
          <w:lang w:eastAsia="en-AU"/>
        </w:rPr>
        <w:t xml:space="preserve">diseases network Australia’s series of national guidelines </w:t>
      </w:r>
      <w:r w:rsidRPr="00867484">
        <w:rPr>
          <w:lang w:eastAsia="en-AU"/>
        </w:rPr>
        <w:t>2019.</w:t>
      </w:r>
    </w:p>
    <w:p w14:paraId="37155A38" w14:textId="702B6A0A" w:rsidR="00E6382C" w:rsidRPr="00867484" w:rsidRDefault="00E6382C" w:rsidP="00F37738">
      <w:pPr>
        <w:rPr>
          <w:lang w:eastAsia="en-AU"/>
        </w:rPr>
      </w:pPr>
      <w:r w:rsidRPr="00867484">
        <w:rPr>
          <w:lang w:eastAsia="en-AU"/>
        </w:rPr>
        <w:t xml:space="preserve">The minimum periods on the Time </w:t>
      </w:r>
      <w:r w:rsidR="008A5852">
        <w:rPr>
          <w:lang w:eastAsia="en-AU"/>
        </w:rPr>
        <w:t>O</w:t>
      </w:r>
      <w:r w:rsidR="000B2A80" w:rsidRPr="00867484">
        <w:rPr>
          <w:lang w:eastAsia="en-AU"/>
        </w:rPr>
        <w:t xml:space="preserve">ut </w:t>
      </w:r>
      <w:r w:rsidR="008A5852">
        <w:rPr>
          <w:lang w:eastAsia="en-AU"/>
        </w:rPr>
        <w:t xml:space="preserve">fact sheet </w:t>
      </w:r>
      <w:r w:rsidRPr="00867484">
        <w:rPr>
          <w:lang w:eastAsia="en-AU"/>
        </w:rPr>
        <w:t>may be altered if a written letter is provided by a medical practitioner stating the child or staff member is able to return to school.</w:t>
      </w:r>
    </w:p>
    <w:p w14:paraId="4932EF82" w14:textId="47E51C45" w:rsidR="00E6382C" w:rsidRPr="00867484" w:rsidRDefault="00E6382C" w:rsidP="00F37738">
      <w:pPr>
        <w:rPr>
          <w:lang w:eastAsia="en-AU"/>
        </w:rPr>
      </w:pPr>
      <w:r w:rsidRPr="00867484">
        <w:rPr>
          <w:lang w:eastAsia="en-AU"/>
        </w:rPr>
        <w:t>It is recommended that parents and staff report these conditions to the school to ensure proper care of students and staff and to identify situations where there is potential for transmission. Confidentiality or privacy of medical information about an infected person should be observed at all times and in all situations.</w:t>
      </w:r>
    </w:p>
    <w:p w14:paraId="421B2DE9" w14:textId="690ADAC9" w:rsidR="00E6382C" w:rsidRPr="00867484" w:rsidRDefault="00E6382C" w:rsidP="00F37738">
      <w:pPr>
        <w:rPr>
          <w:lang w:eastAsia="en-AU"/>
        </w:rPr>
      </w:pPr>
      <w:r w:rsidRPr="00867484">
        <w:rPr>
          <w:lang w:eastAsia="en-AU"/>
        </w:rPr>
        <w:t xml:space="preserve">In relation to contact or collision sports, Sports Medicine Australia’s </w:t>
      </w:r>
      <w:r w:rsidRPr="00321E6A">
        <w:rPr>
          <w:lang w:eastAsia="en-AU"/>
        </w:rPr>
        <w:t xml:space="preserve">Infectious </w:t>
      </w:r>
      <w:r w:rsidR="00705247" w:rsidRPr="00321E6A">
        <w:rPr>
          <w:lang w:eastAsia="en-AU"/>
        </w:rPr>
        <w:t>d</w:t>
      </w:r>
      <w:r w:rsidRPr="00321E6A">
        <w:rPr>
          <w:lang w:eastAsia="en-AU"/>
        </w:rPr>
        <w:t xml:space="preserve">isease </w:t>
      </w:r>
      <w:r w:rsidR="00705247" w:rsidRPr="00321E6A">
        <w:rPr>
          <w:lang w:eastAsia="en-AU"/>
        </w:rPr>
        <w:t>p</w:t>
      </w:r>
      <w:r w:rsidRPr="00321E6A">
        <w:rPr>
          <w:lang w:eastAsia="en-AU"/>
        </w:rPr>
        <w:t>olicy</w:t>
      </w:r>
      <w:r w:rsidRPr="00867484">
        <w:rPr>
          <w:lang w:eastAsia="en-AU"/>
        </w:rPr>
        <w:t xml:space="preserve"> addresses the issue of infectious diseases and may be a useful guide for principals.</w:t>
      </w:r>
    </w:p>
    <w:p w14:paraId="721C5CF9" w14:textId="53985015" w:rsidR="00C800F1" w:rsidRPr="00867484" w:rsidRDefault="00E6382C" w:rsidP="00F37738">
      <w:pPr>
        <w:rPr>
          <w:lang w:eastAsia="en-AU"/>
        </w:rPr>
      </w:pPr>
      <w:r w:rsidRPr="00867484">
        <w:t xml:space="preserve">Where a school operates a preschool service or other education and care service regulated under the </w:t>
      </w:r>
      <w:r w:rsidRPr="00321E6A">
        <w:t>National Quality Framework for Early Childhood Education and Care,</w:t>
      </w:r>
      <w:r w:rsidRPr="00867484">
        <w:t xml:space="preserve"> they will provide </w:t>
      </w:r>
      <w:r w:rsidRPr="00867484">
        <w:rPr>
          <w:lang w:eastAsia="en-AU"/>
        </w:rPr>
        <w:t>notifications and display notices as outlined in the roles and responsibilities section of this policy</w:t>
      </w:r>
      <w:r w:rsidR="00E02631" w:rsidRPr="00867484">
        <w:rPr>
          <w:lang w:eastAsia="en-AU"/>
        </w:rPr>
        <w:t>.</w:t>
      </w:r>
    </w:p>
    <w:p w14:paraId="4527A8BA" w14:textId="592F814F" w:rsidR="00C800F1" w:rsidRDefault="00E6382C" w:rsidP="00F37738">
      <w:pPr>
        <w:pStyle w:val="Heading1"/>
        <w:spacing w:before="0"/>
        <w:rPr>
          <w:lang w:eastAsia="en-AU"/>
        </w:rPr>
      </w:pPr>
      <w:bookmarkStart w:id="3" w:name="_Toc131427720"/>
      <w:r>
        <w:rPr>
          <w:lang w:eastAsia="en-AU"/>
        </w:rPr>
        <w:t xml:space="preserve">Business </w:t>
      </w:r>
      <w:r w:rsidR="00635CD1">
        <w:rPr>
          <w:lang w:eastAsia="en-AU"/>
        </w:rPr>
        <w:t>n</w:t>
      </w:r>
      <w:r>
        <w:rPr>
          <w:lang w:eastAsia="en-AU"/>
        </w:rPr>
        <w:t>eed</w:t>
      </w:r>
      <w:bookmarkEnd w:id="3"/>
    </w:p>
    <w:p w14:paraId="6C523780" w14:textId="2A3B921B" w:rsidR="00E6382C" w:rsidRDefault="00E6382C" w:rsidP="00F37738">
      <w:pPr>
        <w:rPr>
          <w:lang w:eastAsia="en-AU"/>
        </w:rPr>
      </w:pPr>
      <w:r>
        <w:rPr>
          <w:lang w:eastAsia="en-AU"/>
        </w:rPr>
        <w:t>Schools have a duty of care to protect students and staff and reduce the likelihood of the spread of infection through the school and wider community.</w:t>
      </w:r>
    </w:p>
    <w:p w14:paraId="292807FC" w14:textId="5A349937" w:rsidR="00E6382C" w:rsidRDefault="00E6382C" w:rsidP="00F37738">
      <w:pPr>
        <w:rPr>
          <w:lang w:eastAsia="en-AU"/>
        </w:rPr>
      </w:pPr>
      <w:r>
        <w:rPr>
          <w:lang w:eastAsia="en-AU"/>
        </w:rPr>
        <w:t xml:space="preserve">In consultation with the Department of Health and the Centre for Disease Control, the Department of Education adopts the Time </w:t>
      </w:r>
      <w:r w:rsidR="00321E6A">
        <w:rPr>
          <w:lang w:eastAsia="en-AU"/>
        </w:rPr>
        <w:t xml:space="preserve">out </w:t>
      </w:r>
      <w:r>
        <w:rPr>
          <w:lang w:eastAsia="en-AU"/>
        </w:rPr>
        <w:t>information on minimum periods of exclusion from school, preschool and childcare facilities for children or staff with, or exposed to, infectious diseases.</w:t>
      </w:r>
    </w:p>
    <w:p w14:paraId="10ECA90D" w14:textId="417188BD" w:rsidR="0040306E" w:rsidRPr="00BD478E" w:rsidRDefault="00E6382C" w:rsidP="00F37738">
      <w:pPr>
        <w:pStyle w:val="BodyText"/>
        <w:spacing w:after="200"/>
      </w:pPr>
      <w:r w:rsidRPr="00EF2580">
        <w:t xml:space="preserve">Where a school operates a preschool service or other education and care service regulated under the </w:t>
      </w:r>
      <w:r w:rsidRPr="00321E6A">
        <w:t>National Quality Framework for Early Childhood Education and Care,</w:t>
      </w:r>
      <w:r w:rsidRPr="00EF2580">
        <w:t xml:space="preserve"> the department is obliged to ensure regulatory requirements are maintained at all times in accordance with the </w:t>
      </w:r>
      <w:r w:rsidRPr="00321E6A">
        <w:t>Education and Care Services National Law</w:t>
      </w:r>
      <w:r w:rsidR="00722E65">
        <w:t xml:space="preserve"> </w:t>
      </w:r>
      <w:r w:rsidRPr="00EF2580">
        <w:t xml:space="preserve">and </w:t>
      </w:r>
      <w:r w:rsidRPr="00321E6A">
        <w:t>Education and Care Services National Regulations</w:t>
      </w:r>
      <w:r w:rsidR="00321E6A" w:rsidRPr="00321E6A">
        <w:rPr>
          <w:rStyle w:val="Hyperlink"/>
          <w:color w:val="auto"/>
          <w:u w:val="none"/>
        </w:rPr>
        <w:t>.</w:t>
      </w:r>
    </w:p>
    <w:p w14:paraId="07AB70CD" w14:textId="66629A8F" w:rsidR="0040306E" w:rsidRDefault="00E6382C" w:rsidP="00F37738">
      <w:pPr>
        <w:pStyle w:val="Heading1"/>
        <w:spacing w:before="0"/>
        <w:rPr>
          <w:lang w:eastAsia="en-AU"/>
        </w:rPr>
      </w:pPr>
      <w:bookmarkStart w:id="4" w:name="_Toc131427721"/>
      <w:r>
        <w:rPr>
          <w:lang w:eastAsia="en-AU"/>
        </w:rPr>
        <w:t>Scope</w:t>
      </w:r>
      <w:bookmarkEnd w:id="4"/>
    </w:p>
    <w:p w14:paraId="0CD42CEB" w14:textId="386A3812" w:rsidR="00F24CB0" w:rsidRDefault="00E6382C" w:rsidP="00F37738">
      <w:pPr>
        <w:rPr>
          <w:lang w:eastAsia="en-AU"/>
        </w:rPr>
      </w:pPr>
      <w:r w:rsidRPr="00142A8D">
        <w:rPr>
          <w:lang w:eastAsia="en-AU"/>
        </w:rPr>
        <w:t>This policy applies to all government sch</w:t>
      </w:r>
      <w:r>
        <w:rPr>
          <w:lang w:eastAsia="en-AU"/>
        </w:rPr>
        <w:t>ools in the Northern Territory.</w:t>
      </w:r>
    </w:p>
    <w:p w14:paraId="0A6CF163" w14:textId="77777777" w:rsidR="00321E6A" w:rsidRPr="0040306E" w:rsidRDefault="00321E6A" w:rsidP="00321E6A">
      <w:pPr>
        <w:pStyle w:val="Heading1"/>
        <w:spacing w:before="0"/>
        <w:rPr>
          <w:lang w:val="en-US"/>
        </w:rPr>
      </w:pPr>
      <w:bookmarkStart w:id="5" w:name="_Toc131427722"/>
      <w:r>
        <w:rPr>
          <w:lang w:val="en-US"/>
        </w:rPr>
        <w:t>Roles and responsibilities</w:t>
      </w:r>
      <w:bookmarkEnd w:id="5"/>
    </w:p>
    <w:p w14:paraId="10752222" w14:textId="455E9A42" w:rsidR="00321E6A" w:rsidRDefault="00321E6A" w:rsidP="00D53ECE">
      <w:pPr>
        <w:pStyle w:val="Heading2"/>
      </w:pPr>
      <w:bookmarkStart w:id="6" w:name="_Toc48056790"/>
      <w:bookmarkStart w:id="7" w:name="_Toc131427723"/>
      <w:r>
        <w:t>Inclusion,</w:t>
      </w:r>
      <w:r w:rsidRPr="00722E65">
        <w:t xml:space="preserve"> Wellbeing </w:t>
      </w:r>
      <w:bookmarkEnd w:id="6"/>
      <w:r w:rsidRPr="00722E65">
        <w:t>Programs and Services</w:t>
      </w:r>
      <w:bookmarkEnd w:id="7"/>
    </w:p>
    <w:p w14:paraId="635F7A11" w14:textId="77777777" w:rsidR="00D53ECE" w:rsidRPr="00722E65" w:rsidRDefault="00D53ECE" w:rsidP="00D53ECE">
      <w:pPr>
        <w:spacing w:after="120"/>
        <w:rPr>
          <w:rFonts w:asciiTheme="minorHAnsi" w:hAnsiTheme="minorHAnsi"/>
          <w:bCs/>
          <w:lang w:eastAsia="en-AU"/>
        </w:rPr>
      </w:pPr>
      <w:r>
        <w:rPr>
          <w:rFonts w:asciiTheme="minorHAnsi" w:hAnsiTheme="minorHAnsi"/>
          <w:bCs/>
        </w:rPr>
        <w:t>Inclusion,</w:t>
      </w:r>
      <w:r w:rsidRPr="00722E65">
        <w:rPr>
          <w:rFonts w:asciiTheme="minorHAnsi" w:hAnsiTheme="minorHAnsi"/>
          <w:bCs/>
        </w:rPr>
        <w:t xml:space="preserve"> Wellbeing Programs and Services</w:t>
      </w:r>
      <w:r w:rsidRPr="00722E65">
        <w:rPr>
          <w:rFonts w:asciiTheme="minorHAnsi" w:hAnsiTheme="minorHAnsi"/>
          <w:bCs/>
          <w:lang w:eastAsia="en-AU"/>
        </w:rPr>
        <w:t xml:space="preserve"> is responsible for:</w:t>
      </w:r>
    </w:p>
    <w:p w14:paraId="78AB2A8B" w14:textId="77777777" w:rsidR="00321E6A" w:rsidRPr="00722E65" w:rsidRDefault="00321E6A" w:rsidP="00D53ECE">
      <w:pPr>
        <w:pStyle w:val="ListParagraph"/>
        <w:numPr>
          <w:ilvl w:val="0"/>
          <w:numId w:val="21"/>
        </w:numPr>
        <w:ind w:left="851" w:hanging="284"/>
        <w:rPr>
          <w:rFonts w:asciiTheme="minorHAnsi" w:hAnsiTheme="minorHAnsi"/>
          <w:bCs/>
          <w:lang w:eastAsia="en-AU"/>
        </w:rPr>
      </w:pPr>
      <w:r w:rsidRPr="00722E65">
        <w:rPr>
          <w:rFonts w:asciiTheme="minorHAnsi" w:hAnsiTheme="minorHAnsi"/>
          <w:bCs/>
          <w:lang w:eastAsia="en-AU"/>
        </w:rPr>
        <w:t>communicating the policy to school communities</w:t>
      </w:r>
    </w:p>
    <w:p w14:paraId="598C1F8A" w14:textId="77777777" w:rsidR="00321E6A" w:rsidRPr="00722E65" w:rsidRDefault="00321E6A" w:rsidP="00321E6A">
      <w:pPr>
        <w:pStyle w:val="ListParagraph"/>
        <w:numPr>
          <w:ilvl w:val="0"/>
          <w:numId w:val="21"/>
        </w:numPr>
        <w:spacing w:after="200"/>
        <w:ind w:left="851" w:hanging="284"/>
        <w:rPr>
          <w:rFonts w:asciiTheme="minorHAnsi" w:hAnsiTheme="minorHAnsi"/>
          <w:bCs/>
          <w:lang w:eastAsia="en-AU"/>
        </w:rPr>
      </w:pPr>
      <w:r w:rsidRPr="00722E65">
        <w:rPr>
          <w:rFonts w:asciiTheme="minorHAnsi" w:hAnsiTheme="minorHAnsi"/>
          <w:bCs/>
          <w:lang w:eastAsia="en-AU"/>
        </w:rPr>
        <w:t>facilitating professional learning in association with relevant allied health associations</w:t>
      </w:r>
      <w:r>
        <w:rPr>
          <w:rFonts w:asciiTheme="minorHAnsi" w:hAnsiTheme="minorHAnsi"/>
          <w:bCs/>
          <w:lang w:eastAsia="en-AU"/>
        </w:rPr>
        <w:t xml:space="preserve"> and </w:t>
      </w:r>
      <w:r w:rsidRPr="00722E65">
        <w:rPr>
          <w:rFonts w:asciiTheme="minorHAnsi" w:hAnsiTheme="minorHAnsi"/>
          <w:bCs/>
          <w:lang w:eastAsia="en-AU"/>
        </w:rPr>
        <w:t>professionals for schools that require assistance.</w:t>
      </w:r>
    </w:p>
    <w:p w14:paraId="6FA2D383" w14:textId="1BAD447A" w:rsidR="00321E6A" w:rsidRPr="00D53ECE" w:rsidRDefault="00321E6A" w:rsidP="00D53ECE">
      <w:pPr>
        <w:pStyle w:val="Heading2"/>
        <w:rPr>
          <w:rStyle w:val="Heading4Char"/>
          <w:bCs/>
          <w:iCs/>
          <w:sz w:val="32"/>
        </w:rPr>
      </w:pPr>
      <w:bookmarkStart w:id="8" w:name="_Toc131427724"/>
      <w:r w:rsidRPr="00D53ECE">
        <w:lastRenderedPageBreak/>
        <w:t>School Operations</w:t>
      </w:r>
      <w:bookmarkEnd w:id="8"/>
    </w:p>
    <w:p w14:paraId="1BEDD725" w14:textId="6128CCF1" w:rsidR="00D53ECE" w:rsidRPr="004F4182" w:rsidRDefault="00D53ECE" w:rsidP="00D53ECE">
      <w:pPr>
        <w:spacing w:after="120"/>
        <w:rPr>
          <w:rFonts w:asciiTheme="minorHAnsi" w:hAnsiTheme="minorHAnsi"/>
          <w:bCs/>
          <w:lang w:eastAsia="en-AU"/>
        </w:rPr>
      </w:pPr>
      <w:r w:rsidRPr="004F4182">
        <w:rPr>
          <w:rFonts w:asciiTheme="minorHAnsi" w:hAnsiTheme="minorHAnsi"/>
          <w:bCs/>
        </w:rPr>
        <w:t>Director School Operations</w:t>
      </w:r>
      <w:r w:rsidRPr="004F4182">
        <w:rPr>
          <w:rStyle w:val="Heading4Char"/>
          <w:rFonts w:asciiTheme="minorHAnsi" w:hAnsiTheme="minorHAnsi"/>
          <w:bCs w:val="0"/>
          <w:color w:val="auto"/>
          <w:sz w:val="22"/>
        </w:rPr>
        <w:t xml:space="preserve"> </w:t>
      </w:r>
      <w:r w:rsidRPr="004F4182">
        <w:rPr>
          <w:rFonts w:asciiTheme="minorHAnsi" w:hAnsiTheme="minorHAnsi"/>
          <w:bCs/>
        </w:rPr>
        <w:t>is responsible for:</w:t>
      </w:r>
    </w:p>
    <w:p w14:paraId="54993563" w14:textId="0E6766CD" w:rsidR="00321E6A" w:rsidRPr="004F4182" w:rsidRDefault="00321E6A" w:rsidP="00D53ECE">
      <w:pPr>
        <w:pStyle w:val="ListParagraph"/>
        <w:numPr>
          <w:ilvl w:val="0"/>
          <w:numId w:val="22"/>
        </w:numPr>
        <w:spacing w:after="200"/>
        <w:ind w:left="851" w:hanging="284"/>
        <w:rPr>
          <w:rFonts w:asciiTheme="minorHAnsi" w:hAnsiTheme="minorHAnsi"/>
          <w:bCs/>
          <w:lang w:eastAsia="en-AU"/>
        </w:rPr>
      </w:pPr>
      <w:r w:rsidRPr="004F4182">
        <w:rPr>
          <w:rFonts w:asciiTheme="minorHAnsi" w:hAnsiTheme="minorHAnsi"/>
          <w:bCs/>
          <w:lang w:eastAsia="en-AU"/>
        </w:rPr>
        <w:t>ensuring schools comply with this policy</w:t>
      </w:r>
      <w:r w:rsidR="00A40DCC">
        <w:rPr>
          <w:rFonts w:asciiTheme="minorHAnsi" w:hAnsiTheme="minorHAnsi"/>
          <w:bCs/>
          <w:lang w:eastAsia="en-AU"/>
        </w:rPr>
        <w:t>.</w:t>
      </w:r>
    </w:p>
    <w:p w14:paraId="14A1E6EB" w14:textId="469C319A" w:rsidR="00321E6A" w:rsidRDefault="00321E6A" w:rsidP="00D53ECE">
      <w:pPr>
        <w:pStyle w:val="Heading2"/>
      </w:pPr>
      <w:bookmarkStart w:id="9" w:name="_Toc48056792"/>
      <w:bookmarkStart w:id="10" w:name="_Hlk48055919"/>
      <w:bookmarkStart w:id="11" w:name="_Toc131427725"/>
      <w:r w:rsidRPr="00722E65">
        <w:t>Principals</w:t>
      </w:r>
      <w:bookmarkEnd w:id="9"/>
      <w:bookmarkEnd w:id="10"/>
      <w:bookmarkEnd w:id="11"/>
    </w:p>
    <w:p w14:paraId="22247195" w14:textId="19BFFF04" w:rsidR="00321E6A" w:rsidRPr="00722E65" w:rsidRDefault="00D53ECE" w:rsidP="00D53ECE">
      <w:pPr>
        <w:spacing w:after="120"/>
        <w:rPr>
          <w:rFonts w:asciiTheme="minorHAnsi" w:hAnsiTheme="minorHAnsi"/>
          <w:bCs/>
        </w:rPr>
      </w:pPr>
      <w:r w:rsidRPr="00722E65">
        <w:rPr>
          <w:rFonts w:asciiTheme="minorHAnsi" w:hAnsiTheme="minorHAnsi"/>
          <w:bCs/>
        </w:rPr>
        <w:t>Principals</w:t>
      </w:r>
      <w:r w:rsidRPr="00722E65">
        <w:rPr>
          <w:rStyle w:val="Heading4Char"/>
          <w:rFonts w:asciiTheme="minorHAnsi" w:hAnsiTheme="minorHAnsi"/>
          <w:bCs w:val="0"/>
          <w:sz w:val="22"/>
        </w:rPr>
        <w:t xml:space="preserve"> </w:t>
      </w:r>
      <w:r w:rsidRPr="00722E65">
        <w:rPr>
          <w:rFonts w:asciiTheme="minorHAnsi" w:hAnsiTheme="minorHAnsi"/>
          <w:bCs/>
          <w:lang w:eastAsia="en-AU"/>
        </w:rPr>
        <w:t>are responsible for ensuring school staff are aware and comply with this policy.</w:t>
      </w:r>
      <w:r>
        <w:rPr>
          <w:rFonts w:asciiTheme="minorHAnsi" w:hAnsiTheme="minorHAnsi"/>
          <w:bCs/>
          <w:lang w:eastAsia="en-AU"/>
        </w:rPr>
        <w:t xml:space="preserve"> </w:t>
      </w:r>
      <w:bookmarkStart w:id="12" w:name="_Toc48056793"/>
      <w:r w:rsidR="00321E6A" w:rsidRPr="00722E65">
        <w:rPr>
          <w:rFonts w:asciiTheme="minorHAnsi" w:hAnsiTheme="minorHAnsi"/>
          <w:bCs/>
        </w:rPr>
        <w:t>Principals responsible for preschools</w:t>
      </w:r>
      <w:bookmarkEnd w:id="12"/>
      <w:r w:rsidR="00321E6A" w:rsidRPr="00722E65">
        <w:rPr>
          <w:rFonts w:asciiTheme="minorHAnsi" w:hAnsiTheme="minorHAnsi"/>
          <w:bCs/>
        </w:rPr>
        <w:t xml:space="preserve"> shall also ensure that where there is an occurrence of an infectious disease at a preschool which requires that the person with the disease be excluded from the preschool:</w:t>
      </w:r>
    </w:p>
    <w:p w14:paraId="6B261B0C" w14:textId="77777777" w:rsidR="00321E6A" w:rsidRPr="00722E65" w:rsidRDefault="00321E6A" w:rsidP="00D53ECE">
      <w:pPr>
        <w:pStyle w:val="ListParagraph"/>
        <w:numPr>
          <w:ilvl w:val="0"/>
          <w:numId w:val="23"/>
        </w:numPr>
        <w:ind w:left="851" w:hanging="284"/>
        <w:rPr>
          <w:rFonts w:asciiTheme="minorHAnsi" w:hAnsiTheme="minorHAnsi"/>
          <w:bCs/>
          <w:lang w:eastAsia="en-AU"/>
        </w:rPr>
      </w:pPr>
      <w:r w:rsidRPr="00722E65">
        <w:rPr>
          <w:rFonts w:asciiTheme="minorHAnsi" w:hAnsiTheme="minorHAnsi"/>
          <w:bCs/>
          <w:lang w:eastAsia="en-AU"/>
        </w:rPr>
        <w:t>all parents of students attending the preschool are notified of the occurrence of an infectious disease in the preschool</w:t>
      </w:r>
    </w:p>
    <w:p w14:paraId="2FE884DC" w14:textId="77777777" w:rsidR="00321E6A" w:rsidRPr="00722E65" w:rsidRDefault="00321E6A" w:rsidP="00D53ECE">
      <w:pPr>
        <w:pStyle w:val="ListParagraph"/>
        <w:numPr>
          <w:ilvl w:val="0"/>
          <w:numId w:val="23"/>
        </w:numPr>
        <w:spacing w:after="200"/>
        <w:ind w:left="851" w:hanging="284"/>
        <w:rPr>
          <w:rFonts w:asciiTheme="minorHAnsi" w:hAnsiTheme="minorHAnsi"/>
          <w:bCs/>
          <w:lang w:eastAsia="en-AU"/>
        </w:rPr>
      </w:pPr>
      <w:r w:rsidRPr="00722E65">
        <w:rPr>
          <w:rFonts w:asciiTheme="minorHAnsi" w:hAnsiTheme="minorHAnsi"/>
          <w:bCs/>
          <w:lang w:eastAsia="en-AU"/>
        </w:rPr>
        <w:t xml:space="preserve">a notice </w:t>
      </w:r>
      <w:r>
        <w:rPr>
          <w:rFonts w:asciiTheme="minorHAnsi" w:hAnsiTheme="minorHAnsi"/>
          <w:bCs/>
          <w:lang w:eastAsia="en-AU"/>
        </w:rPr>
        <w:t xml:space="preserve">is displayed </w:t>
      </w:r>
      <w:r w:rsidRPr="00722E65">
        <w:rPr>
          <w:rFonts w:asciiTheme="minorHAnsi" w:hAnsiTheme="minorHAnsi"/>
          <w:bCs/>
          <w:lang w:eastAsia="en-AU"/>
        </w:rPr>
        <w:t>within the preschool stating that there has been an occurrence of an infectious disease at the premises.</w:t>
      </w:r>
    </w:p>
    <w:p w14:paraId="063DBC2D" w14:textId="48D832AC" w:rsidR="00321E6A" w:rsidRDefault="00321E6A" w:rsidP="00D53ECE">
      <w:pPr>
        <w:pStyle w:val="Heading2"/>
      </w:pPr>
      <w:bookmarkStart w:id="13" w:name="_Toc131427726"/>
      <w:r w:rsidRPr="00722E65">
        <w:t>Parents and staff</w:t>
      </w:r>
      <w:bookmarkEnd w:id="13"/>
    </w:p>
    <w:p w14:paraId="182CF40B" w14:textId="77777777" w:rsidR="00D53ECE" w:rsidRPr="00722E65" w:rsidRDefault="00D53ECE" w:rsidP="00D53ECE">
      <w:pPr>
        <w:pStyle w:val="ListParagraph"/>
        <w:rPr>
          <w:rFonts w:asciiTheme="minorHAnsi" w:hAnsiTheme="minorHAnsi"/>
          <w:bCs/>
          <w:lang w:eastAsia="en-AU"/>
        </w:rPr>
      </w:pPr>
      <w:r w:rsidRPr="00722E65">
        <w:rPr>
          <w:rFonts w:asciiTheme="minorHAnsi" w:eastAsiaTheme="majorEastAsia" w:hAnsiTheme="minorHAnsi" w:cstheme="majorBidi"/>
          <w:bCs/>
        </w:rPr>
        <w:t xml:space="preserve">Parents and staff </w:t>
      </w:r>
      <w:r w:rsidRPr="00722E65">
        <w:rPr>
          <w:rFonts w:asciiTheme="minorHAnsi" w:hAnsiTheme="minorHAnsi"/>
          <w:bCs/>
          <w:lang w:eastAsia="en-AU"/>
        </w:rPr>
        <w:t>are responsible for:</w:t>
      </w:r>
    </w:p>
    <w:p w14:paraId="0968AC12" w14:textId="38496844" w:rsidR="00321E6A" w:rsidRPr="00722E65" w:rsidRDefault="00321E6A" w:rsidP="00D53ECE">
      <w:pPr>
        <w:pStyle w:val="ListParagraph"/>
        <w:numPr>
          <w:ilvl w:val="0"/>
          <w:numId w:val="23"/>
        </w:numPr>
        <w:ind w:left="851" w:hanging="284"/>
        <w:rPr>
          <w:rFonts w:asciiTheme="minorHAnsi" w:hAnsiTheme="minorHAnsi"/>
          <w:lang w:eastAsia="en-AU"/>
        </w:rPr>
      </w:pPr>
      <w:r w:rsidRPr="00722E65">
        <w:rPr>
          <w:rFonts w:asciiTheme="minorHAnsi" w:hAnsiTheme="minorHAnsi"/>
          <w:lang w:eastAsia="en-AU"/>
        </w:rPr>
        <w:t xml:space="preserve">following the specified period of time outlined in the </w:t>
      </w:r>
      <w:r w:rsidR="00D53ECE">
        <w:rPr>
          <w:rFonts w:asciiTheme="minorHAnsi" w:hAnsiTheme="minorHAnsi"/>
          <w:lang w:eastAsia="en-AU"/>
        </w:rPr>
        <w:t>T</w:t>
      </w:r>
      <w:r w:rsidR="00D53ECE" w:rsidRPr="00722E65">
        <w:rPr>
          <w:rFonts w:asciiTheme="minorHAnsi" w:hAnsiTheme="minorHAnsi"/>
          <w:lang w:eastAsia="en-AU"/>
        </w:rPr>
        <w:t xml:space="preserve">ime </w:t>
      </w:r>
      <w:r>
        <w:rPr>
          <w:rFonts w:asciiTheme="minorHAnsi" w:hAnsiTheme="minorHAnsi"/>
          <w:lang w:eastAsia="en-AU"/>
        </w:rPr>
        <w:t>o</w:t>
      </w:r>
      <w:r w:rsidRPr="00722E65">
        <w:rPr>
          <w:rFonts w:asciiTheme="minorHAnsi" w:hAnsiTheme="minorHAnsi"/>
          <w:lang w:eastAsia="en-AU"/>
        </w:rPr>
        <w:t>ut factsheet that children and staff must remain away from school if diagnosed with an infectious disease</w:t>
      </w:r>
    </w:p>
    <w:p w14:paraId="0F9DD7FA" w14:textId="17241B93" w:rsidR="00321E6A" w:rsidRPr="00722E65" w:rsidRDefault="00321E6A" w:rsidP="00D53ECE">
      <w:pPr>
        <w:pStyle w:val="ListParagraph"/>
        <w:numPr>
          <w:ilvl w:val="0"/>
          <w:numId w:val="23"/>
        </w:numPr>
        <w:spacing w:after="200"/>
        <w:ind w:left="851" w:hanging="284"/>
        <w:rPr>
          <w:rFonts w:asciiTheme="minorHAnsi" w:hAnsiTheme="minorHAnsi"/>
          <w:b/>
        </w:rPr>
      </w:pPr>
      <w:r w:rsidRPr="00722E65">
        <w:rPr>
          <w:rFonts w:asciiTheme="minorHAnsi" w:hAnsiTheme="minorHAnsi"/>
          <w:lang w:eastAsia="en-AU"/>
        </w:rPr>
        <w:t>supply a medical certificate to cover the time the student or staff member will be absent from school.</w:t>
      </w:r>
    </w:p>
    <w:p w14:paraId="6DCBA9AB" w14:textId="56DBA5F2" w:rsidR="0040306E" w:rsidRDefault="00166B21" w:rsidP="00F37738">
      <w:pPr>
        <w:pStyle w:val="Heading1"/>
        <w:spacing w:before="0"/>
        <w:rPr>
          <w:lang w:eastAsia="en-AU"/>
        </w:rPr>
      </w:pPr>
      <w:bookmarkStart w:id="14" w:name="_Toc131427727"/>
      <w:r>
        <w:rPr>
          <w:lang w:eastAsia="en-AU"/>
        </w:rPr>
        <w:t>Definitions</w:t>
      </w:r>
      <w:bookmarkEnd w:id="14"/>
    </w:p>
    <w:tbl>
      <w:tblPr>
        <w:tblStyle w:val="NTGtable1"/>
        <w:tblW w:w="0" w:type="auto"/>
        <w:tblLook w:val="04A0" w:firstRow="1" w:lastRow="0" w:firstColumn="1" w:lastColumn="0" w:noHBand="0" w:noVBand="1"/>
      </w:tblPr>
      <w:tblGrid>
        <w:gridCol w:w="1980"/>
        <w:gridCol w:w="8328"/>
      </w:tblGrid>
      <w:tr w:rsidR="00317A01" w14:paraId="267109A7" w14:textId="77777777" w:rsidTr="00D53EC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1F1F5F" w:themeColor="text1"/>
              <w:bottom w:val="single" w:sz="4" w:space="0" w:color="auto"/>
            </w:tcBorders>
            <w:tcMar>
              <w:top w:w="57" w:type="dxa"/>
              <w:bottom w:w="57" w:type="dxa"/>
            </w:tcMar>
            <w:vAlign w:val="top"/>
          </w:tcPr>
          <w:p w14:paraId="68D1ADE4" w14:textId="691F347D" w:rsidR="00317A01" w:rsidRPr="00024B50" w:rsidRDefault="00317A01" w:rsidP="00D53ECE">
            <w:pPr>
              <w:spacing w:before="0" w:after="0"/>
              <w:rPr>
                <w:bCs/>
              </w:rPr>
            </w:pPr>
            <w:bookmarkStart w:id="15" w:name="_Toc48056786"/>
            <w:r w:rsidRPr="00024B50">
              <w:rPr>
                <w:bCs/>
              </w:rPr>
              <w:t>Term</w:t>
            </w:r>
          </w:p>
        </w:tc>
        <w:tc>
          <w:tcPr>
            <w:tcW w:w="8328" w:type="dxa"/>
            <w:tcBorders>
              <w:top w:val="single" w:sz="4" w:space="0" w:color="1F1F5F" w:themeColor="text1"/>
              <w:bottom w:val="single" w:sz="4" w:space="0" w:color="auto"/>
            </w:tcBorders>
            <w:tcMar>
              <w:top w:w="57" w:type="dxa"/>
              <w:bottom w:w="57" w:type="dxa"/>
            </w:tcMar>
            <w:vAlign w:val="top"/>
          </w:tcPr>
          <w:p w14:paraId="4F08FA24" w14:textId="05077323" w:rsidR="00317A01" w:rsidRPr="00024B50" w:rsidRDefault="00317A01" w:rsidP="00D53ECE">
            <w:pPr>
              <w:spacing w:before="0" w:after="0"/>
              <w:cnfStyle w:val="100000000000" w:firstRow="1" w:lastRow="0" w:firstColumn="0" w:lastColumn="0" w:oddVBand="0" w:evenVBand="0" w:oddHBand="0" w:evenHBand="0" w:firstRowFirstColumn="0" w:firstRowLastColumn="0" w:lastRowFirstColumn="0" w:lastRowLastColumn="0"/>
              <w:rPr>
                <w:bCs/>
              </w:rPr>
            </w:pPr>
            <w:r w:rsidRPr="00024B50">
              <w:rPr>
                <w:bCs/>
              </w:rPr>
              <w:t>Definition</w:t>
            </w:r>
          </w:p>
        </w:tc>
      </w:tr>
      <w:tr w:rsidR="00317A01" w14:paraId="2160C486" w14:textId="77777777" w:rsidTr="00D53ECE">
        <w:trPr>
          <w:trHeight w:val="22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Mar>
              <w:top w:w="57" w:type="dxa"/>
              <w:bottom w:w="57" w:type="dxa"/>
            </w:tcMar>
            <w:vAlign w:val="top"/>
          </w:tcPr>
          <w:p w14:paraId="598C0596" w14:textId="452E35CE" w:rsidR="00317A01" w:rsidRPr="00317A01" w:rsidRDefault="00317A01" w:rsidP="00D53ECE">
            <w:pPr>
              <w:spacing w:before="0" w:after="0"/>
              <w:rPr>
                <w:bCs/>
              </w:rPr>
            </w:pPr>
            <w:r w:rsidRPr="00317A01">
              <w:rPr>
                <w:bCs/>
              </w:rPr>
              <w:t>Exclusion period</w:t>
            </w:r>
          </w:p>
        </w:tc>
        <w:tc>
          <w:tcPr>
            <w:tcW w:w="8328" w:type="dxa"/>
            <w:tcBorders>
              <w:top w:val="single" w:sz="4" w:space="0" w:color="auto"/>
            </w:tcBorders>
            <w:tcMar>
              <w:top w:w="57" w:type="dxa"/>
              <w:bottom w:w="57" w:type="dxa"/>
            </w:tcMar>
            <w:vAlign w:val="top"/>
          </w:tcPr>
          <w:p w14:paraId="6BBF34FD" w14:textId="4576B84D" w:rsidR="00317A01" w:rsidRPr="00317A01" w:rsidRDefault="00317A01" w:rsidP="00D53ECE">
            <w:pPr>
              <w:spacing w:before="0" w:after="0"/>
              <w:cnfStyle w:val="000000000000" w:firstRow="0" w:lastRow="0" w:firstColumn="0" w:lastColumn="0" w:oddVBand="0" w:evenVBand="0" w:oddHBand="0" w:evenHBand="0" w:firstRowFirstColumn="0" w:firstRowLastColumn="0" w:lastRowFirstColumn="0" w:lastRowLastColumn="0"/>
              <w:rPr>
                <w:lang w:eastAsia="en-AU"/>
              </w:rPr>
            </w:pPr>
            <w:r w:rsidRPr="00317A01">
              <w:rPr>
                <w:bCs/>
              </w:rPr>
              <w:t>Exclusion period</w:t>
            </w:r>
            <w:r w:rsidRPr="00317A01">
              <w:rPr>
                <w:bCs/>
                <w:lang w:eastAsia="en-AU"/>
              </w:rPr>
              <w:t xml:space="preserve"> is a</w:t>
            </w:r>
            <w:r>
              <w:rPr>
                <w:lang w:eastAsia="en-AU"/>
              </w:rPr>
              <w:t xml:space="preserve"> specified period of time that a student or staff member must remain away from school.</w:t>
            </w:r>
          </w:p>
        </w:tc>
      </w:tr>
      <w:tr w:rsidR="00317A01" w14:paraId="7117A398" w14:textId="77777777" w:rsidTr="00D53EC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vAlign w:val="top"/>
          </w:tcPr>
          <w:p w14:paraId="2D8F3051" w14:textId="1F140F05" w:rsidR="00317A01" w:rsidRPr="00317A01" w:rsidRDefault="00317A01" w:rsidP="00D53ECE">
            <w:pPr>
              <w:spacing w:before="0" w:after="0"/>
              <w:rPr>
                <w:bCs/>
              </w:rPr>
            </w:pPr>
            <w:r w:rsidRPr="00317A01">
              <w:rPr>
                <w:bCs/>
              </w:rPr>
              <w:t>Infectious diseases</w:t>
            </w:r>
          </w:p>
        </w:tc>
        <w:tc>
          <w:tcPr>
            <w:tcW w:w="8328" w:type="dxa"/>
            <w:tcMar>
              <w:top w:w="57" w:type="dxa"/>
              <w:bottom w:w="57" w:type="dxa"/>
            </w:tcMar>
            <w:vAlign w:val="top"/>
          </w:tcPr>
          <w:p w14:paraId="693D55F6" w14:textId="1F04FB95" w:rsidR="00317A01" w:rsidRPr="00317A01" w:rsidRDefault="00317A01" w:rsidP="00D53ECE">
            <w:pPr>
              <w:spacing w:before="0" w:after="0"/>
              <w:cnfStyle w:val="000000010000" w:firstRow="0" w:lastRow="0" w:firstColumn="0" w:lastColumn="0" w:oddVBand="0" w:evenVBand="0" w:oddHBand="0" w:evenHBand="1" w:firstRowFirstColumn="0" w:firstRowLastColumn="0" w:lastRowFirstColumn="0" w:lastRowLastColumn="0"/>
              <w:rPr>
                <w:bCs/>
              </w:rPr>
            </w:pPr>
            <w:r w:rsidRPr="00317A01">
              <w:rPr>
                <w:bCs/>
              </w:rPr>
              <w:t>Infectious diseases</w:t>
            </w:r>
            <w:r w:rsidRPr="00317A01">
              <w:rPr>
                <w:bCs/>
                <w:lang w:eastAsia="en-AU"/>
              </w:rPr>
              <w:t xml:space="preserve"> are those diseases that are caused by an infectious agent, including those that can be transmitted by human</w:t>
            </w:r>
            <w:r w:rsidR="00D53ECE">
              <w:rPr>
                <w:bCs/>
                <w:lang w:eastAsia="en-AU"/>
              </w:rPr>
              <w:t xml:space="preserve"> </w:t>
            </w:r>
            <w:r w:rsidRPr="00317A01">
              <w:rPr>
                <w:bCs/>
                <w:lang w:eastAsia="en-AU"/>
              </w:rPr>
              <w:t>to</w:t>
            </w:r>
            <w:r w:rsidR="00D53ECE">
              <w:rPr>
                <w:bCs/>
                <w:lang w:eastAsia="en-AU"/>
              </w:rPr>
              <w:t xml:space="preserve"> </w:t>
            </w:r>
            <w:r w:rsidRPr="00317A01">
              <w:rPr>
                <w:bCs/>
                <w:lang w:eastAsia="en-AU"/>
              </w:rPr>
              <w:t xml:space="preserve">human contact, such as the conditions listed on the Centre for Disease Control’s </w:t>
            </w:r>
            <w:r w:rsidR="00D53ECE">
              <w:rPr>
                <w:bCs/>
                <w:lang w:eastAsia="en-AU"/>
              </w:rPr>
              <w:t>T</w:t>
            </w:r>
            <w:r w:rsidR="00D53ECE" w:rsidRPr="00317A01">
              <w:rPr>
                <w:bCs/>
                <w:lang w:eastAsia="en-AU"/>
              </w:rPr>
              <w:t xml:space="preserve">ime </w:t>
            </w:r>
            <w:r w:rsidR="00FF40CE">
              <w:rPr>
                <w:bCs/>
                <w:lang w:eastAsia="en-AU"/>
              </w:rPr>
              <w:t>o</w:t>
            </w:r>
            <w:r w:rsidRPr="00317A01">
              <w:rPr>
                <w:bCs/>
                <w:lang w:eastAsia="en-AU"/>
              </w:rPr>
              <w:t>ut factsheet.</w:t>
            </w:r>
          </w:p>
        </w:tc>
      </w:tr>
      <w:tr w:rsidR="00317A01" w14:paraId="5E79AC1A" w14:textId="77777777" w:rsidTr="00D53ECE">
        <w:trPr>
          <w:trHeight w:val="227"/>
        </w:trPr>
        <w:tc>
          <w:tcPr>
            <w:cnfStyle w:val="001000000000" w:firstRow="0" w:lastRow="0" w:firstColumn="1" w:lastColumn="0" w:oddVBand="0" w:evenVBand="0" w:oddHBand="0" w:evenHBand="0" w:firstRowFirstColumn="0" w:firstRowLastColumn="0" w:lastRowFirstColumn="0" w:lastRowLastColumn="0"/>
            <w:tcW w:w="1980" w:type="dxa"/>
            <w:tcMar>
              <w:top w:w="57" w:type="dxa"/>
              <w:bottom w:w="57" w:type="dxa"/>
            </w:tcMar>
            <w:vAlign w:val="top"/>
          </w:tcPr>
          <w:p w14:paraId="390D2756" w14:textId="2C28F163" w:rsidR="00317A01" w:rsidRPr="00317A01" w:rsidRDefault="00317A01" w:rsidP="00D53ECE">
            <w:pPr>
              <w:spacing w:before="0" w:after="0"/>
              <w:rPr>
                <w:bCs/>
              </w:rPr>
            </w:pPr>
            <w:r w:rsidRPr="00317A01">
              <w:rPr>
                <w:bCs/>
              </w:rPr>
              <w:t>Parent</w:t>
            </w:r>
          </w:p>
        </w:tc>
        <w:tc>
          <w:tcPr>
            <w:tcW w:w="8328" w:type="dxa"/>
            <w:tcMar>
              <w:top w:w="57" w:type="dxa"/>
              <w:bottom w:w="57" w:type="dxa"/>
            </w:tcMar>
            <w:vAlign w:val="top"/>
          </w:tcPr>
          <w:p w14:paraId="48AAE0AA" w14:textId="2F020CDF" w:rsidR="00317A01" w:rsidRPr="00317A01" w:rsidRDefault="00F61EFF" w:rsidP="00D53ECE">
            <w:pPr>
              <w:spacing w:before="0" w:after="0"/>
              <w:cnfStyle w:val="000000000000" w:firstRow="0" w:lastRow="0" w:firstColumn="0" w:lastColumn="0" w:oddVBand="0" w:evenVBand="0" w:oddHBand="0" w:evenHBand="0" w:firstRowFirstColumn="0" w:firstRowLastColumn="0" w:lastRowFirstColumn="0" w:lastRowLastColumn="0"/>
              <w:rPr>
                <w:bCs/>
              </w:rPr>
            </w:pPr>
            <w:r w:rsidRPr="00F61EFF">
              <w:rPr>
                <w:bCs/>
              </w:rPr>
              <w:t>Parent means a child’s father, mother or any other person who has parental responsibility for that child, including a person who is regarded as a parent of the child under Aboriginal or Torres Strait Islander customary law or tradition. The definition of a parent does not include a person standing in place of the parent on a temporary basis.</w:t>
            </w:r>
          </w:p>
        </w:tc>
      </w:tr>
    </w:tbl>
    <w:p w14:paraId="078DFDD3" w14:textId="6801FE7C" w:rsidR="0040306E" w:rsidRPr="00321E6A" w:rsidRDefault="00166B21" w:rsidP="00321E6A">
      <w:pPr>
        <w:pStyle w:val="Heading1"/>
      </w:pPr>
      <w:bookmarkStart w:id="16" w:name="_Toc131427728"/>
      <w:bookmarkEnd w:id="15"/>
      <w:r w:rsidRPr="00321E6A">
        <w:t>Related legislation</w:t>
      </w:r>
      <w:r w:rsidR="00321E6A" w:rsidRPr="00321E6A">
        <w:t>, policy</w:t>
      </w:r>
      <w:r w:rsidRPr="00321E6A">
        <w:t xml:space="preserve"> and resources</w:t>
      </w:r>
      <w:bookmarkEnd w:id="16"/>
    </w:p>
    <w:p w14:paraId="45CD1709" w14:textId="77777777" w:rsidR="00321E6A" w:rsidRDefault="00321E6A" w:rsidP="00321E6A">
      <w:pPr>
        <w:pStyle w:val="Heading2"/>
        <w:spacing w:before="0"/>
        <w:rPr>
          <w:rFonts w:eastAsia="Calibri"/>
        </w:rPr>
      </w:pPr>
      <w:bookmarkStart w:id="17" w:name="_Toc131427729"/>
      <w:r>
        <w:rPr>
          <w:rFonts w:eastAsia="Calibri"/>
        </w:rPr>
        <w:t>Legislation</w:t>
      </w:r>
      <w:bookmarkEnd w:id="17"/>
    </w:p>
    <w:p w14:paraId="51C4653E" w14:textId="5F8219EE" w:rsidR="002453FC" w:rsidRPr="00EB25A7" w:rsidRDefault="002453FC" w:rsidP="00EB25A7">
      <w:pPr>
        <w:pStyle w:val="ListParagraph"/>
        <w:numPr>
          <w:ilvl w:val="0"/>
          <w:numId w:val="25"/>
        </w:numPr>
        <w:rPr>
          <w:rFonts w:cs="Arial"/>
          <w:bCs/>
          <w:u w:val="single"/>
        </w:rPr>
      </w:pPr>
      <w:r w:rsidRPr="00EB25A7">
        <w:rPr>
          <w:rFonts w:cs="Arial"/>
          <w:bCs/>
          <w:i/>
        </w:rPr>
        <w:t>Education Act 2015</w:t>
      </w:r>
      <w:r w:rsidRPr="00EB25A7">
        <w:rPr>
          <w:rFonts w:cs="Arial"/>
          <w:bCs/>
        </w:rPr>
        <w:t xml:space="preserve"> - </w:t>
      </w:r>
      <w:hyperlink r:id="rId14" w:history="1">
        <w:r w:rsidRPr="00EB25A7">
          <w:rPr>
            <w:rStyle w:val="Hyperlink"/>
            <w:rFonts w:cs="Arial"/>
            <w:bCs/>
          </w:rPr>
          <w:t>https://legislation.nt.gov.au/Legislation/EDUCATION-ACT-2015</w:t>
        </w:r>
      </w:hyperlink>
    </w:p>
    <w:p w14:paraId="467E47E1" w14:textId="75985A1A" w:rsidR="002453FC" w:rsidRPr="00EB25A7" w:rsidRDefault="002453FC" w:rsidP="00EB25A7">
      <w:pPr>
        <w:pStyle w:val="ListParagraph"/>
        <w:numPr>
          <w:ilvl w:val="0"/>
          <w:numId w:val="25"/>
        </w:numPr>
        <w:rPr>
          <w:rStyle w:val="Hyperlink"/>
          <w:rFonts w:cs="Arial"/>
          <w:bCs/>
          <w:color w:val="auto"/>
        </w:rPr>
      </w:pPr>
      <w:r w:rsidRPr="00EB25A7">
        <w:rPr>
          <w:rFonts w:cs="Arial"/>
          <w:bCs/>
          <w:i/>
        </w:rPr>
        <w:t>Education and Care Services (National Uniform Legislation) Act 2011</w:t>
      </w:r>
      <w:r w:rsidRPr="00EB25A7">
        <w:rPr>
          <w:rFonts w:cs="Arial"/>
          <w:bCs/>
        </w:rPr>
        <w:t xml:space="preserve"> - </w:t>
      </w:r>
      <w:hyperlink r:id="rId15" w:history="1">
        <w:r w:rsidRPr="00EB25A7">
          <w:rPr>
            <w:rStyle w:val="Hyperlink"/>
            <w:rFonts w:cs="Arial"/>
            <w:bCs/>
          </w:rPr>
          <w:t>https://legislation.nt.gov.au/en/Legislation/EDUCATION-AND-CARE-SERVICES-NATIONAL-UNIFORM-LEGISLATION-ACT-2011</w:t>
        </w:r>
      </w:hyperlink>
    </w:p>
    <w:p w14:paraId="7BA333BE" w14:textId="77777777" w:rsidR="002453FC" w:rsidRPr="00EB25A7" w:rsidRDefault="002453FC" w:rsidP="00EB25A7">
      <w:pPr>
        <w:pStyle w:val="ListParagraph"/>
        <w:numPr>
          <w:ilvl w:val="0"/>
          <w:numId w:val="25"/>
        </w:numPr>
        <w:rPr>
          <w:rStyle w:val="Hyperlink"/>
          <w:color w:val="auto"/>
          <w:u w:val="none"/>
          <w:lang w:eastAsia="en-AU"/>
        </w:rPr>
      </w:pPr>
      <w:r w:rsidRPr="00EB25A7">
        <w:rPr>
          <w:rFonts w:cs="Arial"/>
          <w:bCs/>
        </w:rPr>
        <w:lastRenderedPageBreak/>
        <w:t xml:space="preserve">Education and Care Services National Regulations 2011 (NSW) - </w:t>
      </w:r>
      <w:hyperlink r:id="rId16" w:history="1">
        <w:r w:rsidRPr="00EB25A7">
          <w:rPr>
            <w:rStyle w:val="Hyperlink"/>
            <w:rFonts w:cs="Arial"/>
            <w:bCs/>
          </w:rPr>
          <w:t>https://legislation.nsw.gov.au/view/html/inforce/current/sl-2011-0653</w:t>
        </w:r>
      </w:hyperlink>
    </w:p>
    <w:p w14:paraId="68ADE416" w14:textId="57975FF8" w:rsidR="00321E6A" w:rsidRPr="00EB25A7" w:rsidRDefault="00321E6A" w:rsidP="00EB25A7">
      <w:pPr>
        <w:pStyle w:val="ListParagraph"/>
        <w:numPr>
          <w:ilvl w:val="0"/>
          <w:numId w:val="25"/>
        </w:numPr>
        <w:rPr>
          <w:rStyle w:val="Hyperlink"/>
          <w:color w:val="auto"/>
          <w:u w:val="none"/>
          <w:lang w:eastAsia="en-AU"/>
        </w:rPr>
      </w:pPr>
      <w:r w:rsidRPr="00EB25A7">
        <w:rPr>
          <w:i/>
          <w:lang w:eastAsia="en-AU"/>
        </w:rPr>
        <w:t>Notifiable Diseases Act 1981</w:t>
      </w:r>
      <w:r w:rsidR="002453FC" w:rsidRPr="00EB25A7">
        <w:rPr>
          <w:rStyle w:val="Hyperlink"/>
          <w:color w:val="auto"/>
          <w:u w:val="none"/>
          <w:lang w:eastAsia="en-AU"/>
        </w:rPr>
        <w:t xml:space="preserve"> - </w:t>
      </w:r>
      <w:hyperlink r:id="rId17" w:history="1">
        <w:r w:rsidR="002453FC" w:rsidRPr="003D217D">
          <w:rPr>
            <w:rStyle w:val="Hyperlink"/>
            <w:lang w:eastAsia="en-AU"/>
          </w:rPr>
          <w:t>https://legislation.nt.gov.au/en/Legislation/NOTIFIABLE-DISEASES-ACT-1981</w:t>
        </w:r>
      </w:hyperlink>
    </w:p>
    <w:p w14:paraId="72142104" w14:textId="6C3E1748" w:rsidR="00321E6A" w:rsidRPr="00EB25A7" w:rsidRDefault="00321E6A" w:rsidP="00EB25A7">
      <w:pPr>
        <w:pStyle w:val="ListParagraph"/>
        <w:numPr>
          <w:ilvl w:val="0"/>
          <w:numId w:val="25"/>
        </w:numPr>
        <w:rPr>
          <w:rStyle w:val="Hyperlink"/>
          <w:color w:val="auto"/>
          <w:u w:val="none"/>
          <w:lang w:eastAsia="en-AU"/>
        </w:rPr>
      </w:pPr>
      <w:r w:rsidRPr="00EB25A7">
        <w:rPr>
          <w:bCs/>
          <w:i/>
        </w:rPr>
        <w:t>Work Health and Safety (National Uniform Legislation) Act 2011</w:t>
      </w:r>
      <w:r w:rsidR="002453FC" w:rsidRPr="00EB25A7">
        <w:rPr>
          <w:bCs/>
        </w:rPr>
        <w:t xml:space="preserve"> - </w:t>
      </w:r>
      <w:hyperlink r:id="rId18" w:history="1">
        <w:r w:rsidR="002453FC" w:rsidRPr="00EB25A7">
          <w:rPr>
            <w:rStyle w:val="Hyperlink"/>
            <w:bCs/>
          </w:rPr>
          <w:t>https://legislation.nt.gov.au/Legislation/WORK-HEALTH-AND-SAFETY-NATIONAL-UNIFORM-LEGISLATION-ACT-2011</w:t>
        </w:r>
      </w:hyperlink>
    </w:p>
    <w:p w14:paraId="0F497AEF" w14:textId="3E99C96C" w:rsidR="00C64FD3" w:rsidRDefault="00166B21" w:rsidP="00F37738">
      <w:pPr>
        <w:pStyle w:val="Heading2"/>
        <w:spacing w:before="0"/>
        <w:rPr>
          <w:lang w:val="en-US"/>
        </w:rPr>
      </w:pPr>
      <w:bookmarkStart w:id="18" w:name="_Toc131427730"/>
      <w:r>
        <w:rPr>
          <w:lang w:val="en-US"/>
        </w:rPr>
        <w:t>Policy</w:t>
      </w:r>
      <w:bookmarkEnd w:id="18"/>
    </w:p>
    <w:p w14:paraId="388CCFAB" w14:textId="5143198B" w:rsidR="00166B21" w:rsidRPr="00EB25A7" w:rsidRDefault="00166B21" w:rsidP="00EB25A7">
      <w:pPr>
        <w:pStyle w:val="ListParagraph"/>
        <w:numPr>
          <w:ilvl w:val="0"/>
          <w:numId w:val="26"/>
        </w:numPr>
        <w:rPr>
          <w:lang w:eastAsia="en-AU"/>
        </w:rPr>
      </w:pPr>
      <w:r w:rsidRPr="008C02B9">
        <w:rPr>
          <w:lang w:eastAsia="en-AU"/>
        </w:rPr>
        <w:t xml:space="preserve">Australian Children’s Education and Care Quality Authority </w:t>
      </w:r>
      <w:r w:rsidR="00B0043D">
        <w:rPr>
          <w:lang w:eastAsia="en-AU"/>
        </w:rPr>
        <w:t xml:space="preserve">- </w:t>
      </w:r>
      <w:r w:rsidRPr="008C02B9">
        <w:rPr>
          <w:lang w:eastAsia="en-AU"/>
        </w:rPr>
        <w:t>National Quality Framework</w:t>
      </w:r>
      <w:r w:rsidR="008C02B9">
        <w:rPr>
          <w:lang w:eastAsia="en-AU"/>
        </w:rPr>
        <w:t xml:space="preserve"> - </w:t>
      </w:r>
      <w:hyperlink r:id="rId19" w:history="1">
        <w:r w:rsidR="008C02B9" w:rsidRPr="003D217D">
          <w:rPr>
            <w:rStyle w:val="Hyperlink"/>
            <w:lang w:eastAsia="en-AU"/>
          </w:rPr>
          <w:t>https://www.acecqa.gov.au/national-quality-framework</w:t>
        </w:r>
      </w:hyperlink>
    </w:p>
    <w:p w14:paraId="6FB23312" w14:textId="1ABFBC9E" w:rsidR="002B0D9D" w:rsidRDefault="002B0D9D" w:rsidP="00EB25A7">
      <w:pPr>
        <w:pStyle w:val="ListParagraph"/>
        <w:numPr>
          <w:ilvl w:val="0"/>
          <w:numId w:val="26"/>
        </w:numPr>
        <w:rPr>
          <w:lang w:eastAsia="en-AU"/>
        </w:rPr>
      </w:pPr>
      <w:r w:rsidRPr="00867484">
        <w:rPr>
          <w:lang w:eastAsia="en-AU"/>
        </w:rPr>
        <w:t xml:space="preserve">Communicable diseases network Australia’s series of national guidelines </w:t>
      </w:r>
      <w:r>
        <w:rPr>
          <w:lang w:eastAsia="en-AU"/>
        </w:rPr>
        <w:t xml:space="preserve">- </w:t>
      </w:r>
      <w:hyperlink r:id="rId20" w:history="1">
        <w:r w:rsidRPr="004F27FE">
          <w:rPr>
            <w:rStyle w:val="Hyperlink"/>
            <w:lang w:eastAsia="en-AU"/>
          </w:rPr>
          <w:t>https://www.health.gov.au/committees-and-groups/cdna/publications</w:t>
        </w:r>
      </w:hyperlink>
    </w:p>
    <w:p w14:paraId="3E77C428" w14:textId="2C7C2740" w:rsidR="008C02B9" w:rsidRPr="00EB25A7" w:rsidRDefault="008C02B9" w:rsidP="00EB25A7">
      <w:pPr>
        <w:pStyle w:val="ListParagraph"/>
        <w:numPr>
          <w:ilvl w:val="0"/>
          <w:numId w:val="26"/>
        </w:numPr>
        <w:rPr>
          <w:rStyle w:val="Hyperlink"/>
          <w:color w:val="auto"/>
          <w:u w:val="none"/>
          <w:lang w:eastAsia="en-AU"/>
        </w:rPr>
      </w:pPr>
      <w:r w:rsidRPr="00AF6226">
        <w:t xml:space="preserve">Health of </w:t>
      </w:r>
      <w:proofErr w:type="gramStart"/>
      <w:r w:rsidRPr="00AF6226">
        <w:t>students</w:t>
      </w:r>
      <w:proofErr w:type="gramEnd"/>
      <w:r w:rsidRPr="00AF6226">
        <w:t xml:space="preserve"> policy</w:t>
      </w:r>
      <w:r>
        <w:t xml:space="preserve"> - </w:t>
      </w:r>
      <w:hyperlink r:id="rId21" w:history="1">
        <w:r w:rsidRPr="003D217D">
          <w:rPr>
            <w:rStyle w:val="Hyperlink"/>
          </w:rPr>
          <w:t>https://education.nt.gov.au/policies/health-safety</w:t>
        </w:r>
      </w:hyperlink>
    </w:p>
    <w:p w14:paraId="3BF64519" w14:textId="7FA7434F" w:rsidR="00321E6A" w:rsidRPr="00321E6A" w:rsidRDefault="00321E6A" w:rsidP="00EB25A7">
      <w:pPr>
        <w:pStyle w:val="ListParagraph"/>
        <w:numPr>
          <w:ilvl w:val="0"/>
          <w:numId w:val="26"/>
        </w:numPr>
      </w:pPr>
      <w:r w:rsidRPr="00321E6A">
        <w:rPr>
          <w:lang w:eastAsia="en-AU"/>
        </w:rPr>
        <w:t>Sports Medicine Australia’s Infectious disease policy</w:t>
      </w:r>
      <w:r w:rsidRPr="00EB25A7">
        <w:rPr>
          <w:rStyle w:val="Hyperlink"/>
          <w:color w:val="auto"/>
          <w:u w:val="none"/>
          <w:lang w:eastAsia="en-AU"/>
        </w:rPr>
        <w:t xml:space="preserve"> - </w:t>
      </w:r>
      <w:hyperlink r:id="rId22" w:history="1">
        <w:r w:rsidR="005D0CA0" w:rsidRPr="004F27FE">
          <w:rPr>
            <w:rStyle w:val="Hyperlink"/>
            <w:lang w:eastAsia="en-AU"/>
          </w:rPr>
          <w:t>https://sma.org.au/resources-advice/policies-and-guidelines/</w:t>
        </w:r>
      </w:hyperlink>
    </w:p>
    <w:p w14:paraId="01DB01AE" w14:textId="71C5B23C" w:rsidR="00A9572A" w:rsidRDefault="00A9572A" w:rsidP="00321E6A">
      <w:pPr>
        <w:pStyle w:val="Heading2"/>
        <w:rPr>
          <w:rFonts w:eastAsia="Calibri"/>
        </w:rPr>
      </w:pPr>
      <w:bookmarkStart w:id="19" w:name="_Toc131427731"/>
      <w:r>
        <w:rPr>
          <w:rFonts w:eastAsia="Calibri"/>
        </w:rPr>
        <w:t>Resources</w:t>
      </w:r>
      <w:bookmarkEnd w:id="19"/>
    </w:p>
    <w:p w14:paraId="021A17C9" w14:textId="33A81AB5" w:rsidR="00A9572A" w:rsidRDefault="004F6E52" w:rsidP="00EB25A7">
      <w:pPr>
        <w:pStyle w:val="ListParagraph"/>
        <w:numPr>
          <w:ilvl w:val="0"/>
          <w:numId w:val="27"/>
        </w:numPr>
        <w:rPr>
          <w:lang w:eastAsia="en-AU"/>
        </w:rPr>
      </w:pPr>
      <w:r w:rsidRPr="002067A5">
        <w:rPr>
          <w:lang w:eastAsia="en-AU"/>
        </w:rPr>
        <w:t xml:space="preserve">Blood Rules </w:t>
      </w:r>
      <w:r w:rsidRPr="004F6E52">
        <w:rPr>
          <w:lang w:eastAsia="en-AU"/>
        </w:rPr>
        <w:t>OK Booklet and Pamphlet</w:t>
      </w:r>
      <w:r>
        <w:rPr>
          <w:lang w:eastAsia="en-AU"/>
        </w:rPr>
        <w:t xml:space="preserve"> - </w:t>
      </w:r>
      <w:r w:rsidR="00432E23" w:rsidRPr="002067A5">
        <w:rPr>
          <w:lang w:eastAsia="en-AU"/>
        </w:rPr>
        <w:t xml:space="preserve">to </w:t>
      </w:r>
      <w:r w:rsidR="00A9572A" w:rsidRPr="002067A5">
        <w:rPr>
          <w:lang w:eastAsia="en-AU"/>
        </w:rPr>
        <w:t>understand blood-borne viruses and other infectious diseases, how they are transmitted, and what actions can be taken to prevent their spread through participation in sport refer to the Sports Medicine Australia</w:t>
      </w:r>
      <w:r>
        <w:rPr>
          <w:lang w:eastAsia="en-AU"/>
        </w:rPr>
        <w:t xml:space="preserve"> - </w:t>
      </w:r>
      <w:hyperlink r:id="rId23" w:history="1">
        <w:r w:rsidRPr="003D217D">
          <w:rPr>
            <w:rStyle w:val="Hyperlink"/>
            <w:lang w:eastAsia="en-AU"/>
          </w:rPr>
          <w:t>https://sma.org.au/resources-advice/policies-and-guidelines/infectious-diseases/</w:t>
        </w:r>
      </w:hyperlink>
    </w:p>
    <w:p w14:paraId="2780F1BE" w14:textId="24F331C7" w:rsidR="00E718EB" w:rsidRDefault="00432E23" w:rsidP="00EB25A7">
      <w:pPr>
        <w:pStyle w:val="HeaderText"/>
        <w:numPr>
          <w:ilvl w:val="0"/>
          <w:numId w:val="27"/>
        </w:numPr>
        <w:spacing w:after="200"/>
        <w:rPr>
          <w:rStyle w:val="Hyperlink"/>
          <w:rFonts w:asciiTheme="minorHAnsi" w:eastAsia="Arial" w:hAnsiTheme="minorHAnsi"/>
          <w:i w:val="0"/>
          <w:color w:val="auto"/>
          <w:sz w:val="22"/>
          <w:szCs w:val="22"/>
          <w:u w:val="none"/>
        </w:rPr>
      </w:pPr>
      <w:r>
        <w:rPr>
          <w:rStyle w:val="Hyperlink"/>
          <w:rFonts w:asciiTheme="minorHAnsi" w:eastAsia="Arial" w:hAnsiTheme="minorHAnsi"/>
          <w:i w:val="0"/>
          <w:color w:val="auto"/>
          <w:sz w:val="22"/>
          <w:szCs w:val="22"/>
          <w:u w:val="none"/>
        </w:rPr>
        <w:t>Centre for Disease Control</w:t>
      </w:r>
      <w:r w:rsidR="00046EEE">
        <w:rPr>
          <w:rStyle w:val="Hyperlink"/>
          <w:rFonts w:asciiTheme="minorHAnsi" w:eastAsia="Arial" w:hAnsiTheme="minorHAnsi"/>
          <w:i w:val="0"/>
          <w:color w:val="auto"/>
          <w:sz w:val="22"/>
          <w:szCs w:val="22"/>
          <w:u w:val="none"/>
        </w:rPr>
        <w:t xml:space="preserve"> -</w:t>
      </w:r>
      <w:r>
        <w:rPr>
          <w:rStyle w:val="Hyperlink"/>
          <w:rFonts w:asciiTheme="minorHAnsi" w:eastAsia="Arial" w:hAnsiTheme="minorHAnsi"/>
          <w:i w:val="0"/>
          <w:color w:val="auto"/>
          <w:sz w:val="22"/>
          <w:szCs w:val="22"/>
          <w:u w:val="none"/>
        </w:rPr>
        <w:t xml:space="preserve"> Tim</w:t>
      </w:r>
      <w:r w:rsidR="002E0796">
        <w:rPr>
          <w:rStyle w:val="Hyperlink"/>
          <w:rFonts w:asciiTheme="minorHAnsi" w:eastAsia="Arial" w:hAnsiTheme="minorHAnsi"/>
          <w:i w:val="0"/>
          <w:color w:val="auto"/>
          <w:sz w:val="22"/>
          <w:szCs w:val="22"/>
          <w:u w:val="none"/>
        </w:rPr>
        <w:t>e</w:t>
      </w:r>
      <w:r>
        <w:rPr>
          <w:rStyle w:val="Hyperlink"/>
          <w:rFonts w:asciiTheme="minorHAnsi" w:eastAsia="Arial" w:hAnsiTheme="minorHAnsi"/>
          <w:i w:val="0"/>
          <w:color w:val="auto"/>
          <w:sz w:val="22"/>
          <w:szCs w:val="22"/>
          <w:u w:val="none"/>
        </w:rPr>
        <w:t xml:space="preserve"> out - </w:t>
      </w:r>
      <w:hyperlink r:id="rId24" w:history="1">
        <w:r w:rsidRPr="003D217D">
          <w:rPr>
            <w:rStyle w:val="Hyperlink"/>
            <w:rFonts w:asciiTheme="minorHAnsi" w:eastAsia="Arial" w:hAnsiTheme="minorHAnsi"/>
            <w:i w:val="0"/>
            <w:sz w:val="22"/>
            <w:szCs w:val="22"/>
          </w:rPr>
          <w:t>https://digitallibrary.health.nt.gov.au/prodjspui/handle/10137/1011</w:t>
        </w:r>
      </w:hyperlink>
    </w:p>
    <w:p w14:paraId="6C937977" w14:textId="77777777" w:rsidR="00432E23" w:rsidRPr="00EB25A7" w:rsidRDefault="00432E23" w:rsidP="00EB25A7">
      <w:pPr>
        <w:pStyle w:val="ListParagraph"/>
        <w:numPr>
          <w:ilvl w:val="0"/>
          <w:numId w:val="27"/>
        </w:numPr>
        <w:rPr>
          <w:rFonts w:cs="Arial"/>
          <w:bCs/>
        </w:rPr>
      </w:pPr>
      <w:r w:rsidRPr="004F6E52">
        <w:rPr>
          <w:lang w:eastAsia="en-AU"/>
        </w:rPr>
        <w:t>Staying Healthy in Child Care 2013</w:t>
      </w:r>
      <w:r>
        <w:rPr>
          <w:lang w:eastAsia="en-AU"/>
        </w:rPr>
        <w:t xml:space="preserve"> - </w:t>
      </w:r>
      <w:r w:rsidRPr="002067A5">
        <w:rPr>
          <w:lang w:eastAsia="en-AU"/>
        </w:rPr>
        <w:t xml:space="preserve">to find out more information on preventing infectious diseases and fact sheets for childhood diseases for parents, child care centres and preschools refer to the National Health and Medical Research Council’s </w:t>
      </w:r>
      <w:r>
        <w:rPr>
          <w:lang w:eastAsia="en-AU"/>
        </w:rPr>
        <w:t xml:space="preserve">- </w:t>
      </w:r>
      <w:hyperlink r:id="rId25" w:history="1">
        <w:r w:rsidRPr="003D217D">
          <w:rPr>
            <w:rStyle w:val="Hyperlink"/>
            <w:lang w:eastAsia="en-AU"/>
          </w:rPr>
          <w:t>https://www.nhmrc.gov.au/about-us/publications/staying-healthy-preventing-infectious-diseases-early-childhood-education-and-care-services</w:t>
        </w:r>
      </w:hyperlink>
    </w:p>
    <w:p w14:paraId="18C6D4B3" w14:textId="5315509E" w:rsidR="00E718EB" w:rsidRPr="00BD478E" w:rsidRDefault="00E718EB" w:rsidP="00F37738">
      <w:pPr>
        <w:rPr>
          <w:rStyle w:val="Hyperlink"/>
          <w:rFonts w:asciiTheme="minorHAnsi" w:hAnsiTheme="minorHAnsi" w:cs="Arial"/>
          <w:iCs/>
          <w:color w:val="000000"/>
          <w:lang w:val="en-US"/>
        </w:rPr>
      </w:pPr>
    </w:p>
    <w:p w14:paraId="6001FE46" w14:textId="31E46CF2" w:rsidR="00E718EB" w:rsidRPr="007E3498" w:rsidRDefault="00E718EB" w:rsidP="00F37738">
      <w:pPr>
        <w:pStyle w:val="ListParagraph"/>
        <w:numPr>
          <w:ilvl w:val="0"/>
          <w:numId w:val="19"/>
        </w:numPr>
        <w:spacing w:after="200"/>
        <w:ind w:left="851" w:hanging="425"/>
        <w:rPr>
          <w:lang w:val="en-US"/>
        </w:rPr>
        <w:sectPr w:rsidR="00E718EB" w:rsidRPr="007E3498" w:rsidSect="002F2B7D">
          <w:footerReference w:type="default" r:id="rId26"/>
          <w:headerReference w:type="first" r:id="rId27"/>
          <w:pgSz w:w="11906" w:h="16838" w:code="9"/>
          <w:pgMar w:top="794" w:right="794" w:bottom="794" w:left="794" w:header="567" w:footer="567" w:gutter="0"/>
          <w:cols w:space="708"/>
          <w:docGrid w:linePitch="360"/>
        </w:sectPr>
      </w:pPr>
    </w:p>
    <w:p w14:paraId="0C821C29" w14:textId="77777777" w:rsidR="00FE5B5A" w:rsidRDefault="00FE5B5A" w:rsidP="00F37738">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B97CF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A311F1">
            <w:pPr>
              <w:rPr>
                <w:b/>
              </w:rPr>
            </w:pPr>
            <w:r w:rsidRPr="0054507C">
              <w:rPr>
                <w:b/>
              </w:rPr>
              <w:t>Document title</w:t>
            </w:r>
          </w:p>
        </w:tc>
        <w:tc>
          <w:tcPr>
            <w:tcW w:w="7938" w:type="dxa"/>
          </w:tcPr>
          <w:p w14:paraId="7FFD3785" w14:textId="6E697014" w:rsidR="00FE5B5A" w:rsidRPr="006145BB" w:rsidRDefault="00F57D83" w:rsidP="00A311F1">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51F32">
                  <w:t>Infectious diseases – exclusions from school – policy</w:t>
                </w:r>
              </w:sdtContent>
            </w:sdt>
          </w:p>
        </w:tc>
      </w:tr>
      <w:tr w:rsidR="00FE5B5A" w14:paraId="37645F7C" w14:textId="77777777" w:rsidTr="00B97CF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A311F1">
            <w:pPr>
              <w:rPr>
                <w:b/>
              </w:rPr>
            </w:pPr>
            <w:r w:rsidRPr="0054507C">
              <w:rPr>
                <w:b/>
              </w:rPr>
              <w:t>Contact details</w:t>
            </w:r>
          </w:p>
        </w:tc>
        <w:tc>
          <w:tcPr>
            <w:tcW w:w="7938" w:type="dxa"/>
          </w:tcPr>
          <w:p w14:paraId="44C79322" w14:textId="2BB35D8D" w:rsidR="00FE5B5A" w:rsidRPr="006145BB" w:rsidRDefault="003213CF" w:rsidP="00A311F1">
            <w:pPr>
              <w:cnfStyle w:val="000000010000" w:firstRow="0" w:lastRow="0" w:firstColumn="0" w:lastColumn="0" w:oddVBand="0" w:evenVBand="0" w:oddHBand="0" w:evenHBand="1" w:firstRowFirstColumn="0" w:firstRowLastColumn="0" w:lastRowFirstColumn="0" w:lastRowLastColumn="0"/>
            </w:pPr>
            <w:r>
              <w:t>Inclusion and Engagement Services, Inclusion</w:t>
            </w:r>
            <w:r w:rsidR="00A311F1">
              <w:t xml:space="preserve">, Wellbeing </w:t>
            </w:r>
            <w:r>
              <w:t xml:space="preserve">Programs and Services </w:t>
            </w:r>
            <w:hyperlink r:id="rId28" w:history="1">
              <w:r w:rsidRPr="00164680">
                <w:rPr>
                  <w:rStyle w:val="Hyperlink"/>
                </w:rPr>
                <w:t>swipolicy.doe@education.nt.gov.au</w:t>
              </w:r>
            </w:hyperlink>
          </w:p>
        </w:tc>
      </w:tr>
      <w:tr w:rsidR="00FE5B5A" w14:paraId="353E9297" w14:textId="77777777" w:rsidTr="00B97CF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FE5B5A" w:rsidRPr="0054507C" w:rsidRDefault="00FE5B5A" w:rsidP="00A311F1">
            <w:pPr>
              <w:rPr>
                <w:b/>
              </w:rPr>
            </w:pPr>
            <w:r w:rsidRPr="0054507C">
              <w:rPr>
                <w:b/>
              </w:rPr>
              <w:t>Approved by</w:t>
            </w:r>
          </w:p>
        </w:tc>
        <w:tc>
          <w:tcPr>
            <w:tcW w:w="7938" w:type="dxa"/>
          </w:tcPr>
          <w:p w14:paraId="1921802A" w14:textId="1B18AB1D" w:rsidR="00FE5B5A" w:rsidRPr="006145BB" w:rsidRDefault="00EA5645" w:rsidP="00A311F1">
            <w:pPr>
              <w:cnfStyle w:val="000000000000" w:firstRow="0" w:lastRow="0" w:firstColumn="0" w:lastColumn="0" w:oddVBand="0" w:evenVBand="0" w:oddHBand="0" w:evenHBand="0" w:firstRowFirstColumn="0" w:firstRowLastColumn="0" w:lastRowFirstColumn="0" w:lastRowLastColumn="0"/>
            </w:pPr>
            <w:r>
              <w:t>Executive</w:t>
            </w:r>
            <w:r w:rsidR="00ED70DE">
              <w:t xml:space="preserve"> Director</w:t>
            </w:r>
            <w:r>
              <w:t xml:space="preserve"> Inclusion and Engagement Services</w:t>
            </w:r>
          </w:p>
        </w:tc>
      </w:tr>
      <w:tr w:rsidR="00FE5B5A" w14:paraId="625B9B01" w14:textId="77777777" w:rsidTr="00B97CF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FE5B5A" w:rsidRPr="0054507C" w:rsidRDefault="00FE5B5A" w:rsidP="00A311F1">
            <w:pPr>
              <w:rPr>
                <w:b/>
              </w:rPr>
            </w:pPr>
            <w:r w:rsidRPr="0054507C">
              <w:rPr>
                <w:b/>
              </w:rPr>
              <w:t>Date approved</w:t>
            </w:r>
          </w:p>
        </w:tc>
        <w:tc>
          <w:tcPr>
            <w:tcW w:w="7938" w:type="dxa"/>
          </w:tcPr>
          <w:p w14:paraId="289E7783" w14:textId="7509FED5" w:rsidR="00FE5B5A" w:rsidRPr="006145BB" w:rsidRDefault="00F57D83" w:rsidP="00A311F1">
            <w:pPr>
              <w:cnfStyle w:val="000000010000" w:firstRow="0" w:lastRow="0" w:firstColumn="0" w:lastColumn="0" w:oddVBand="0" w:evenVBand="0" w:oddHBand="0" w:evenHBand="1" w:firstRowFirstColumn="0" w:firstRowLastColumn="0" w:lastRowFirstColumn="0" w:lastRowLastColumn="0"/>
            </w:pPr>
            <w:r>
              <w:t>10</w:t>
            </w:r>
            <w:bookmarkStart w:id="20" w:name="_GoBack"/>
            <w:bookmarkEnd w:id="20"/>
            <w:r w:rsidR="00605FF4">
              <w:t xml:space="preserve"> July 2023</w:t>
            </w:r>
          </w:p>
        </w:tc>
      </w:tr>
      <w:tr w:rsidR="00FE5B5A" w14:paraId="45C8D0A9" w14:textId="77777777" w:rsidTr="00B97CF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A311F1">
            <w:pPr>
              <w:rPr>
                <w:b/>
              </w:rPr>
            </w:pPr>
            <w:r w:rsidRPr="0054507C">
              <w:rPr>
                <w:b/>
              </w:rPr>
              <w:t>TRM number</w:t>
            </w:r>
          </w:p>
        </w:tc>
        <w:tc>
          <w:tcPr>
            <w:tcW w:w="7938" w:type="dxa"/>
          </w:tcPr>
          <w:p w14:paraId="1F1362FA" w14:textId="0425594D" w:rsidR="00FE5B5A" w:rsidRPr="006145BB" w:rsidRDefault="00D92366" w:rsidP="00A311F1">
            <w:pPr>
              <w:cnfStyle w:val="000000000000" w:firstRow="0" w:lastRow="0" w:firstColumn="0" w:lastColumn="0" w:oddVBand="0" w:evenVBand="0" w:oddHBand="0" w:evenHBand="0" w:firstRowFirstColumn="0" w:firstRowLastColumn="0" w:lastRowFirstColumn="0" w:lastRowLastColumn="0"/>
            </w:pPr>
            <w:proofErr w:type="gramStart"/>
            <w:r>
              <w:rPr>
                <w:lang w:val="en-US"/>
              </w:rPr>
              <w:t>50:F</w:t>
            </w:r>
            <w:proofErr w:type="gramEnd"/>
            <w:r>
              <w:rPr>
                <w:lang w:val="en-US"/>
              </w:rPr>
              <w:t>22:14469</w:t>
            </w:r>
          </w:p>
        </w:tc>
      </w:tr>
    </w:tbl>
    <w:p w14:paraId="43F9B3F1" w14:textId="77777777" w:rsidR="00FE5B5A" w:rsidRDefault="00FE5B5A" w:rsidP="00F37738">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A937AD">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1F1F5F" w:themeColor="text1"/>
              <w:bottom w:val="single" w:sz="4" w:space="0" w:color="auto"/>
            </w:tcBorders>
          </w:tcPr>
          <w:p w14:paraId="5D790881" w14:textId="77777777" w:rsidR="00FE5B5A" w:rsidRPr="00E87DE1" w:rsidRDefault="00FE5B5A" w:rsidP="00B97CFC">
            <w:r w:rsidRPr="00E87DE1">
              <w:rPr>
                <w:w w:val="105"/>
              </w:rPr>
              <w:t>Version</w:t>
            </w:r>
          </w:p>
        </w:tc>
        <w:tc>
          <w:tcPr>
            <w:tcW w:w="2268" w:type="dxa"/>
            <w:tcBorders>
              <w:top w:val="single" w:sz="4" w:space="0" w:color="1F1F5F" w:themeColor="text1"/>
              <w:bottom w:val="single" w:sz="4" w:space="0" w:color="auto"/>
            </w:tcBorders>
          </w:tcPr>
          <w:p w14:paraId="0748228B" w14:textId="77777777" w:rsidR="00FE5B5A" w:rsidRPr="00E87DE1" w:rsidRDefault="00FE5B5A" w:rsidP="00B97CFC">
            <w:r w:rsidRPr="00E87DE1">
              <w:rPr>
                <w:w w:val="105"/>
              </w:rPr>
              <w:t>Date</w:t>
            </w:r>
          </w:p>
        </w:tc>
        <w:tc>
          <w:tcPr>
            <w:tcW w:w="2552" w:type="dxa"/>
            <w:tcBorders>
              <w:top w:val="single" w:sz="4" w:space="0" w:color="1F1F5F" w:themeColor="text1"/>
              <w:bottom w:val="single" w:sz="4" w:space="0" w:color="auto"/>
            </w:tcBorders>
          </w:tcPr>
          <w:p w14:paraId="7561F4A0" w14:textId="77777777" w:rsidR="00FE5B5A" w:rsidRPr="00E87DE1" w:rsidRDefault="00FE5B5A" w:rsidP="00B97CFC">
            <w:r w:rsidRPr="00E87DE1">
              <w:rPr>
                <w:w w:val="105"/>
              </w:rPr>
              <w:t>Author</w:t>
            </w:r>
          </w:p>
        </w:tc>
        <w:tc>
          <w:tcPr>
            <w:tcW w:w="4394" w:type="dxa"/>
            <w:tcBorders>
              <w:top w:val="single" w:sz="4" w:space="0" w:color="1F1F5F" w:themeColor="text1"/>
              <w:bottom w:val="single" w:sz="4" w:space="0" w:color="auto"/>
            </w:tcBorders>
          </w:tcPr>
          <w:p w14:paraId="49F29EED" w14:textId="77777777" w:rsidR="00FE5B5A" w:rsidRPr="00E87DE1" w:rsidRDefault="00FE5B5A" w:rsidP="00B97CFC">
            <w:r w:rsidRPr="00E87DE1">
              <w:t>Changes made</w:t>
            </w:r>
          </w:p>
        </w:tc>
      </w:tr>
      <w:tr w:rsidR="00FE5B5A" w:rsidRPr="00E87DE1" w14:paraId="5E71A2FF" w14:textId="77777777" w:rsidTr="00A937AD">
        <w:trPr>
          <w:trHeight w:val="227"/>
        </w:trPr>
        <w:tc>
          <w:tcPr>
            <w:tcW w:w="1129" w:type="dxa"/>
            <w:tcBorders>
              <w:top w:val="single" w:sz="4" w:space="0" w:color="auto"/>
            </w:tcBorders>
          </w:tcPr>
          <w:p w14:paraId="3B190FD3" w14:textId="70A9629F" w:rsidR="00FE5B5A" w:rsidRPr="006145BB" w:rsidRDefault="0051263C" w:rsidP="00B97CFC">
            <w:r>
              <w:t>1</w:t>
            </w:r>
          </w:p>
        </w:tc>
        <w:tc>
          <w:tcPr>
            <w:tcW w:w="2268" w:type="dxa"/>
            <w:tcBorders>
              <w:top w:val="single" w:sz="4" w:space="0" w:color="auto"/>
            </w:tcBorders>
          </w:tcPr>
          <w:p w14:paraId="4B80DEE7" w14:textId="67BFD347" w:rsidR="00FE5B5A" w:rsidRPr="006145BB" w:rsidRDefault="00D92366" w:rsidP="00B97CFC">
            <w:r>
              <w:t>November 2011</w:t>
            </w:r>
          </w:p>
        </w:tc>
        <w:tc>
          <w:tcPr>
            <w:tcW w:w="2552" w:type="dxa"/>
            <w:tcBorders>
              <w:top w:val="single" w:sz="4" w:space="0" w:color="auto"/>
            </w:tcBorders>
          </w:tcPr>
          <w:p w14:paraId="29F4282C" w14:textId="11459C78" w:rsidR="00FE5B5A" w:rsidRPr="006145BB" w:rsidRDefault="0051263C" w:rsidP="00B97CFC">
            <w:r>
              <w:t>Student Wellbeing and Inclusion</w:t>
            </w:r>
          </w:p>
        </w:tc>
        <w:tc>
          <w:tcPr>
            <w:tcW w:w="4394" w:type="dxa"/>
            <w:tcBorders>
              <w:top w:val="single" w:sz="4" w:space="0" w:color="auto"/>
            </w:tcBorders>
          </w:tcPr>
          <w:p w14:paraId="16B5FB2D" w14:textId="065F7573" w:rsidR="00FE5B5A" w:rsidRPr="006145BB" w:rsidRDefault="00D92366" w:rsidP="00B97CFC">
            <w:r>
              <w:t>First release</w:t>
            </w:r>
          </w:p>
        </w:tc>
      </w:tr>
      <w:tr w:rsidR="00D92366" w:rsidRPr="00E87DE1" w14:paraId="54AB4080" w14:textId="77777777" w:rsidTr="00B97CFC">
        <w:trPr>
          <w:cnfStyle w:val="000000010000" w:firstRow="0" w:lastRow="0" w:firstColumn="0" w:lastColumn="0" w:oddVBand="0" w:evenVBand="0" w:oddHBand="0" w:evenHBand="1" w:firstRowFirstColumn="0" w:firstRowLastColumn="0" w:lastRowFirstColumn="0" w:lastRowLastColumn="0"/>
          <w:trHeight w:val="227"/>
        </w:trPr>
        <w:tc>
          <w:tcPr>
            <w:tcW w:w="1129" w:type="dxa"/>
            <w:tcBorders>
              <w:bottom w:val="nil"/>
            </w:tcBorders>
          </w:tcPr>
          <w:p w14:paraId="4886EC93" w14:textId="17297474" w:rsidR="00D92366" w:rsidRPr="006145BB" w:rsidRDefault="00D92366" w:rsidP="00B97CFC">
            <w:r>
              <w:t>2</w:t>
            </w:r>
          </w:p>
        </w:tc>
        <w:tc>
          <w:tcPr>
            <w:tcW w:w="2268" w:type="dxa"/>
            <w:tcBorders>
              <w:bottom w:val="nil"/>
            </w:tcBorders>
          </w:tcPr>
          <w:p w14:paraId="7B2E985E" w14:textId="02ECC7E4" w:rsidR="00D92366" w:rsidRPr="006145BB" w:rsidRDefault="00D92366" w:rsidP="00B97CFC">
            <w:r>
              <w:t>26 August 2020</w:t>
            </w:r>
          </w:p>
        </w:tc>
        <w:tc>
          <w:tcPr>
            <w:tcW w:w="2552" w:type="dxa"/>
            <w:tcBorders>
              <w:bottom w:val="nil"/>
            </w:tcBorders>
          </w:tcPr>
          <w:p w14:paraId="45984D9A" w14:textId="0DA82F28" w:rsidR="00D92366" w:rsidRPr="006145BB" w:rsidRDefault="00D92366" w:rsidP="00B97CFC">
            <w:r>
              <w:t>Student Wellbeing and Inclusion</w:t>
            </w:r>
          </w:p>
        </w:tc>
        <w:tc>
          <w:tcPr>
            <w:tcW w:w="4394" w:type="dxa"/>
            <w:tcBorders>
              <w:bottom w:val="nil"/>
            </w:tcBorders>
          </w:tcPr>
          <w:p w14:paraId="7EE5E5BB" w14:textId="0825D9C4" w:rsidR="00D92366" w:rsidRPr="006145BB" w:rsidRDefault="00D92366" w:rsidP="00B97CFC">
            <w:r>
              <w:t>Update to new template, include legislative provisions for preschools</w:t>
            </w:r>
          </w:p>
        </w:tc>
      </w:tr>
      <w:tr w:rsidR="00985C55" w:rsidRPr="00E87DE1" w14:paraId="0F532CB9" w14:textId="77777777" w:rsidTr="00B97CFC">
        <w:trPr>
          <w:trHeight w:val="227"/>
        </w:trPr>
        <w:tc>
          <w:tcPr>
            <w:tcW w:w="1129" w:type="dxa"/>
            <w:tcBorders>
              <w:top w:val="nil"/>
              <w:bottom w:val="single" w:sz="4" w:space="0" w:color="auto"/>
            </w:tcBorders>
          </w:tcPr>
          <w:p w14:paraId="1FFF0B96" w14:textId="78892A05" w:rsidR="00985C55" w:rsidRDefault="00985C55" w:rsidP="00B97CFC">
            <w:r>
              <w:t>3</w:t>
            </w:r>
          </w:p>
        </w:tc>
        <w:tc>
          <w:tcPr>
            <w:tcW w:w="2268" w:type="dxa"/>
            <w:tcBorders>
              <w:top w:val="nil"/>
              <w:bottom w:val="single" w:sz="4" w:space="0" w:color="auto"/>
            </w:tcBorders>
          </w:tcPr>
          <w:p w14:paraId="166C44B9" w14:textId="4C8FEAFB" w:rsidR="00985C55" w:rsidRDefault="00A311F1" w:rsidP="00B97CFC">
            <w:r>
              <w:t>2023</w:t>
            </w:r>
          </w:p>
        </w:tc>
        <w:tc>
          <w:tcPr>
            <w:tcW w:w="2552" w:type="dxa"/>
            <w:tcBorders>
              <w:top w:val="nil"/>
              <w:bottom w:val="single" w:sz="4" w:space="0" w:color="auto"/>
            </w:tcBorders>
          </w:tcPr>
          <w:p w14:paraId="52952EC5" w14:textId="2F535A13" w:rsidR="00985C55" w:rsidRDefault="00A311F1" w:rsidP="00B97CFC">
            <w:r>
              <w:t>Inclusion, Wellbeing Programs and Services</w:t>
            </w:r>
          </w:p>
        </w:tc>
        <w:tc>
          <w:tcPr>
            <w:tcW w:w="4394" w:type="dxa"/>
            <w:tcBorders>
              <w:top w:val="nil"/>
              <w:bottom w:val="single" w:sz="4" w:space="0" w:color="auto"/>
            </w:tcBorders>
          </w:tcPr>
          <w:p w14:paraId="403012EF" w14:textId="542F617A" w:rsidR="00985C55" w:rsidRDefault="00985C55" w:rsidP="00B97CFC">
            <w:r>
              <w:t>Administration amendments to align roles and responsibilities to the structural alignment in effect from 1 July 2022, including NTG template and minor formatting</w:t>
            </w:r>
          </w:p>
        </w:tc>
      </w:tr>
    </w:tbl>
    <w:p w14:paraId="2FA8ADF9" w14:textId="77777777" w:rsidR="00FE5B5A" w:rsidRDefault="00FE5B5A" w:rsidP="00F37738">
      <w:pPr>
        <w:rPr>
          <w:lang w:eastAsia="en-AU"/>
        </w:rPr>
      </w:pPr>
    </w:p>
    <w:sectPr w:rsidR="00FE5B5A" w:rsidSect="002F2B7D">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919C" w14:textId="77777777" w:rsidR="00150255" w:rsidRDefault="00150255">
      <w:r>
        <w:separator/>
      </w:r>
    </w:p>
  </w:endnote>
  <w:endnote w:type="continuationSeparator" w:id="0">
    <w:p w14:paraId="498DCB1F" w14:textId="77777777" w:rsidR="00150255" w:rsidRDefault="00150255">
      <w:r>
        <w:continuationSeparator/>
      </w:r>
    </w:p>
  </w:endnote>
  <w:endnote w:type="continuationNotice" w:id="1">
    <w:p w14:paraId="6DFD772A" w14:textId="77777777" w:rsidR="00150255" w:rsidRDefault="001502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68647856"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p>
        <w:p w14:paraId="580C1AB6" w14:textId="2C66605D" w:rsidR="00CB6A67" w:rsidRPr="00CE6614" w:rsidRDefault="002F2B7D" w:rsidP="00CB6A67">
          <w:pPr>
            <w:spacing w:after="0"/>
            <w:rPr>
              <w:rStyle w:val="PageNumber"/>
            </w:rPr>
          </w:pPr>
          <w:r>
            <w:rPr>
              <w:rStyle w:val="PageNumber"/>
            </w:rPr>
            <w:t>Publish</w:t>
          </w:r>
          <w:r w:rsidR="00605FF4">
            <w:rPr>
              <w:rStyle w:val="PageNumber"/>
            </w:rPr>
            <w:t>ed July 2023</w:t>
          </w:r>
        </w:p>
        <w:p w14:paraId="6369AF07" w14:textId="77777777"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6F43" w14:textId="77777777" w:rsidR="00150255" w:rsidRDefault="00150255">
      <w:r>
        <w:separator/>
      </w:r>
    </w:p>
  </w:footnote>
  <w:footnote w:type="continuationSeparator" w:id="0">
    <w:p w14:paraId="57882FE7" w14:textId="77777777" w:rsidR="00150255" w:rsidRDefault="00150255">
      <w:r>
        <w:continuationSeparator/>
      </w:r>
    </w:p>
  </w:footnote>
  <w:footnote w:type="continuationNotice" w:id="1">
    <w:p w14:paraId="5D97FBCD" w14:textId="77777777" w:rsidR="00150255" w:rsidRDefault="001502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680AC2B8" w:rsidR="00964B22" w:rsidRPr="008E0345" w:rsidRDefault="00F57D83"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551F32">
          <w:t>Infectious diseases – exclusions from school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5E757517" w:rsidR="00983000" w:rsidRPr="00964B22" w:rsidRDefault="00551F32" w:rsidP="008E0345">
        <w:pPr>
          <w:pStyle w:val="Header"/>
          <w:rPr>
            <w:b/>
          </w:rPr>
        </w:pPr>
        <w:r>
          <w:t>Infectious diseases – exclusions from school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B88"/>
    <w:multiLevelType w:val="multilevel"/>
    <w:tmpl w:val="6332F43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AA76E2"/>
    <w:multiLevelType w:val="hybridMultilevel"/>
    <w:tmpl w:val="3176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643B5F"/>
    <w:multiLevelType w:val="hybridMultilevel"/>
    <w:tmpl w:val="E2208B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66611F"/>
    <w:multiLevelType w:val="hybridMultilevel"/>
    <w:tmpl w:val="53A67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5F153BB"/>
    <w:multiLevelType w:val="hybridMultilevel"/>
    <w:tmpl w:val="E3EC7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B5A4FE4"/>
    <w:multiLevelType w:val="multilevel"/>
    <w:tmpl w:val="6332F43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BD5244"/>
    <w:multiLevelType w:val="multilevel"/>
    <w:tmpl w:val="99FCD912"/>
    <w:lvl w:ilvl="0">
      <w:start w:val="1"/>
      <w:numFmt w:val="none"/>
      <w:lvlText w:val="6."/>
      <w:lvlJc w:val="left"/>
      <w:pPr>
        <w:ind w:left="720" w:hanging="360"/>
      </w:pPr>
      <w:rPr>
        <w:rFonts w:hint="default"/>
      </w:rPr>
    </w:lvl>
    <w:lvl w:ilvl="1">
      <w:start w:val="1"/>
      <w:numFmt w:val="decimal"/>
      <w:lvlText w:val="%2."/>
      <w:lvlJc w:val="left"/>
      <w:pPr>
        <w:ind w:left="1440" w:hanging="360"/>
      </w:pPr>
      <w:rPr>
        <w:rFonts w:ascii="Lato" w:hAnsi="Lato"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5ED03E4"/>
    <w:multiLevelType w:val="multilevel"/>
    <w:tmpl w:val="6332F43E"/>
    <w:lvl w:ilvl="0">
      <w:start w:val="1"/>
      <w:numFmt w:val="decimal"/>
      <w:lvlText w:val="%1."/>
      <w:lvlJc w:val="left"/>
      <w:pPr>
        <w:ind w:left="1069" w:hanging="360"/>
      </w:pPr>
      <w:rPr>
        <w:rFonts w:hint="default"/>
      </w:rPr>
    </w:lvl>
    <w:lvl w:ilvl="1">
      <w:start w:val="1"/>
      <w:numFmt w:val="decimal"/>
      <w:lvlText w:val="%2."/>
      <w:lvlJc w:val="left"/>
      <w:pPr>
        <w:ind w:left="1789" w:hanging="360"/>
      </w:pPr>
      <w:rPr>
        <w:rFonts w:hint="default"/>
      </w:rPr>
    </w:lvl>
    <w:lvl w:ilvl="2">
      <w:start w:val="1"/>
      <w:numFmt w:val="bullet"/>
      <w:lvlText w:val=""/>
      <w:lvlJc w:val="left"/>
      <w:pPr>
        <w:ind w:left="2509" w:hanging="180"/>
      </w:pPr>
      <w:rPr>
        <w:rFonts w:ascii="Symbol" w:hAnsi="Symbol"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C518B4"/>
    <w:multiLevelType w:val="hybridMultilevel"/>
    <w:tmpl w:val="96D26740"/>
    <w:lvl w:ilvl="0" w:tplc="344A885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D9A6D67"/>
    <w:multiLevelType w:val="hybridMultilevel"/>
    <w:tmpl w:val="B70A8CB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2"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541187"/>
    <w:multiLevelType w:val="hybridMultilevel"/>
    <w:tmpl w:val="3E44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3F354E"/>
    <w:multiLevelType w:val="hybridMultilevel"/>
    <w:tmpl w:val="A26803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15:restartNumberingAfterBreak="0">
    <w:nsid w:val="46F1420A"/>
    <w:multiLevelType w:val="hybridMultilevel"/>
    <w:tmpl w:val="5E82F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E15651D"/>
    <w:multiLevelType w:val="hybridMultilevel"/>
    <w:tmpl w:val="CCF8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5C43C1C"/>
    <w:multiLevelType w:val="hybridMultilevel"/>
    <w:tmpl w:val="800EF8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B3F691B"/>
    <w:multiLevelType w:val="hybridMultilevel"/>
    <w:tmpl w:val="05029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E11724"/>
    <w:multiLevelType w:val="hybridMultilevel"/>
    <w:tmpl w:val="0C2C7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5"/>
  </w:num>
  <w:num w:numId="3">
    <w:abstractNumId w:val="50"/>
  </w:num>
  <w:num w:numId="4">
    <w:abstractNumId w:val="37"/>
  </w:num>
  <w:num w:numId="5">
    <w:abstractNumId w:val="21"/>
  </w:num>
  <w:num w:numId="6">
    <w:abstractNumId w:val="10"/>
  </w:num>
  <w:num w:numId="7">
    <w:abstractNumId w:val="39"/>
  </w:num>
  <w:num w:numId="8">
    <w:abstractNumId w:val="19"/>
  </w:num>
  <w:num w:numId="9">
    <w:abstractNumId w:val="28"/>
  </w:num>
  <w:num w:numId="10">
    <w:abstractNumId w:val="34"/>
  </w:num>
  <w:num w:numId="11">
    <w:abstractNumId w:val="48"/>
  </w:num>
  <w:num w:numId="12">
    <w:abstractNumId w:val="9"/>
  </w:num>
  <w:num w:numId="13">
    <w:abstractNumId w:val="31"/>
  </w:num>
  <w:num w:numId="14">
    <w:abstractNumId w:val="26"/>
  </w:num>
  <w:num w:numId="15">
    <w:abstractNumId w:val="24"/>
  </w:num>
  <w:num w:numId="16">
    <w:abstractNumId w:val="0"/>
  </w:num>
  <w:num w:numId="17">
    <w:abstractNumId w:val="20"/>
  </w:num>
  <w:num w:numId="18">
    <w:abstractNumId w:val="29"/>
  </w:num>
  <w:num w:numId="19">
    <w:abstractNumId w:val="52"/>
  </w:num>
  <w:num w:numId="20">
    <w:abstractNumId w:val="32"/>
  </w:num>
  <w:num w:numId="21">
    <w:abstractNumId w:val="46"/>
  </w:num>
  <w:num w:numId="22">
    <w:abstractNumId w:val="51"/>
  </w:num>
  <w:num w:numId="23">
    <w:abstractNumId w:val="35"/>
  </w:num>
  <w:num w:numId="24">
    <w:abstractNumId w:val="14"/>
  </w:num>
  <w:num w:numId="25">
    <w:abstractNumId w:val="16"/>
  </w:num>
  <w:num w:numId="26">
    <w:abstractNumId w:val="5"/>
  </w:num>
  <w:num w:numId="2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0A3"/>
    <w:rsid w:val="0000322D"/>
    <w:rsid w:val="00007670"/>
    <w:rsid w:val="00010036"/>
    <w:rsid w:val="00010665"/>
    <w:rsid w:val="00013EE1"/>
    <w:rsid w:val="0002393A"/>
    <w:rsid w:val="00024B50"/>
    <w:rsid w:val="00027DB8"/>
    <w:rsid w:val="000307A7"/>
    <w:rsid w:val="00031A96"/>
    <w:rsid w:val="00040BF3"/>
    <w:rsid w:val="0004577F"/>
    <w:rsid w:val="00046C59"/>
    <w:rsid w:val="00046EEE"/>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06E9"/>
    <w:rsid w:val="000A385C"/>
    <w:rsid w:val="000A4317"/>
    <w:rsid w:val="000A559C"/>
    <w:rsid w:val="000B2A80"/>
    <w:rsid w:val="000B2CA1"/>
    <w:rsid w:val="000C0C34"/>
    <w:rsid w:val="000D1F29"/>
    <w:rsid w:val="000D526F"/>
    <w:rsid w:val="000D633D"/>
    <w:rsid w:val="000E0962"/>
    <w:rsid w:val="000E342B"/>
    <w:rsid w:val="000E38FB"/>
    <w:rsid w:val="000E5DD2"/>
    <w:rsid w:val="000F2958"/>
    <w:rsid w:val="000F4805"/>
    <w:rsid w:val="00103FA0"/>
    <w:rsid w:val="00104E7F"/>
    <w:rsid w:val="001117D8"/>
    <w:rsid w:val="001137EC"/>
    <w:rsid w:val="001152F5"/>
    <w:rsid w:val="00117743"/>
    <w:rsid w:val="00117F5B"/>
    <w:rsid w:val="0012258C"/>
    <w:rsid w:val="00125922"/>
    <w:rsid w:val="00130B58"/>
    <w:rsid w:val="00132658"/>
    <w:rsid w:val="00147DED"/>
    <w:rsid w:val="00150255"/>
    <w:rsid w:val="00150DC0"/>
    <w:rsid w:val="00156CD4"/>
    <w:rsid w:val="00161CC6"/>
    <w:rsid w:val="00164A3E"/>
    <w:rsid w:val="00166B21"/>
    <w:rsid w:val="00166FF6"/>
    <w:rsid w:val="00167C78"/>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808"/>
    <w:rsid w:val="001D5A18"/>
    <w:rsid w:val="001D7CA4"/>
    <w:rsid w:val="001E057F"/>
    <w:rsid w:val="001E14EB"/>
    <w:rsid w:val="001E1982"/>
    <w:rsid w:val="001E2942"/>
    <w:rsid w:val="001E7603"/>
    <w:rsid w:val="001F2879"/>
    <w:rsid w:val="001F59E6"/>
    <w:rsid w:val="001F5C6E"/>
    <w:rsid w:val="00202014"/>
    <w:rsid w:val="002067A5"/>
    <w:rsid w:val="00206936"/>
    <w:rsid w:val="00206C6F"/>
    <w:rsid w:val="00206FBD"/>
    <w:rsid w:val="00207746"/>
    <w:rsid w:val="00221220"/>
    <w:rsid w:val="00230031"/>
    <w:rsid w:val="00235C01"/>
    <w:rsid w:val="00236878"/>
    <w:rsid w:val="002453FC"/>
    <w:rsid w:val="00247343"/>
    <w:rsid w:val="00265C56"/>
    <w:rsid w:val="00266637"/>
    <w:rsid w:val="002716CD"/>
    <w:rsid w:val="00274D4B"/>
    <w:rsid w:val="002806F5"/>
    <w:rsid w:val="00281577"/>
    <w:rsid w:val="002926BC"/>
    <w:rsid w:val="00293A72"/>
    <w:rsid w:val="002A0160"/>
    <w:rsid w:val="002A30C3"/>
    <w:rsid w:val="002A6F6A"/>
    <w:rsid w:val="002A7712"/>
    <w:rsid w:val="002B0D9D"/>
    <w:rsid w:val="002B38F7"/>
    <w:rsid w:val="002B5591"/>
    <w:rsid w:val="002B6AA4"/>
    <w:rsid w:val="002C1FE9"/>
    <w:rsid w:val="002D3A57"/>
    <w:rsid w:val="002D406D"/>
    <w:rsid w:val="002D7D05"/>
    <w:rsid w:val="002E0796"/>
    <w:rsid w:val="002E0F6E"/>
    <w:rsid w:val="002E20C8"/>
    <w:rsid w:val="002E4290"/>
    <w:rsid w:val="002E5B94"/>
    <w:rsid w:val="002E66A6"/>
    <w:rsid w:val="002F0DB1"/>
    <w:rsid w:val="002F2885"/>
    <w:rsid w:val="002F2B7D"/>
    <w:rsid w:val="002F32D0"/>
    <w:rsid w:val="002F3CF1"/>
    <w:rsid w:val="002F45A1"/>
    <w:rsid w:val="00301CE8"/>
    <w:rsid w:val="003037F9"/>
    <w:rsid w:val="0030535B"/>
    <w:rsid w:val="0030583E"/>
    <w:rsid w:val="00307FE1"/>
    <w:rsid w:val="003164BA"/>
    <w:rsid w:val="00317A01"/>
    <w:rsid w:val="003213CF"/>
    <w:rsid w:val="00321E6A"/>
    <w:rsid w:val="003223FE"/>
    <w:rsid w:val="003258E6"/>
    <w:rsid w:val="00332EEA"/>
    <w:rsid w:val="00342283"/>
    <w:rsid w:val="00343A87"/>
    <w:rsid w:val="00344A36"/>
    <w:rsid w:val="003456F4"/>
    <w:rsid w:val="00346C32"/>
    <w:rsid w:val="003477B6"/>
    <w:rsid w:val="00347FB6"/>
    <w:rsid w:val="003504FD"/>
    <w:rsid w:val="00350881"/>
    <w:rsid w:val="00357D55"/>
    <w:rsid w:val="003616A9"/>
    <w:rsid w:val="00363513"/>
    <w:rsid w:val="003657E5"/>
    <w:rsid w:val="0036589C"/>
    <w:rsid w:val="00371312"/>
    <w:rsid w:val="00371DC7"/>
    <w:rsid w:val="003765C6"/>
    <w:rsid w:val="00376BF0"/>
    <w:rsid w:val="00377A40"/>
    <w:rsid w:val="00377B21"/>
    <w:rsid w:val="003812ED"/>
    <w:rsid w:val="00382BE1"/>
    <w:rsid w:val="00390CE3"/>
    <w:rsid w:val="00394876"/>
    <w:rsid w:val="00394AAF"/>
    <w:rsid w:val="00394CE5"/>
    <w:rsid w:val="00395BD0"/>
    <w:rsid w:val="003A005F"/>
    <w:rsid w:val="003A134B"/>
    <w:rsid w:val="003A6341"/>
    <w:rsid w:val="003B173F"/>
    <w:rsid w:val="003B67FD"/>
    <w:rsid w:val="003B6A61"/>
    <w:rsid w:val="003C2CB5"/>
    <w:rsid w:val="003D42C0"/>
    <w:rsid w:val="003D5B29"/>
    <w:rsid w:val="003D7818"/>
    <w:rsid w:val="003E2445"/>
    <w:rsid w:val="003E3BB2"/>
    <w:rsid w:val="003F2069"/>
    <w:rsid w:val="003F5B58"/>
    <w:rsid w:val="0040222A"/>
    <w:rsid w:val="0040306E"/>
    <w:rsid w:val="004047BC"/>
    <w:rsid w:val="00406497"/>
    <w:rsid w:val="004100F7"/>
    <w:rsid w:val="00414CB3"/>
    <w:rsid w:val="0041563D"/>
    <w:rsid w:val="00420CF5"/>
    <w:rsid w:val="00422874"/>
    <w:rsid w:val="00426E25"/>
    <w:rsid w:val="00427D9C"/>
    <w:rsid w:val="00427E7E"/>
    <w:rsid w:val="00431E44"/>
    <w:rsid w:val="00432E23"/>
    <w:rsid w:val="004433AE"/>
    <w:rsid w:val="00443B6E"/>
    <w:rsid w:val="004521CB"/>
    <w:rsid w:val="0045420A"/>
    <w:rsid w:val="004554D4"/>
    <w:rsid w:val="004569E1"/>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E3836"/>
    <w:rsid w:val="004F016A"/>
    <w:rsid w:val="004F2206"/>
    <w:rsid w:val="004F4182"/>
    <w:rsid w:val="004F6914"/>
    <w:rsid w:val="004F6E52"/>
    <w:rsid w:val="00500F94"/>
    <w:rsid w:val="00502FB3"/>
    <w:rsid w:val="00503CDA"/>
    <w:rsid w:val="00503DE9"/>
    <w:rsid w:val="0050530C"/>
    <w:rsid w:val="00505DEA"/>
    <w:rsid w:val="00507782"/>
    <w:rsid w:val="0051263C"/>
    <w:rsid w:val="00512A04"/>
    <w:rsid w:val="005249F5"/>
    <w:rsid w:val="00525A43"/>
    <w:rsid w:val="005260F7"/>
    <w:rsid w:val="00543BD1"/>
    <w:rsid w:val="0054507C"/>
    <w:rsid w:val="00546D7E"/>
    <w:rsid w:val="00551F32"/>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0CA0"/>
    <w:rsid w:val="005D3964"/>
    <w:rsid w:val="005E144D"/>
    <w:rsid w:val="005E1500"/>
    <w:rsid w:val="005E3A43"/>
    <w:rsid w:val="005E51A4"/>
    <w:rsid w:val="005F77C7"/>
    <w:rsid w:val="0060030B"/>
    <w:rsid w:val="00605FF4"/>
    <w:rsid w:val="006145BB"/>
    <w:rsid w:val="00620675"/>
    <w:rsid w:val="00622910"/>
    <w:rsid w:val="00635CD1"/>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247"/>
    <w:rsid w:val="00705C9D"/>
    <w:rsid w:val="00705F13"/>
    <w:rsid w:val="00710CC2"/>
    <w:rsid w:val="00714F1D"/>
    <w:rsid w:val="00715225"/>
    <w:rsid w:val="007176BB"/>
    <w:rsid w:val="00720CC6"/>
    <w:rsid w:val="00722DDB"/>
    <w:rsid w:val="00722E65"/>
    <w:rsid w:val="00724728"/>
    <w:rsid w:val="00724F98"/>
    <w:rsid w:val="00730B9B"/>
    <w:rsid w:val="0073182E"/>
    <w:rsid w:val="007332FF"/>
    <w:rsid w:val="0073520D"/>
    <w:rsid w:val="007372B0"/>
    <w:rsid w:val="007408F5"/>
    <w:rsid w:val="00741EAE"/>
    <w:rsid w:val="00744E78"/>
    <w:rsid w:val="00751DA6"/>
    <w:rsid w:val="0075413F"/>
    <w:rsid w:val="00755248"/>
    <w:rsid w:val="0076190B"/>
    <w:rsid w:val="0076355D"/>
    <w:rsid w:val="00763A2D"/>
    <w:rsid w:val="007761D8"/>
    <w:rsid w:val="00777795"/>
    <w:rsid w:val="00783A57"/>
    <w:rsid w:val="00784C92"/>
    <w:rsid w:val="007859CD"/>
    <w:rsid w:val="00787F9D"/>
    <w:rsid w:val="007907E4"/>
    <w:rsid w:val="0079576C"/>
    <w:rsid w:val="00796461"/>
    <w:rsid w:val="007A6A4F"/>
    <w:rsid w:val="007B03F5"/>
    <w:rsid w:val="007B59D3"/>
    <w:rsid w:val="007B5C09"/>
    <w:rsid w:val="007B5DA2"/>
    <w:rsid w:val="007C0966"/>
    <w:rsid w:val="007C19E7"/>
    <w:rsid w:val="007C5CFD"/>
    <w:rsid w:val="007C6D9F"/>
    <w:rsid w:val="007D4893"/>
    <w:rsid w:val="007D7697"/>
    <w:rsid w:val="007E3498"/>
    <w:rsid w:val="007E70CF"/>
    <w:rsid w:val="007E74A4"/>
    <w:rsid w:val="007F263F"/>
    <w:rsid w:val="007F46EA"/>
    <w:rsid w:val="007F5579"/>
    <w:rsid w:val="008002E8"/>
    <w:rsid w:val="00806985"/>
    <w:rsid w:val="0080766E"/>
    <w:rsid w:val="008105BE"/>
    <w:rsid w:val="00811169"/>
    <w:rsid w:val="00815297"/>
    <w:rsid w:val="00817BA1"/>
    <w:rsid w:val="00823022"/>
    <w:rsid w:val="0082634E"/>
    <w:rsid w:val="008313C4"/>
    <w:rsid w:val="00833F8D"/>
    <w:rsid w:val="00835434"/>
    <w:rsid w:val="008358C0"/>
    <w:rsid w:val="00842838"/>
    <w:rsid w:val="00854EC1"/>
    <w:rsid w:val="0085797F"/>
    <w:rsid w:val="00860804"/>
    <w:rsid w:val="00861DC3"/>
    <w:rsid w:val="00867019"/>
    <w:rsid w:val="00867484"/>
    <w:rsid w:val="008735A9"/>
    <w:rsid w:val="00877D20"/>
    <w:rsid w:val="00881C48"/>
    <w:rsid w:val="00885590"/>
    <w:rsid w:val="00885ABC"/>
    <w:rsid w:val="00885B80"/>
    <w:rsid w:val="00885C30"/>
    <w:rsid w:val="00885E9B"/>
    <w:rsid w:val="00886C9D"/>
    <w:rsid w:val="00893C96"/>
    <w:rsid w:val="0089500A"/>
    <w:rsid w:val="00897C94"/>
    <w:rsid w:val="008A51A3"/>
    <w:rsid w:val="008A5852"/>
    <w:rsid w:val="008A7C12"/>
    <w:rsid w:val="008B03CE"/>
    <w:rsid w:val="008B529E"/>
    <w:rsid w:val="008B7C3D"/>
    <w:rsid w:val="008C02B9"/>
    <w:rsid w:val="008C17FB"/>
    <w:rsid w:val="008C6E32"/>
    <w:rsid w:val="008D1B00"/>
    <w:rsid w:val="008D57B8"/>
    <w:rsid w:val="008E0345"/>
    <w:rsid w:val="008E03FC"/>
    <w:rsid w:val="008E4301"/>
    <w:rsid w:val="008E510B"/>
    <w:rsid w:val="008F1E34"/>
    <w:rsid w:val="008F334E"/>
    <w:rsid w:val="00902B13"/>
    <w:rsid w:val="00911941"/>
    <w:rsid w:val="009138A0"/>
    <w:rsid w:val="00925F0F"/>
    <w:rsid w:val="00930C91"/>
    <w:rsid w:val="00932F6B"/>
    <w:rsid w:val="00934F5E"/>
    <w:rsid w:val="00937B31"/>
    <w:rsid w:val="009436FF"/>
    <w:rsid w:val="0094483E"/>
    <w:rsid w:val="009468BC"/>
    <w:rsid w:val="009616DF"/>
    <w:rsid w:val="00964B22"/>
    <w:rsid w:val="0096542F"/>
    <w:rsid w:val="00967FA7"/>
    <w:rsid w:val="00971645"/>
    <w:rsid w:val="00977919"/>
    <w:rsid w:val="00983000"/>
    <w:rsid w:val="00985C55"/>
    <w:rsid w:val="009870FA"/>
    <w:rsid w:val="009921C3"/>
    <w:rsid w:val="0099551D"/>
    <w:rsid w:val="009A5897"/>
    <w:rsid w:val="009A5F24"/>
    <w:rsid w:val="009B0B3E"/>
    <w:rsid w:val="009B1913"/>
    <w:rsid w:val="009B6657"/>
    <w:rsid w:val="009B7C35"/>
    <w:rsid w:val="009C198E"/>
    <w:rsid w:val="009C21F1"/>
    <w:rsid w:val="009C2C99"/>
    <w:rsid w:val="009D0EB5"/>
    <w:rsid w:val="009D14F9"/>
    <w:rsid w:val="009D2B74"/>
    <w:rsid w:val="009D63FF"/>
    <w:rsid w:val="009E175D"/>
    <w:rsid w:val="009E269E"/>
    <w:rsid w:val="009E3CC2"/>
    <w:rsid w:val="009F06BD"/>
    <w:rsid w:val="009F2A4D"/>
    <w:rsid w:val="009F3302"/>
    <w:rsid w:val="00A00828"/>
    <w:rsid w:val="00A03290"/>
    <w:rsid w:val="00A07490"/>
    <w:rsid w:val="00A10655"/>
    <w:rsid w:val="00A1197C"/>
    <w:rsid w:val="00A12B64"/>
    <w:rsid w:val="00A22C38"/>
    <w:rsid w:val="00A25193"/>
    <w:rsid w:val="00A26E80"/>
    <w:rsid w:val="00A311F1"/>
    <w:rsid w:val="00A31AE8"/>
    <w:rsid w:val="00A3739D"/>
    <w:rsid w:val="00A37DDA"/>
    <w:rsid w:val="00A37ED8"/>
    <w:rsid w:val="00A40DCC"/>
    <w:rsid w:val="00A45BF7"/>
    <w:rsid w:val="00A71E1C"/>
    <w:rsid w:val="00A856ED"/>
    <w:rsid w:val="00A86CD3"/>
    <w:rsid w:val="00A925EC"/>
    <w:rsid w:val="00A929AA"/>
    <w:rsid w:val="00A92B6B"/>
    <w:rsid w:val="00A937AD"/>
    <w:rsid w:val="00A955A9"/>
    <w:rsid w:val="00A9572A"/>
    <w:rsid w:val="00AA541E"/>
    <w:rsid w:val="00AB669F"/>
    <w:rsid w:val="00AC1D59"/>
    <w:rsid w:val="00AD0DA4"/>
    <w:rsid w:val="00AD4169"/>
    <w:rsid w:val="00AE25C6"/>
    <w:rsid w:val="00AE306C"/>
    <w:rsid w:val="00AE78D0"/>
    <w:rsid w:val="00AF28C1"/>
    <w:rsid w:val="00AF5F76"/>
    <w:rsid w:val="00AF6226"/>
    <w:rsid w:val="00B0043D"/>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97CFC"/>
    <w:rsid w:val="00BA1D47"/>
    <w:rsid w:val="00BA66F0"/>
    <w:rsid w:val="00BB2239"/>
    <w:rsid w:val="00BB2AE7"/>
    <w:rsid w:val="00BB6464"/>
    <w:rsid w:val="00BC1BB8"/>
    <w:rsid w:val="00BD478E"/>
    <w:rsid w:val="00BD7FE1"/>
    <w:rsid w:val="00BE37CA"/>
    <w:rsid w:val="00BE6144"/>
    <w:rsid w:val="00BE635A"/>
    <w:rsid w:val="00BF17E9"/>
    <w:rsid w:val="00BF2ABB"/>
    <w:rsid w:val="00BF5099"/>
    <w:rsid w:val="00BF5345"/>
    <w:rsid w:val="00C059FA"/>
    <w:rsid w:val="00C10F10"/>
    <w:rsid w:val="00C144D1"/>
    <w:rsid w:val="00C15D4D"/>
    <w:rsid w:val="00C175DC"/>
    <w:rsid w:val="00C30171"/>
    <w:rsid w:val="00C309D8"/>
    <w:rsid w:val="00C34C1B"/>
    <w:rsid w:val="00C43519"/>
    <w:rsid w:val="00C51537"/>
    <w:rsid w:val="00C52BC3"/>
    <w:rsid w:val="00C61AFA"/>
    <w:rsid w:val="00C61D64"/>
    <w:rsid w:val="00C62099"/>
    <w:rsid w:val="00C64EA3"/>
    <w:rsid w:val="00C64FD3"/>
    <w:rsid w:val="00C72867"/>
    <w:rsid w:val="00C75E81"/>
    <w:rsid w:val="00C75F52"/>
    <w:rsid w:val="00C800F1"/>
    <w:rsid w:val="00C86533"/>
    <w:rsid w:val="00C86609"/>
    <w:rsid w:val="00C92B4C"/>
    <w:rsid w:val="00C954F6"/>
    <w:rsid w:val="00CA3A93"/>
    <w:rsid w:val="00CA6BC5"/>
    <w:rsid w:val="00CB6A67"/>
    <w:rsid w:val="00CC61CD"/>
    <w:rsid w:val="00CD5011"/>
    <w:rsid w:val="00CE640F"/>
    <w:rsid w:val="00CE76BC"/>
    <w:rsid w:val="00CF540E"/>
    <w:rsid w:val="00D02F07"/>
    <w:rsid w:val="00D20FF0"/>
    <w:rsid w:val="00D23346"/>
    <w:rsid w:val="00D27EBE"/>
    <w:rsid w:val="00D35985"/>
    <w:rsid w:val="00D362F7"/>
    <w:rsid w:val="00D36A49"/>
    <w:rsid w:val="00D405DD"/>
    <w:rsid w:val="00D517C6"/>
    <w:rsid w:val="00D53ECE"/>
    <w:rsid w:val="00D64806"/>
    <w:rsid w:val="00D71D84"/>
    <w:rsid w:val="00D72464"/>
    <w:rsid w:val="00D764A8"/>
    <w:rsid w:val="00D768EB"/>
    <w:rsid w:val="00D82D1E"/>
    <w:rsid w:val="00D832D9"/>
    <w:rsid w:val="00D90F00"/>
    <w:rsid w:val="00D92366"/>
    <w:rsid w:val="00D94F6B"/>
    <w:rsid w:val="00D975C0"/>
    <w:rsid w:val="00DA5285"/>
    <w:rsid w:val="00DB191D"/>
    <w:rsid w:val="00DB4F91"/>
    <w:rsid w:val="00DB5BBC"/>
    <w:rsid w:val="00DC1EF7"/>
    <w:rsid w:val="00DC1F0F"/>
    <w:rsid w:val="00DC3117"/>
    <w:rsid w:val="00DC5DD9"/>
    <w:rsid w:val="00DC69AE"/>
    <w:rsid w:val="00DC6D2D"/>
    <w:rsid w:val="00DD64C2"/>
    <w:rsid w:val="00DE33B5"/>
    <w:rsid w:val="00DE5E18"/>
    <w:rsid w:val="00DE6E01"/>
    <w:rsid w:val="00DF0487"/>
    <w:rsid w:val="00DF1C5B"/>
    <w:rsid w:val="00DF5EA4"/>
    <w:rsid w:val="00E02631"/>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2C"/>
    <w:rsid w:val="00E63864"/>
    <w:rsid w:val="00E6403F"/>
    <w:rsid w:val="00E64725"/>
    <w:rsid w:val="00E6590D"/>
    <w:rsid w:val="00E718EB"/>
    <w:rsid w:val="00E73981"/>
    <w:rsid w:val="00E75449"/>
    <w:rsid w:val="00E770C4"/>
    <w:rsid w:val="00E84C5A"/>
    <w:rsid w:val="00E861DB"/>
    <w:rsid w:val="00E93406"/>
    <w:rsid w:val="00E956C5"/>
    <w:rsid w:val="00E9579A"/>
    <w:rsid w:val="00E95C39"/>
    <w:rsid w:val="00EA07E4"/>
    <w:rsid w:val="00EA1F2C"/>
    <w:rsid w:val="00EA2C39"/>
    <w:rsid w:val="00EA36CC"/>
    <w:rsid w:val="00EA5645"/>
    <w:rsid w:val="00EB0A3C"/>
    <w:rsid w:val="00EB0A96"/>
    <w:rsid w:val="00EB25A7"/>
    <w:rsid w:val="00EB77F9"/>
    <w:rsid w:val="00EC50F0"/>
    <w:rsid w:val="00EC5769"/>
    <w:rsid w:val="00EC7D00"/>
    <w:rsid w:val="00ED0304"/>
    <w:rsid w:val="00ED087C"/>
    <w:rsid w:val="00ED70DE"/>
    <w:rsid w:val="00ED7572"/>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37738"/>
    <w:rsid w:val="00F5696E"/>
    <w:rsid w:val="00F57D83"/>
    <w:rsid w:val="00F60EFF"/>
    <w:rsid w:val="00F61EFF"/>
    <w:rsid w:val="00F67D2D"/>
    <w:rsid w:val="00F67F5C"/>
    <w:rsid w:val="00F860CC"/>
    <w:rsid w:val="00F90858"/>
    <w:rsid w:val="00F94398"/>
    <w:rsid w:val="00F97D42"/>
    <w:rsid w:val="00FA2766"/>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40CE"/>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F37738"/>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rsid w:val="00A71E1C"/>
    <w:pPr>
      <w:spacing w:after="0"/>
    </w:pPr>
    <w:rPr>
      <w:sz w:val="20"/>
      <w:szCs w:val="20"/>
    </w:rPr>
  </w:style>
  <w:style w:type="character" w:customStyle="1" w:styleId="FootnoteTextChar">
    <w:name w:val="Footnote Text Char"/>
    <w:basedOn w:val="DefaultParagraphFont"/>
    <w:link w:val="FootnoteText"/>
    <w:uiPriority w:val="99"/>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HeaderText">
    <w:name w:val="Header Text"/>
    <w:basedOn w:val="Normal"/>
    <w:rsid w:val="00E718EB"/>
    <w:pPr>
      <w:autoSpaceDE w:val="0"/>
      <w:autoSpaceDN w:val="0"/>
      <w:adjustRightInd w:val="0"/>
      <w:spacing w:after="0"/>
    </w:pPr>
    <w:rPr>
      <w:rFonts w:ascii="Arial" w:eastAsia="Times New Roman" w:hAnsi="Arial" w:cs="Arial"/>
      <w:i/>
      <w:iCs/>
      <w:sz w:val="20"/>
      <w:szCs w:val="20"/>
      <w:lang w:val="en-US"/>
    </w:rPr>
  </w:style>
  <w:style w:type="character" w:styleId="FollowedHyperlink">
    <w:name w:val="FollowedHyperlink"/>
    <w:basedOn w:val="DefaultParagraphFont"/>
    <w:uiPriority w:val="99"/>
    <w:semiHidden/>
    <w:unhideWhenUsed/>
    <w:rsid w:val="004569E1"/>
    <w:rPr>
      <w:color w:val="8C4799" w:themeColor="followedHyperlink"/>
      <w:u w:val="single"/>
    </w:rPr>
  </w:style>
  <w:style w:type="numbering" w:customStyle="1" w:styleId="Style3">
    <w:name w:val="Style3"/>
    <w:rsid w:val="00166B21"/>
    <w:pPr>
      <w:numPr>
        <w:numId w:val="20"/>
      </w:numPr>
    </w:pPr>
  </w:style>
  <w:style w:type="character" w:customStyle="1" w:styleId="ListParagraphChar">
    <w:name w:val="List Paragraph Char"/>
    <w:basedOn w:val="DefaultParagraphFont"/>
    <w:link w:val="ListParagraph"/>
    <w:uiPriority w:val="34"/>
    <w:locked/>
    <w:rsid w:val="00166B21"/>
    <w:rPr>
      <w:rFonts w:ascii="Lato" w:eastAsiaTheme="minorEastAsia" w:hAnsi="Lato"/>
      <w:iCs/>
    </w:rPr>
  </w:style>
  <w:style w:type="character" w:styleId="CommentReference">
    <w:name w:val="annotation reference"/>
    <w:basedOn w:val="DefaultParagraphFont"/>
    <w:uiPriority w:val="99"/>
    <w:semiHidden/>
    <w:unhideWhenUsed/>
    <w:rsid w:val="00F37738"/>
    <w:rPr>
      <w:sz w:val="16"/>
      <w:szCs w:val="16"/>
    </w:rPr>
  </w:style>
  <w:style w:type="paragraph" w:styleId="CommentText">
    <w:name w:val="annotation text"/>
    <w:basedOn w:val="Normal"/>
    <w:link w:val="CommentTextChar"/>
    <w:uiPriority w:val="99"/>
    <w:unhideWhenUsed/>
    <w:rsid w:val="00F37738"/>
    <w:rPr>
      <w:sz w:val="20"/>
      <w:szCs w:val="20"/>
    </w:rPr>
  </w:style>
  <w:style w:type="character" w:customStyle="1" w:styleId="CommentTextChar">
    <w:name w:val="Comment Text Char"/>
    <w:basedOn w:val="DefaultParagraphFont"/>
    <w:link w:val="CommentText"/>
    <w:uiPriority w:val="99"/>
    <w:rsid w:val="00F3773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37738"/>
    <w:rPr>
      <w:b/>
      <w:bCs/>
    </w:rPr>
  </w:style>
  <w:style w:type="character" w:customStyle="1" w:styleId="CommentSubjectChar">
    <w:name w:val="Comment Subject Char"/>
    <w:basedOn w:val="CommentTextChar"/>
    <w:link w:val="CommentSubject"/>
    <w:uiPriority w:val="99"/>
    <w:semiHidden/>
    <w:rsid w:val="00F37738"/>
    <w:rPr>
      <w:rFonts w:ascii="Lato" w:hAnsi="Lato"/>
      <w:b/>
      <w:bCs/>
      <w:sz w:val="20"/>
      <w:szCs w:val="20"/>
    </w:rPr>
  </w:style>
  <w:style w:type="character" w:styleId="UnresolvedMention">
    <w:name w:val="Unresolved Mention"/>
    <w:basedOn w:val="DefaultParagraphFont"/>
    <w:uiPriority w:val="99"/>
    <w:semiHidden/>
    <w:unhideWhenUsed/>
    <w:rsid w:val="009E269E"/>
    <w:rPr>
      <w:color w:val="605E5C"/>
      <w:shd w:val="clear" w:color="auto" w:fill="E1DFDD"/>
    </w:rPr>
  </w:style>
  <w:style w:type="paragraph" w:styleId="Revision">
    <w:name w:val="Revision"/>
    <w:hidden/>
    <w:uiPriority w:val="99"/>
    <w:semiHidden/>
    <w:rsid w:val="00FA2766"/>
    <w:pPr>
      <w:spacing w:after="0"/>
    </w:pPr>
    <w:rPr>
      <w:rFonts w:ascii="Lato" w:hAnsi="Lato"/>
    </w:rPr>
  </w:style>
  <w:style w:type="paragraph" w:styleId="BalloonText">
    <w:name w:val="Balloon Text"/>
    <w:basedOn w:val="Normal"/>
    <w:link w:val="BalloonTextChar"/>
    <w:uiPriority w:val="99"/>
    <w:semiHidden/>
    <w:unhideWhenUsed/>
    <w:rsid w:val="008C6E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WORK-HEALTH-AND-SAFETY-NATIONAL-UNIFORM-LEGISLATION-ACT-2011"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education.nt.gov.au/policies/health-safety"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en/Legislation/NOTIFIABLE-DISEASES-ACT-1981" TargetMode="External"/><Relationship Id="rId25" Type="http://schemas.openxmlformats.org/officeDocument/2006/relationships/hyperlink" Target="https://www.nhmrc.gov.au/about-us/publications/staying-healthy-preventing-infectious-diseases-early-childhood-education-and-care-services" TargetMode="External"/><Relationship Id="rId2" Type="http://schemas.openxmlformats.org/officeDocument/2006/relationships/customXml" Target="../customXml/item2.xml"/><Relationship Id="rId16" Type="http://schemas.openxmlformats.org/officeDocument/2006/relationships/hyperlink" Target="https://legislation.nsw.gov.au/view/html/inforce/current/sl-2011-0653" TargetMode="External"/><Relationship Id="rId20" Type="http://schemas.openxmlformats.org/officeDocument/2006/relationships/hyperlink" Target="https://www.health.gov.au/committees-and-groups/cdna/pub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igitallibrary.health.nt.gov.au/prodjspui/handle/10137/1011" TargetMode="External"/><Relationship Id="rId5" Type="http://schemas.openxmlformats.org/officeDocument/2006/relationships/settings" Target="settings.xml"/><Relationship Id="rId15" Type="http://schemas.openxmlformats.org/officeDocument/2006/relationships/hyperlink" Target="https://legislation.nt.gov.au/en/Legislation/EDUCATION-AND-CARE-SERVICES-NATIONAL-UNIFORM-LEGISLATION-ACT-2011" TargetMode="External"/><Relationship Id="rId23" Type="http://schemas.openxmlformats.org/officeDocument/2006/relationships/hyperlink" Target="https://sma.org.au/resources-advice/policies-and-guidelines/infectious-diseases/" TargetMode="External"/><Relationship Id="rId28" Type="http://schemas.openxmlformats.org/officeDocument/2006/relationships/hyperlink" Target="mailto:swipolicy.doe@education.nt.gov.au" TargetMode="External"/><Relationship Id="rId10" Type="http://schemas.openxmlformats.org/officeDocument/2006/relationships/header" Target="header2.xml"/><Relationship Id="rId19" Type="http://schemas.openxmlformats.org/officeDocument/2006/relationships/hyperlink" Target="https://www.acecqa.gov.au/national-quality-framewor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Legislation/EDUCATION-ACT-2015" TargetMode="External"/><Relationship Id="rId22" Type="http://schemas.openxmlformats.org/officeDocument/2006/relationships/hyperlink" Target="https://sma.org.au/resources-advice/policies-and-guidelines/"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1473B8"/>
    <w:rsid w:val="001B3A0F"/>
    <w:rsid w:val="002D611C"/>
    <w:rsid w:val="003726AD"/>
    <w:rsid w:val="003E1223"/>
    <w:rsid w:val="004532F9"/>
    <w:rsid w:val="004775BE"/>
    <w:rsid w:val="004D3BE7"/>
    <w:rsid w:val="00536110"/>
    <w:rsid w:val="00780DE1"/>
    <w:rsid w:val="00855A6C"/>
    <w:rsid w:val="00890D7C"/>
    <w:rsid w:val="009A63B5"/>
    <w:rsid w:val="00C35A46"/>
    <w:rsid w:val="00CC0B5E"/>
    <w:rsid w:val="00D11465"/>
    <w:rsid w:val="00D55BC3"/>
    <w:rsid w:val="00E17102"/>
    <w:rsid w:val="00ED184D"/>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9D6CF4-22A5-4DEC-BFB6-EBBF03BC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Infectious diseases – exclusions from school – policy</vt:lpstr>
    </vt:vector>
  </TitlesOfParts>
  <Company>Education</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diseases – exclusions from school – policy</dc:title>
  <dc:creator>Northern Territory Government</dc:creator>
  <cp:lastModifiedBy>Jessica Lai</cp:lastModifiedBy>
  <cp:revision>5</cp:revision>
  <cp:lastPrinted>2016-02-04T04:37:00Z</cp:lastPrinted>
  <dcterms:created xsi:type="dcterms:W3CDTF">2023-07-05T01:47:00Z</dcterms:created>
  <dcterms:modified xsi:type="dcterms:W3CDTF">2023-07-10T23:19:00Z</dcterms:modified>
</cp:coreProperties>
</file>