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04E674F5" w:rsidR="00886C9D" w:rsidRPr="00886C9D" w:rsidRDefault="00810A6D" w:rsidP="004A59AC">
          <w:pPr>
            <w:pStyle w:val="Title"/>
          </w:pPr>
          <w:r>
            <w:rPr>
              <w:rStyle w:val="TitleChar"/>
            </w:rPr>
            <w:t>Condom provision in school – guidelines</w:t>
          </w:r>
        </w:p>
      </w:sdtContent>
    </w:sdt>
    <w:p w14:paraId="77C6865F" w14:textId="77777777" w:rsidR="00964B22" w:rsidRDefault="00964B22" w:rsidP="004A59AC">
      <w:pPr>
        <w:tabs>
          <w:tab w:val="center" w:pos="4819"/>
        </w:tabs>
      </w:pPr>
    </w:p>
    <w:p w14:paraId="161DE1BA" w14:textId="77777777" w:rsidR="007761D8" w:rsidRPr="00DD64C2" w:rsidRDefault="007761D8" w:rsidP="004A59AC">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3E0BAA">
          <w:pPr>
            <w:pStyle w:val="TOCHeading"/>
            <w:tabs>
              <w:tab w:val="left" w:pos="9444"/>
            </w:tabs>
            <w:spacing w:before="120" w:after="100"/>
            <w:rPr>
              <w:lang w:eastAsia="ja-JP"/>
            </w:rPr>
          </w:pPr>
          <w:r w:rsidRPr="00422874">
            <w:t>Contents</w:t>
          </w:r>
        </w:p>
        <w:p w14:paraId="1CAFA8ED" w14:textId="7B62D214" w:rsidR="004F518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1412849" w:history="1">
            <w:r w:rsidR="004F5186" w:rsidRPr="00356228">
              <w:rPr>
                <w:rStyle w:val="Hyperlink"/>
                <w:noProof/>
                <w:lang w:eastAsia="en-AU"/>
              </w:rPr>
              <w:t>1. Introduction</w:t>
            </w:r>
            <w:r w:rsidR="004F5186">
              <w:rPr>
                <w:noProof/>
                <w:webHidden/>
              </w:rPr>
              <w:tab/>
            </w:r>
            <w:r w:rsidR="004F5186">
              <w:rPr>
                <w:noProof/>
                <w:webHidden/>
              </w:rPr>
              <w:fldChar w:fldCharType="begin"/>
            </w:r>
            <w:r w:rsidR="004F5186">
              <w:rPr>
                <w:noProof/>
                <w:webHidden/>
              </w:rPr>
              <w:instrText xml:space="preserve"> PAGEREF _Toc131412849 \h </w:instrText>
            </w:r>
            <w:r w:rsidR="004F5186">
              <w:rPr>
                <w:noProof/>
                <w:webHidden/>
              </w:rPr>
            </w:r>
            <w:r w:rsidR="004F5186">
              <w:rPr>
                <w:noProof/>
                <w:webHidden/>
              </w:rPr>
              <w:fldChar w:fldCharType="separate"/>
            </w:r>
            <w:r w:rsidR="004F5186">
              <w:rPr>
                <w:noProof/>
                <w:webHidden/>
              </w:rPr>
              <w:t>3</w:t>
            </w:r>
            <w:r w:rsidR="004F5186">
              <w:rPr>
                <w:noProof/>
                <w:webHidden/>
              </w:rPr>
              <w:fldChar w:fldCharType="end"/>
            </w:r>
          </w:hyperlink>
        </w:p>
        <w:p w14:paraId="19F03D7A" w14:textId="1BD95AB5" w:rsidR="004F5186" w:rsidRDefault="009F69D7">
          <w:pPr>
            <w:pStyle w:val="TOC1"/>
            <w:rPr>
              <w:rFonts w:asciiTheme="minorHAnsi" w:eastAsiaTheme="minorEastAsia" w:hAnsiTheme="minorHAnsi" w:cstheme="minorBidi"/>
              <w:b w:val="0"/>
              <w:noProof/>
              <w:lang w:eastAsia="en-AU"/>
            </w:rPr>
          </w:pPr>
          <w:hyperlink w:anchor="_Toc131412850" w:history="1">
            <w:r w:rsidR="004F5186" w:rsidRPr="00356228">
              <w:rPr>
                <w:rStyle w:val="Hyperlink"/>
                <w:noProof/>
                <w:lang w:eastAsia="en-AU"/>
              </w:rPr>
              <w:t>2. Implementation</w:t>
            </w:r>
            <w:r w:rsidR="004F5186">
              <w:rPr>
                <w:noProof/>
                <w:webHidden/>
              </w:rPr>
              <w:tab/>
            </w:r>
            <w:r w:rsidR="004F5186">
              <w:rPr>
                <w:noProof/>
                <w:webHidden/>
              </w:rPr>
              <w:fldChar w:fldCharType="begin"/>
            </w:r>
            <w:r w:rsidR="004F5186">
              <w:rPr>
                <w:noProof/>
                <w:webHidden/>
              </w:rPr>
              <w:instrText xml:space="preserve"> PAGEREF _Toc131412850 \h </w:instrText>
            </w:r>
            <w:r w:rsidR="004F5186">
              <w:rPr>
                <w:noProof/>
                <w:webHidden/>
              </w:rPr>
            </w:r>
            <w:r w:rsidR="004F5186">
              <w:rPr>
                <w:noProof/>
                <w:webHidden/>
              </w:rPr>
              <w:fldChar w:fldCharType="separate"/>
            </w:r>
            <w:r w:rsidR="004F5186">
              <w:rPr>
                <w:noProof/>
                <w:webHidden/>
              </w:rPr>
              <w:t>3</w:t>
            </w:r>
            <w:r w:rsidR="004F5186">
              <w:rPr>
                <w:noProof/>
                <w:webHidden/>
              </w:rPr>
              <w:fldChar w:fldCharType="end"/>
            </w:r>
          </w:hyperlink>
        </w:p>
        <w:p w14:paraId="30733FB2" w14:textId="330E472C" w:rsidR="004F5186" w:rsidRDefault="009F69D7">
          <w:pPr>
            <w:pStyle w:val="TOC1"/>
            <w:rPr>
              <w:rFonts w:asciiTheme="minorHAnsi" w:eastAsiaTheme="minorEastAsia" w:hAnsiTheme="minorHAnsi" w:cstheme="minorBidi"/>
              <w:b w:val="0"/>
              <w:noProof/>
              <w:lang w:eastAsia="en-AU"/>
            </w:rPr>
          </w:pPr>
          <w:hyperlink w:anchor="_Toc131412851" w:history="1">
            <w:r w:rsidR="004F5186" w:rsidRPr="00356228">
              <w:rPr>
                <w:rStyle w:val="Hyperlink"/>
                <w:noProof/>
                <w:lang w:val="en-US"/>
              </w:rPr>
              <w:t>3. Procedures for teachers and other school staff</w:t>
            </w:r>
            <w:r w:rsidR="004F5186">
              <w:rPr>
                <w:noProof/>
                <w:webHidden/>
              </w:rPr>
              <w:tab/>
            </w:r>
            <w:r w:rsidR="004F5186">
              <w:rPr>
                <w:noProof/>
                <w:webHidden/>
              </w:rPr>
              <w:fldChar w:fldCharType="begin"/>
            </w:r>
            <w:r w:rsidR="004F5186">
              <w:rPr>
                <w:noProof/>
                <w:webHidden/>
              </w:rPr>
              <w:instrText xml:space="preserve"> PAGEREF _Toc131412851 \h </w:instrText>
            </w:r>
            <w:r w:rsidR="004F5186">
              <w:rPr>
                <w:noProof/>
                <w:webHidden/>
              </w:rPr>
            </w:r>
            <w:r w:rsidR="004F5186">
              <w:rPr>
                <w:noProof/>
                <w:webHidden/>
              </w:rPr>
              <w:fldChar w:fldCharType="separate"/>
            </w:r>
            <w:r w:rsidR="004F5186">
              <w:rPr>
                <w:noProof/>
                <w:webHidden/>
              </w:rPr>
              <w:t>4</w:t>
            </w:r>
            <w:r w:rsidR="004F5186">
              <w:rPr>
                <w:noProof/>
                <w:webHidden/>
              </w:rPr>
              <w:fldChar w:fldCharType="end"/>
            </w:r>
          </w:hyperlink>
        </w:p>
        <w:p w14:paraId="505F695A" w14:textId="6C0E522B" w:rsidR="004F5186" w:rsidRDefault="009F69D7">
          <w:pPr>
            <w:pStyle w:val="TOC1"/>
            <w:rPr>
              <w:rFonts w:asciiTheme="minorHAnsi" w:eastAsiaTheme="minorEastAsia" w:hAnsiTheme="minorHAnsi" w:cstheme="minorBidi"/>
              <w:b w:val="0"/>
              <w:noProof/>
              <w:lang w:eastAsia="en-AU"/>
            </w:rPr>
          </w:pPr>
          <w:hyperlink w:anchor="_Toc131412852" w:history="1">
            <w:r w:rsidR="004F5186" w:rsidRPr="00356228">
              <w:rPr>
                <w:rStyle w:val="Hyperlink"/>
                <w:noProof/>
                <w:lang w:val="en-US"/>
              </w:rPr>
              <w:t>4. Procedures for nominated officers</w:t>
            </w:r>
            <w:r w:rsidR="004F5186">
              <w:rPr>
                <w:noProof/>
                <w:webHidden/>
              </w:rPr>
              <w:tab/>
            </w:r>
            <w:r w:rsidR="004F5186">
              <w:rPr>
                <w:noProof/>
                <w:webHidden/>
              </w:rPr>
              <w:fldChar w:fldCharType="begin"/>
            </w:r>
            <w:r w:rsidR="004F5186">
              <w:rPr>
                <w:noProof/>
                <w:webHidden/>
              </w:rPr>
              <w:instrText xml:space="preserve"> PAGEREF _Toc131412852 \h </w:instrText>
            </w:r>
            <w:r w:rsidR="004F5186">
              <w:rPr>
                <w:noProof/>
                <w:webHidden/>
              </w:rPr>
            </w:r>
            <w:r w:rsidR="004F5186">
              <w:rPr>
                <w:noProof/>
                <w:webHidden/>
              </w:rPr>
              <w:fldChar w:fldCharType="separate"/>
            </w:r>
            <w:r w:rsidR="004F5186">
              <w:rPr>
                <w:noProof/>
                <w:webHidden/>
              </w:rPr>
              <w:t>4</w:t>
            </w:r>
            <w:r w:rsidR="004F5186">
              <w:rPr>
                <w:noProof/>
                <w:webHidden/>
              </w:rPr>
              <w:fldChar w:fldCharType="end"/>
            </w:r>
          </w:hyperlink>
        </w:p>
        <w:p w14:paraId="77598BCA" w14:textId="5F7F770A" w:rsidR="004F5186" w:rsidRDefault="009F69D7">
          <w:pPr>
            <w:pStyle w:val="TOC2"/>
            <w:rPr>
              <w:rFonts w:asciiTheme="minorHAnsi" w:eastAsiaTheme="minorEastAsia" w:hAnsiTheme="minorHAnsi" w:cstheme="minorBidi"/>
              <w:noProof/>
              <w:lang w:eastAsia="en-AU"/>
            </w:rPr>
          </w:pPr>
          <w:hyperlink w:anchor="_Toc131412853" w:history="1">
            <w:r w:rsidR="004F5186" w:rsidRPr="00356228">
              <w:rPr>
                <w:rStyle w:val="Hyperlink"/>
                <w:noProof/>
                <w:lang w:val="en-US"/>
              </w:rPr>
              <w:t>4.1. Students 16 years of age or older</w:t>
            </w:r>
            <w:r w:rsidR="004F5186">
              <w:rPr>
                <w:noProof/>
                <w:webHidden/>
              </w:rPr>
              <w:tab/>
            </w:r>
            <w:r w:rsidR="004F5186">
              <w:rPr>
                <w:noProof/>
                <w:webHidden/>
              </w:rPr>
              <w:fldChar w:fldCharType="begin"/>
            </w:r>
            <w:r w:rsidR="004F5186">
              <w:rPr>
                <w:noProof/>
                <w:webHidden/>
              </w:rPr>
              <w:instrText xml:space="preserve"> PAGEREF _Toc131412853 \h </w:instrText>
            </w:r>
            <w:r w:rsidR="004F5186">
              <w:rPr>
                <w:noProof/>
                <w:webHidden/>
              </w:rPr>
            </w:r>
            <w:r w:rsidR="004F5186">
              <w:rPr>
                <w:noProof/>
                <w:webHidden/>
              </w:rPr>
              <w:fldChar w:fldCharType="separate"/>
            </w:r>
            <w:r w:rsidR="004F5186">
              <w:rPr>
                <w:noProof/>
                <w:webHidden/>
              </w:rPr>
              <w:t>4</w:t>
            </w:r>
            <w:r w:rsidR="004F5186">
              <w:rPr>
                <w:noProof/>
                <w:webHidden/>
              </w:rPr>
              <w:fldChar w:fldCharType="end"/>
            </w:r>
          </w:hyperlink>
        </w:p>
        <w:p w14:paraId="4154CC61" w14:textId="51C6DB7D" w:rsidR="004F5186" w:rsidRDefault="009F69D7">
          <w:pPr>
            <w:pStyle w:val="TOC2"/>
            <w:rPr>
              <w:rFonts w:asciiTheme="minorHAnsi" w:eastAsiaTheme="minorEastAsia" w:hAnsiTheme="minorHAnsi" w:cstheme="minorBidi"/>
              <w:noProof/>
              <w:lang w:eastAsia="en-AU"/>
            </w:rPr>
          </w:pPr>
          <w:hyperlink w:anchor="_Toc131412854" w:history="1">
            <w:r w:rsidR="004F5186" w:rsidRPr="00356228">
              <w:rPr>
                <w:rStyle w:val="Hyperlink"/>
                <w:noProof/>
                <w:lang w:val="en-US"/>
              </w:rPr>
              <w:t>4.2. Students under 16 years of age</w:t>
            </w:r>
            <w:r w:rsidR="004F5186">
              <w:rPr>
                <w:noProof/>
                <w:webHidden/>
              </w:rPr>
              <w:tab/>
            </w:r>
            <w:r w:rsidR="004F5186">
              <w:rPr>
                <w:noProof/>
                <w:webHidden/>
              </w:rPr>
              <w:fldChar w:fldCharType="begin"/>
            </w:r>
            <w:r w:rsidR="004F5186">
              <w:rPr>
                <w:noProof/>
                <w:webHidden/>
              </w:rPr>
              <w:instrText xml:space="preserve"> PAGEREF _Toc131412854 \h </w:instrText>
            </w:r>
            <w:r w:rsidR="004F5186">
              <w:rPr>
                <w:noProof/>
                <w:webHidden/>
              </w:rPr>
            </w:r>
            <w:r w:rsidR="004F5186">
              <w:rPr>
                <w:noProof/>
                <w:webHidden/>
              </w:rPr>
              <w:fldChar w:fldCharType="separate"/>
            </w:r>
            <w:r w:rsidR="004F5186">
              <w:rPr>
                <w:noProof/>
                <w:webHidden/>
              </w:rPr>
              <w:t>4</w:t>
            </w:r>
            <w:r w:rsidR="004F5186">
              <w:rPr>
                <w:noProof/>
                <w:webHidden/>
              </w:rPr>
              <w:fldChar w:fldCharType="end"/>
            </w:r>
          </w:hyperlink>
        </w:p>
        <w:p w14:paraId="6D3172C9" w14:textId="19209F77" w:rsidR="004F5186" w:rsidRDefault="009F69D7">
          <w:pPr>
            <w:pStyle w:val="TOC1"/>
            <w:rPr>
              <w:rFonts w:asciiTheme="minorHAnsi" w:eastAsiaTheme="minorEastAsia" w:hAnsiTheme="minorHAnsi" w:cstheme="minorBidi"/>
              <w:b w:val="0"/>
              <w:noProof/>
              <w:lang w:eastAsia="en-AU"/>
            </w:rPr>
          </w:pPr>
          <w:hyperlink w:anchor="_Toc131412855" w:history="1">
            <w:r w:rsidR="004F5186" w:rsidRPr="00356228">
              <w:rPr>
                <w:rStyle w:val="Hyperlink"/>
                <w:noProof/>
                <w:lang w:val="en-US"/>
              </w:rPr>
              <w:t>5. Procedures for health promoting school nurses</w:t>
            </w:r>
            <w:r w:rsidR="004F5186">
              <w:rPr>
                <w:noProof/>
                <w:webHidden/>
              </w:rPr>
              <w:tab/>
            </w:r>
            <w:r w:rsidR="004F5186">
              <w:rPr>
                <w:noProof/>
                <w:webHidden/>
              </w:rPr>
              <w:fldChar w:fldCharType="begin"/>
            </w:r>
            <w:r w:rsidR="004F5186">
              <w:rPr>
                <w:noProof/>
                <w:webHidden/>
              </w:rPr>
              <w:instrText xml:space="preserve"> PAGEREF _Toc131412855 \h </w:instrText>
            </w:r>
            <w:r w:rsidR="004F5186">
              <w:rPr>
                <w:noProof/>
                <w:webHidden/>
              </w:rPr>
            </w:r>
            <w:r w:rsidR="004F5186">
              <w:rPr>
                <w:noProof/>
                <w:webHidden/>
              </w:rPr>
              <w:fldChar w:fldCharType="separate"/>
            </w:r>
            <w:r w:rsidR="004F5186">
              <w:rPr>
                <w:noProof/>
                <w:webHidden/>
              </w:rPr>
              <w:t>5</w:t>
            </w:r>
            <w:r w:rsidR="004F5186">
              <w:rPr>
                <w:noProof/>
                <w:webHidden/>
              </w:rPr>
              <w:fldChar w:fldCharType="end"/>
            </w:r>
          </w:hyperlink>
        </w:p>
        <w:p w14:paraId="1D0D8926" w14:textId="142805E5" w:rsidR="004F5186" w:rsidRDefault="009F69D7">
          <w:pPr>
            <w:pStyle w:val="TOC2"/>
            <w:rPr>
              <w:rFonts w:asciiTheme="minorHAnsi" w:eastAsiaTheme="minorEastAsia" w:hAnsiTheme="minorHAnsi" w:cstheme="minorBidi"/>
              <w:noProof/>
              <w:lang w:eastAsia="en-AU"/>
            </w:rPr>
          </w:pPr>
          <w:hyperlink w:anchor="_Toc131412856" w:history="1">
            <w:r w:rsidR="004F5186" w:rsidRPr="00356228">
              <w:rPr>
                <w:rStyle w:val="Hyperlink"/>
                <w:noProof/>
                <w:lang w:val="en-US"/>
              </w:rPr>
              <w:t>5.1. Students under 16 years of age</w:t>
            </w:r>
            <w:r w:rsidR="004F5186">
              <w:rPr>
                <w:noProof/>
                <w:webHidden/>
              </w:rPr>
              <w:tab/>
            </w:r>
            <w:r w:rsidR="004F5186">
              <w:rPr>
                <w:noProof/>
                <w:webHidden/>
              </w:rPr>
              <w:fldChar w:fldCharType="begin"/>
            </w:r>
            <w:r w:rsidR="004F5186">
              <w:rPr>
                <w:noProof/>
                <w:webHidden/>
              </w:rPr>
              <w:instrText xml:space="preserve"> PAGEREF _Toc131412856 \h </w:instrText>
            </w:r>
            <w:r w:rsidR="004F5186">
              <w:rPr>
                <w:noProof/>
                <w:webHidden/>
              </w:rPr>
            </w:r>
            <w:r w:rsidR="004F5186">
              <w:rPr>
                <w:noProof/>
                <w:webHidden/>
              </w:rPr>
              <w:fldChar w:fldCharType="separate"/>
            </w:r>
            <w:r w:rsidR="004F5186">
              <w:rPr>
                <w:noProof/>
                <w:webHidden/>
              </w:rPr>
              <w:t>5</w:t>
            </w:r>
            <w:r w:rsidR="004F5186">
              <w:rPr>
                <w:noProof/>
                <w:webHidden/>
              </w:rPr>
              <w:fldChar w:fldCharType="end"/>
            </w:r>
          </w:hyperlink>
        </w:p>
        <w:p w14:paraId="2B5341A9" w14:textId="1302CEC0" w:rsidR="004F5186" w:rsidRDefault="009F69D7">
          <w:pPr>
            <w:pStyle w:val="TOC1"/>
            <w:rPr>
              <w:rFonts w:asciiTheme="minorHAnsi" w:eastAsiaTheme="minorEastAsia" w:hAnsiTheme="minorHAnsi" w:cstheme="minorBidi"/>
              <w:b w:val="0"/>
              <w:noProof/>
              <w:lang w:eastAsia="en-AU"/>
            </w:rPr>
          </w:pPr>
          <w:hyperlink w:anchor="_Toc131412857" w:history="1">
            <w:r w:rsidR="004F5186" w:rsidRPr="00356228">
              <w:rPr>
                <w:rStyle w:val="Hyperlink"/>
                <w:noProof/>
                <w:lang w:eastAsia="en-AU"/>
              </w:rPr>
              <w:t>6. Roles and Responsibilities</w:t>
            </w:r>
            <w:r w:rsidR="004F5186">
              <w:rPr>
                <w:noProof/>
                <w:webHidden/>
              </w:rPr>
              <w:tab/>
            </w:r>
            <w:r w:rsidR="004F5186">
              <w:rPr>
                <w:noProof/>
                <w:webHidden/>
              </w:rPr>
              <w:fldChar w:fldCharType="begin"/>
            </w:r>
            <w:r w:rsidR="004F5186">
              <w:rPr>
                <w:noProof/>
                <w:webHidden/>
              </w:rPr>
              <w:instrText xml:space="preserve"> PAGEREF _Toc131412857 \h </w:instrText>
            </w:r>
            <w:r w:rsidR="004F5186">
              <w:rPr>
                <w:noProof/>
                <w:webHidden/>
              </w:rPr>
            </w:r>
            <w:r w:rsidR="004F5186">
              <w:rPr>
                <w:noProof/>
                <w:webHidden/>
              </w:rPr>
              <w:fldChar w:fldCharType="separate"/>
            </w:r>
            <w:r w:rsidR="004F5186">
              <w:rPr>
                <w:noProof/>
                <w:webHidden/>
              </w:rPr>
              <w:t>5</w:t>
            </w:r>
            <w:r w:rsidR="004F5186">
              <w:rPr>
                <w:noProof/>
                <w:webHidden/>
              </w:rPr>
              <w:fldChar w:fldCharType="end"/>
            </w:r>
          </w:hyperlink>
        </w:p>
        <w:p w14:paraId="340AB57B" w14:textId="079483DD" w:rsidR="004F5186" w:rsidRDefault="009F69D7">
          <w:pPr>
            <w:pStyle w:val="TOC2"/>
            <w:rPr>
              <w:rFonts w:asciiTheme="minorHAnsi" w:eastAsiaTheme="minorEastAsia" w:hAnsiTheme="minorHAnsi" w:cstheme="minorBidi"/>
              <w:noProof/>
              <w:lang w:eastAsia="en-AU"/>
            </w:rPr>
          </w:pPr>
          <w:hyperlink w:anchor="_Toc131412858" w:history="1">
            <w:r w:rsidR="004F5186" w:rsidRPr="00356228">
              <w:rPr>
                <w:rStyle w:val="Hyperlink"/>
                <w:noProof/>
                <w:lang w:val="en-US"/>
              </w:rPr>
              <w:t>6.1.</w:t>
            </w:r>
            <w:r w:rsidR="004F5186" w:rsidRPr="00356228">
              <w:rPr>
                <w:rStyle w:val="Hyperlink"/>
                <w:rFonts w:cs="Arial"/>
                <w:noProof/>
                <w:lang w:val="en-US"/>
              </w:rPr>
              <w:t xml:space="preserve"> Director School Operations</w:t>
            </w:r>
            <w:r w:rsidR="004F5186">
              <w:rPr>
                <w:noProof/>
                <w:webHidden/>
              </w:rPr>
              <w:tab/>
            </w:r>
            <w:r w:rsidR="004F5186">
              <w:rPr>
                <w:noProof/>
                <w:webHidden/>
              </w:rPr>
              <w:fldChar w:fldCharType="begin"/>
            </w:r>
            <w:r w:rsidR="004F5186">
              <w:rPr>
                <w:noProof/>
                <w:webHidden/>
              </w:rPr>
              <w:instrText xml:space="preserve"> PAGEREF _Toc131412858 \h </w:instrText>
            </w:r>
            <w:r w:rsidR="004F5186">
              <w:rPr>
                <w:noProof/>
                <w:webHidden/>
              </w:rPr>
            </w:r>
            <w:r w:rsidR="004F5186">
              <w:rPr>
                <w:noProof/>
                <w:webHidden/>
              </w:rPr>
              <w:fldChar w:fldCharType="separate"/>
            </w:r>
            <w:r w:rsidR="004F5186">
              <w:rPr>
                <w:noProof/>
                <w:webHidden/>
              </w:rPr>
              <w:t>5</w:t>
            </w:r>
            <w:r w:rsidR="004F5186">
              <w:rPr>
                <w:noProof/>
                <w:webHidden/>
              </w:rPr>
              <w:fldChar w:fldCharType="end"/>
            </w:r>
          </w:hyperlink>
        </w:p>
        <w:p w14:paraId="19E0F54B" w14:textId="5004FDA0" w:rsidR="004F5186" w:rsidRDefault="009F69D7">
          <w:pPr>
            <w:pStyle w:val="TOC2"/>
            <w:rPr>
              <w:rFonts w:asciiTheme="minorHAnsi" w:eastAsiaTheme="minorEastAsia" w:hAnsiTheme="minorHAnsi" w:cstheme="minorBidi"/>
              <w:noProof/>
              <w:lang w:eastAsia="en-AU"/>
            </w:rPr>
          </w:pPr>
          <w:hyperlink w:anchor="_Toc131412859" w:history="1">
            <w:r w:rsidR="004F5186" w:rsidRPr="00356228">
              <w:rPr>
                <w:rStyle w:val="Hyperlink"/>
                <w:noProof/>
                <w:lang w:val="en-US"/>
              </w:rPr>
              <w:t>6.2.</w:t>
            </w:r>
            <w:r w:rsidR="004F5186" w:rsidRPr="00356228">
              <w:rPr>
                <w:rStyle w:val="Hyperlink"/>
                <w:rFonts w:cs="Arial"/>
                <w:noProof/>
                <w:lang w:val="en-US"/>
              </w:rPr>
              <w:t xml:space="preserve"> Principals</w:t>
            </w:r>
            <w:r w:rsidR="004F5186">
              <w:rPr>
                <w:noProof/>
                <w:webHidden/>
              </w:rPr>
              <w:tab/>
            </w:r>
            <w:r w:rsidR="004F5186">
              <w:rPr>
                <w:noProof/>
                <w:webHidden/>
              </w:rPr>
              <w:fldChar w:fldCharType="begin"/>
            </w:r>
            <w:r w:rsidR="004F5186">
              <w:rPr>
                <w:noProof/>
                <w:webHidden/>
              </w:rPr>
              <w:instrText xml:space="preserve"> PAGEREF _Toc131412859 \h </w:instrText>
            </w:r>
            <w:r w:rsidR="004F5186">
              <w:rPr>
                <w:noProof/>
                <w:webHidden/>
              </w:rPr>
            </w:r>
            <w:r w:rsidR="004F5186">
              <w:rPr>
                <w:noProof/>
                <w:webHidden/>
              </w:rPr>
              <w:fldChar w:fldCharType="separate"/>
            </w:r>
            <w:r w:rsidR="004F5186">
              <w:rPr>
                <w:noProof/>
                <w:webHidden/>
              </w:rPr>
              <w:t>5</w:t>
            </w:r>
            <w:r w:rsidR="004F5186">
              <w:rPr>
                <w:noProof/>
                <w:webHidden/>
              </w:rPr>
              <w:fldChar w:fldCharType="end"/>
            </w:r>
          </w:hyperlink>
        </w:p>
        <w:p w14:paraId="662F0E44" w14:textId="6354AFF5" w:rsidR="004F5186" w:rsidRDefault="009F69D7">
          <w:pPr>
            <w:pStyle w:val="TOC2"/>
            <w:rPr>
              <w:rFonts w:asciiTheme="minorHAnsi" w:eastAsiaTheme="minorEastAsia" w:hAnsiTheme="minorHAnsi" w:cstheme="minorBidi"/>
              <w:noProof/>
              <w:lang w:eastAsia="en-AU"/>
            </w:rPr>
          </w:pPr>
          <w:hyperlink w:anchor="_Toc131412860" w:history="1">
            <w:r w:rsidR="004F5186" w:rsidRPr="00356228">
              <w:rPr>
                <w:rStyle w:val="Hyperlink"/>
                <w:noProof/>
                <w:lang w:val="en-US"/>
              </w:rPr>
              <w:t>6.3.</w:t>
            </w:r>
            <w:r w:rsidR="004F5186" w:rsidRPr="00356228">
              <w:rPr>
                <w:rStyle w:val="Hyperlink"/>
                <w:rFonts w:cs="Arial"/>
                <w:noProof/>
                <w:lang w:val="en-US"/>
              </w:rPr>
              <w:t xml:space="preserve"> Nominated officers</w:t>
            </w:r>
            <w:r w:rsidR="004F5186">
              <w:rPr>
                <w:noProof/>
                <w:webHidden/>
              </w:rPr>
              <w:tab/>
            </w:r>
            <w:r w:rsidR="004F5186">
              <w:rPr>
                <w:noProof/>
                <w:webHidden/>
              </w:rPr>
              <w:fldChar w:fldCharType="begin"/>
            </w:r>
            <w:r w:rsidR="004F5186">
              <w:rPr>
                <w:noProof/>
                <w:webHidden/>
              </w:rPr>
              <w:instrText xml:space="preserve"> PAGEREF _Toc131412860 \h </w:instrText>
            </w:r>
            <w:r w:rsidR="004F5186">
              <w:rPr>
                <w:noProof/>
                <w:webHidden/>
              </w:rPr>
            </w:r>
            <w:r w:rsidR="004F5186">
              <w:rPr>
                <w:noProof/>
                <w:webHidden/>
              </w:rPr>
              <w:fldChar w:fldCharType="separate"/>
            </w:r>
            <w:r w:rsidR="004F5186">
              <w:rPr>
                <w:noProof/>
                <w:webHidden/>
              </w:rPr>
              <w:t>6</w:t>
            </w:r>
            <w:r w:rsidR="004F5186">
              <w:rPr>
                <w:noProof/>
                <w:webHidden/>
              </w:rPr>
              <w:fldChar w:fldCharType="end"/>
            </w:r>
          </w:hyperlink>
        </w:p>
        <w:p w14:paraId="3643469B" w14:textId="308086FF" w:rsidR="004F5186" w:rsidRDefault="009F69D7">
          <w:pPr>
            <w:pStyle w:val="TOC2"/>
            <w:rPr>
              <w:rFonts w:asciiTheme="minorHAnsi" w:eastAsiaTheme="minorEastAsia" w:hAnsiTheme="minorHAnsi" w:cstheme="minorBidi"/>
              <w:noProof/>
              <w:lang w:eastAsia="en-AU"/>
            </w:rPr>
          </w:pPr>
          <w:hyperlink w:anchor="_Toc131412861" w:history="1">
            <w:r w:rsidR="004F5186" w:rsidRPr="00356228">
              <w:rPr>
                <w:rStyle w:val="Hyperlink"/>
                <w:noProof/>
                <w:lang w:val="en-US"/>
              </w:rPr>
              <w:t>6.4. School staff</w:t>
            </w:r>
            <w:r w:rsidR="004F5186">
              <w:rPr>
                <w:noProof/>
                <w:webHidden/>
              </w:rPr>
              <w:tab/>
            </w:r>
            <w:r w:rsidR="004F5186">
              <w:rPr>
                <w:noProof/>
                <w:webHidden/>
              </w:rPr>
              <w:fldChar w:fldCharType="begin"/>
            </w:r>
            <w:r w:rsidR="004F5186">
              <w:rPr>
                <w:noProof/>
                <w:webHidden/>
              </w:rPr>
              <w:instrText xml:space="preserve"> PAGEREF _Toc131412861 \h </w:instrText>
            </w:r>
            <w:r w:rsidR="004F5186">
              <w:rPr>
                <w:noProof/>
                <w:webHidden/>
              </w:rPr>
            </w:r>
            <w:r w:rsidR="004F5186">
              <w:rPr>
                <w:noProof/>
                <w:webHidden/>
              </w:rPr>
              <w:fldChar w:fldCharType="separate"/>
            </w:r>
            <w:r w:rsidR="004F5186">
              <w:rPr>
                <w:noProof/>
                <w:webHidden/>
              </w:rPr>
              <w:t>6</w:t>
            </w:r>
            <w:r w:rsidR="004F5186">
              <w:rPr>
                <w:noProof/>
                <w:webHidden/>
              </w:rPr>
              <w:fldChar w:fldCharType="end"/>
            </w:r>
          </w:hyperlink>
        </w:p>
        <w:p w14:paraId="4DF88478" w14:textId="2EDFECDB" w:rsidR="004F5186" w:rsidRDefault="009F69D7">
          <w:pPr>
            <w:pStyle w:val="TOC2"/>
            <w:rPr>
              <w:rFonts w:asciiTheme="minorHAnsi" w:eastAsiaTheme="minorEastAsia" w:hAnsiTheme="minorHAnsi" w:cstheme="minorBidi"/>
              <w:noProof/>
              <w:lang w:eastAsia="en-AU"/>
            </w:rPr>
          </w:pPr>
          <w:hyperlink w:anchor="_Toc131412862" w:history="1">
            <w:r w:rsidR="004F5186" w:rsidRPr="00356228">
              <w:rPr>
                <w:rStyle w:val="Hyperlink"/>
                <w:noProof/>
                <w:lang w:val="en-US"/>
              </w:rPr>
              <w:t>6.5.</w:t>
            </w:r>
            <w:r w:rsidR="004F5186" w:rsidRPr="00356228">
              <w:rPr>
                <w:rStyle w:val="Hyperlink"/>
                <w:rFonts w:cs="Arial"/>
                <w:noProof/>
                <w:lang w:val="en-US"/>
              </w:rPr>
              <w:t xml:space="preserve"> Health promoting school nurses</w:t>
            </w:r>
            <w:r w:rsidR="004F5186">
              <w:rPr>
                <w:noProof/>
                <w:webHidden/>
              </w:rPr>
              <w:tab/>
            </w:r>
            <w:r w:rsidR="004F5186">
              <w:rPr>
                <w:noProof/>
                <w:webHidden/>
              </w:rPr>
              <w:fldChar w:fldCharType="begin"/>
            </w:r>
            <w:r w:rsidR="004F5186">
              <w:rPr>
                <w:noProof/>
                <w:webHidden/>
              </w:rPr>
              <w:instrText xml:space="preserve"> PAGEREF _Toc131412862 \h </w:instrText>
            </w:r>
            <w:r w:rsidR="004F5186">
              <w:rPr>
                <w:noProof/>
                <w:webHidden/>
              </w:rPr>
            </w:r>
            <w:r w:rsidR="004F5186">
              <w:rPr>
                <w:noProof/>
                <w:webHidden/>
              </w:rPr>
              <w:fldChar w:fldCharType="separate"/>
            </w:r>
            <w:r w:rsidR="004F5186">
              <w:rPr>
                <w:noProof/>
                <w:webHidden/>
              </w:rPr>
              <w:t>6</w:t>
            </w:r>
            <w:r w:rsidR="004F5186">
              <w:rPr>
                <w:noProof/>
                <w:webHidden/>
              </w:rPr>
              <w:fldChar w:fldCharType="end"/>
            </w:r>
          </w:hyperlink>
        </w:p>
        <w:p w14:paraId="51FED977" w14:textId="4833F2B3" w:rsidR="004F5186" w:rsidRDefault="009F69D7">
          <w:pPr>
            <w:pStyle w:val="TOC1"/>
            <w:rPr>
              <w:rFonts w:asciiTheme="minorHAnsi" w:eastAsiaTheme="minorEastAsia" w:hAnsiTheme="minorHAnsi" w:cstheme="minorBidi"/>
              <w:b w:val="0"/>
              <w:noProof/>
              <w:lang w:eastAsia="en-AU"/>
            </w:rPr>
          </w:pPr>
          <w:hyperlink w:anchor="_Toc131412863" w:history="1">
            <w:r w:rsidR="004F5186" w:rsidRPr="00356228">
              <w:rPr>
                <w:rStyle w:val="Hyperlink"/>
                <w:noProof/>
                <w:lang w:eastAsia="en-AU"/>
              </w:rPr>
              <w:t>7. Definitions</w:t>
            </w:r>
            <w:r w:rsidR="004F5186">
              <w:rPr>
                <w:noProof/>
                <w:webHidden/>
              </w:rPr>
              <w:tab/>
            </w:r>
            <w:r w:rsidR="004F5186">
              <w:rPr>
                <w:noProof/>
                <w:webHidden/>
              </w:rPr>
              <w:fldChar w:fldCharType="begin"/>
            </w:r>
            <w:r w:rsidR="004F5186">
              <w:rPr>
                <w:noProof/>
                <w:webHidden/>
              </w:rPr>
              <w:instrText xml:space="preserve"> PAGEREF _Toc131412863 \h </w:instrText>
            </w:r>
            <w:r w:rsidR="004F5186">
              <w:rPr>
                <w:noProof/>
                <w:webHidden/>
              </w:rPr>
            </w:r>
            <w:r w:rsidR="004F5186">
              <w:rPr>
                <w:noProof/>
                <w:webHidden/>
              </w:rPr>
              <w:fldChar w:fldCharType="separate"/>
            </w:r>
            <w:r w:rsidR="004F5186">
              <w:rPr>
                <w:noProof/>
                <w:webHidden/>
              </w:rPr>
              <w:t>6</w:t>
            </w:r>
            <w:r w:rsidR="004F5186">
              <w:rPr>
                <w:noProof/>
                <w:webHidden/>
              </w:rPr>
              <w:fldChar w:fldCharType="end"/>
            </w:r>
          </w:hyperlink>
        </w:p>
        <w:p w14:paraId="38E99D52" w14:textId="212A9FA1" w:rsidR="004F5186" w:rsidRDefault="009F69D7">
          <w:pPr>
            <w:pStyle w:val="TOC1"/>
            <w:rPr>
              <w:rFonts w:asciiTheme="minorHAnsi" w:eastAsiaTheme="minorEastAsia" w:hAnsiTheme="minorHAnsi" w:cstheme="minorBidi"/>
              <w:b w:val="0"/>
              <w:noProof/>
              <w:lang w:eastAsia="en-AU"/>
            </w:rPr>
          </w:pPr>
          <w:hyperlink w:anchor="_Toc131412864" w:history="1">
            <w:r w:rsidR="004F5186" w:rsidRPr="00356228">
              <w:rPr>
                <w:rStyle w:val="Hyperlink"/>
                <w:noProof/>
                <w:lang w:val="en-US"/>
              </w:rPr>
              <w:t>8. Related legislation, policy, documents and resources</w:t>
            </w:r>
            <w:r w:rsidR="004F5186">
              <w:rPr>
                <w:noProof/>
                <w:webHidden/>
              </w:rPr>
              <w:tab/>
            </w:r>
            <w:r w:rsidR="004F5186">
              <w:rPr>
                <w:noProof/>
                <w:webHidden/>
              </w:rPr>
              <w:fldChar w:fldCharType="begin"/>
            </w:r>
            <w:r w:rsidR="004F5186">
              <w:rPr>
                <w:noProof/>
                <w:webHidden/>
              </w:rPr>
              <w:instrText xml:space="preserve"> PAGEREF _Toc131412864 \h </w:instrText>
            </w:r>
            <w:r w:rsidR="004F5186">
              <w:rPr>
                <w:noProof/>
                <w:webHidden/>
              </w:rPr>
            </w:r>
            <w:r w:rsidR="004F5186">
              <w:rPr>
                <w:noProof/>
                <w:webHidden/>
              </w:rPr>
              <w:fldChar w:fldCharType="separate"/>
            </w:r>
            <w:r w:rsidR="004F5186">
              <w:rPr>
                <w:noProof/>
                <w:webHidden/>
              </w:rPr>
              <w:t>7</w:t>
            </w:r>
            <w:r w:rsidR="004F5186">
              <w:rPr>
                <w:noProof/>
                <w:webHidden/>
              </w:rPr>
              <w:fldChar w:fldCharType="end"/>
            </w:r>
          </w:hyperlink>
        </w:p>
        <w:p w14:paraId="75452CA0" w14:textId="44C86E38" w:rsidR="004F5186" w:rsidRDefault="009F69D7">
          <w:pPr>
            <w:pStyle w:val="TOC2"/>
            <w:rPr>
              <w:rFonts w:asciiTheme="minorHAnsi" w:eastAsiaTheme="minorEastAsia" w:hAnsiTheme="minorHAnsi" w:cstheme="minorBidi"/>
              <w:noProof/>
              <w:lang w:eastAsia="en-AU"/>
            </w:rPr>
          </w:pPr>
          <w:hyperlink w:anchor="_Toc131412865" w:history="1">
            <w:r w:rsidR="004F5186" w:rsidRPr="00356228">
              <w:rPr>
                <w:rStyle w:val="Hyperlink"/>
                <w:noProof/>
                <w:lang w:val="en-US"/>
              </w:rPr>
              <w:t>8.1. Legislation</w:t>
            </w:r>
            <w:r w:rsidR="004F5186">
              <w:rPr>
                <w:noProof/>
                <w:webHidden/>
              </w:rPr>
              <w:tab/>
            </w:r>
            <w:r w:rsidR="004F5186">
              <w:rPr>
                <w:noProof/>
                <w:webHidden/>
              </w:rPr>
              <w:fldChar w:fldCharType="begin"/>
            </w:r>
            <w:r w:rsidR="004F5186">
              <w:rPr>
                <w:noProof/>
                <w:webHidden/>
              </w:rPr>
              <w:instrText xml:space="preserve"> PAGEREF _Toc131412865 \h </w:instrText>
            </w:r>
            <w:r w:rsidR="004F5186">
              <w:rPr>
                <w:noProof/>
                <w:webHidden/>
              </w:rPr>
            </w:r>
            <w:r w:rsidR="004F5186">
              <w:rPr>
                <w:noProof/>
                <w:webHidden/>
              </w:rPr>
              <w:fldChar w:fldCharType="separate"/>
            </w:r>
            <w:r w:rsidR="004F5186">
              <w:rPr>
                <w:noProof/>
                <w:webHidden/>
              </w:rPr>
              <w:t>7</w:t>
            </w:r>
            <w:r w:rsidR="004F5186">
              <w:rPr>
                <w:noProof/>
                <w:webHidden/>
              </w:rPr>
              <w:fldChar w:fldCharType="end"/>
            </w:r>
          </w:hyperlink>
        </w:p>
        <w:p w14:paraId="79CDEE28" w14:textId="16544026" w:rsidR="004F5186" w:rsidRDefault="009F69D7">
          <w:pPr>
            <w:pStyle w:val="TOC2"/>
            <w:rPr>
              <w:rFonts w:asciiTheme="minorHAnsi" w:eastAsiaTheme="minorEastAsia" w:hAnsiTheme="minorHAnsi" w:cstheme="minorBidi"/>
              <w:noProof/>
              <w:lang w:eastAsia="en-AU"/>
            </w:rPr>
          </w:pPr>
          <w:hyperlink w:anchor="_Toc131412866" w:history="1">
            <w:r w:rsidR="004F5186" w:rsidRPr="00356228">
              <w:rPr>
                <w:rStyle w:val="Hyperlink"/>
                <w:noProof/>
              </w:rPr>
              <w:t>8.2. Policy</w:t>
            </w:r>
            <w:r w:rsidR="004F5186">
              <w:rPr>
                <w:noProof/>
                <w:webHidden/>
              </w:rPr>
              <w:tab/>
            </w:r>
            <w:r w:rsidR="004F5186">
              <w:rPr>
                <w:noProof/>
                <w:webHidden/>
              </w:rPr>
              <w:fldChar w:fldCharType="begin"/>
            </w:r>
            <w:r w:rsidR="004F5186">
              <w:rPr>
                <w:noProof/>
                <w:webHidden/>
              </w:rPr>
              <w:instrText xml:space="preserve"> PAGEREF _Toc131412866 \h </w:instrText>
            </w:r>
            <w:r w:rsidR="004F5186">
              <w:rPr>
                <w:noProof/>
                <w:webHidden/>
              </w:rPr>
            </w:r>
            <w:r w:rsidR="004F5186">
              <w:rPr>
                <w:noProof/>
                <w:webHidden/>
              </w:rPr>
              <w:fldChar w:fldCharType="separate"/>
            </w:r>
            <w:r w:rsidR="004F5186">
              <w:rPr>
                <w:noProof/>
                <w:webHidden/>
              </w:rPr>
              <w:t>7</w:t>
            </w:r>
            <w:r w:rsidR="004F5186">
              <w:rPr>
                <w:noProof/>
                <w:webHidden/>
              </w:rPr>
              <w:fldChar w:fldCharType="end"/>
            </w:r>
          </w:hyperlink>
        </w:p>
        <w:p w14:paraId="6C36746E" w14:textId="32775F1C" w:rsidR="004F5186" w:rsidRDefault="009F69D7">
          <w:pPr>
            <w:pStyle w:val="TOC2"/>
            <w:rPr>
              <w:rFonts w:asciiTheme="minorHAnsi" w:eastAsiaTheme="minorEastAsia" w:hAnsiTheme="minorHAnsi" w:cstheme="minorBidi"/>
              <w:noProof/>
              <w:lang w:eastAsia="en-AU"/>
            </w:rPr>
          </w:pPr>
          <w:hyperlink w:anchor="_Toc131412867" w:history="1">
            <w:r w:rsidR="004F5186" w:rsidRPr="00356228">
              <w:rPr>
                <w:rStyle w:val="Hyperlink"/>
                <w:noProof/>
              </w:rPr>
              <w:t>8.3. Documents</w:t>
            </w:r>
            <w:r w:rsidR="004F5186">
              <w:rPr>
                <w:noProof/>
                <w:webHidden/>
              </w:rPr>
              <w:tab/>
            </w:r>
            <w:r w:rsidR="004F5186">
              <w:rPr>
                <w:noProof/>
                <w:webHidden/>
              </w:rPr>
              <w:fldChar w:fldCharType="begin"/>
            </w:r>
            <w:r w:rsidR="004F5186">
              <w:rPr>
                <w:noProof/>
                <w:webHidden/>
              </w:rPr>
              <w:instrText xml:space="preserve"> PAGEREF _Toc131412867 \h </w:instrText>
            </w:r>
            <w:r w:rsidR="004F5186">
              <w:rPr>
                <w:noProof/>
                <w:webHidden/>
              </w:rPr>
            </w:r>
            <w:r w:rsidR="004F5186">
              <w:rPr>
                <w:noProof/>
                <w:webHidden/>
              </w:rPr>
              <w:fldChar w:fldCharType="separate"/>
            </w:r>
            <w:r w:rsidR="004F5186">
              <w:rPr>
                <w:noProof/>
                <w:webHidden/>
              </w:rPr>
              <w:t>8</w:t>
            </w:r>
            <w:r w:rsidR="004F5186">
              <w:rPr>
                <w:noProof/>
                <w:webHidden/>
              </w:rPr>
              <w:fldChar w:fldCharType="end"/>
            </w:r>
          </w:hyperlink>
        </w:p>
        <w:p w14:paraId="001DA291" w14:textId="27C6FC5C" w:rsidR="004F5186" w:rsidRDefault="009F69D7">
          <w:pPr>
            <w:pStyle w:val="TOC2"/>
            <w:rPr>
              <w:rFonts w:asciiTheme="minorHAnsi" w:eastAsiaTheme="minorEastAsia" w:hAnsiTheme="minorHAnsi" w:cstheme="minorBidi"/>
              <w:noProof/>
              <w:lang w:eastAsia="en-AU"/>
            </w:rPr>
          </w:pPr>
          <w:hyperlink w:anchor="_Toc131412868" w:history="1">
            <w:r w:rsidR="004F5186" w:rsidRPr="00356228">
              <w:rPr>
                <w:rStyle w:val="Hyperlink"/>
                <w:noProof/>
              </w:rPr>
              <w:t>8.4. Resources</w:t>
            </w:r>
            <w:r w:rsidR="004F5186">
              <w:rPr>
                <w:noProof/>
                <w:webHidden/>
              </w:rPr>
              <w:tab/>
            </w:r>
            <w:r w:rsidR="004F5186">
              <w:rPr>
                <w:noProof/>
                <w:webHidden/>
              </w:rPr>
              <w:fldChar w:fldCharType="begin"/>
            </w:r>
            <w:r w:rsidR="004F5186">
              <w:rPr>
                <w:noProof/>
                <w:webHidden/>
              </w:rPr>
              <w:instrText xml:space="preserve"> PAGEREF _Toc131412868 \h </w:instrText>
            </w:r>
            <w:r w:rsidR="004F5186">
              <w:rPr>
                <w:noProof/>
                <w:webHidden/>
              </w:rPr>
            </w:r>
            <w:r w:rsidR="004F5186">
              <w:rPr>
                <w:noProof/>
                <w:webHidden/>
              </w:rPr>
              <w:fldChar w:fldCharType="separate"/>
            </w:r>
            <w:r w:rsidR="004F5186">
              <w:rPr>
                <w:noProof/>
                <w:webHidden/>
              </w:rPr>
              <w:t>8</w:t>
            </w:r>
            <w:r w:rsidR="004F5186">
              <w:rPr>
                <w:noProof/>
                <w:webHidden/>
              </w:rPr>
              <w:fldChar w:fldCharType="end"/>
            </w:r>
          </w:hyperlink>
        </w:p>
        <w:p w14:paraId="71AF4E6D" w14:textId="63039D1F" w:rsidR="00964B22" w:rsidRPr="002F2780" w:rsidRDefault="006747E0" w:rsidP="004A59AC">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4A59AC">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032DDA68" w14:textId="7D4CB0C2" w:rsidR="002160A9" w:rsidRPr="00B952E6" w:rsidRDefault="002160A9" w:rsidP="00F448E8">
      <w:pPr>
        <w:spacing w:before="200"/>
        <w:rPr>
          <w:u w:val="single"/>
        </w:rPr>
      </w:pPr>
      <w:r w:rsidRPr="00B952E6">
        <w:lastRenderedPageBreak/>
        <w:t>This</w:t>
      </w:r>
      <w:r w:rsidRPr="00B952E6">
        <w:rPr>
          <w:spacing w:val="-3"/>
        </w:rPr>
        <w:t xml:space="preserve"> </w:t>
      </w:r>
      <w:r w:rsidRPr="00B952E6">
        <w:rPr>
          <w:spacing w:val="-1"/>
        </w:rPr>
        <w:t>document</w:t>
      </w:r>
      <w:r w:rsidRPr="00B952E6">
        <w:t xml:space="preserve"> </w:t>
      </w:r>
      <w:r w:rsidRPr="00B952E6">
        <w:rPr>
          <w:spacing w:val="-1"/>
        </w:rPr>
        <w:t>should</w:t>
      </w:r>
      <w:r w:rsidRPr="00B952E6">
        <w:rPr>
          <w:spacing w:val="-2"/>
        </w:rPr>
        <w:t xml:space="preserve"> </w:t>
      </w:r>
      <w:r w:rsidRPr="00B952E6">
        <w:t xml:space="preserve">be </w:t>
      </w:r>
      <w:r w:rsidRPr="00B952E6">
        <w:rPr>
          <w:spacing w:val="-1"/>
        </w:rPr>
        <w:t>read</w:t>
      </w:r>
      <w:r w:rsidRPr="00B952E6">
        <w:t xml:space="preserve"> in </w:t>
      </w:r>
      <w:r w:rsidRPr="00B952E6">
        <w:rPr>
          <w:spacing w:val="-1"/>
        </w:rPr>
        <w:t>conjunction</w:t>
      </w:r>
      <w:r w:rsidRPr="00B952E6">
        <w:rPr>
          <w:spacing w:val="-4"/>
        </w:rPr>
        <w:t xml:space="preserve"> </w:t>
      </w:r>
      <w:r w:rsidRPr="00B952E6">
        <w:rPr>
          <w:spacing w:val="-1"/>
        </w:rPr>
        <w:t>with</w:t>
      </w:r>
      <w:r w:rsidR="00B952E6" w:rsidRPr="00B952E6">
        <w:rPr>
          <w:spacing w:val="-1"/>
        </w:rPr>
        <w:t xml:space="preserve"> the </w:t>
      </w:r>
      <w:r w:rsidRPr="00B952E6">
        <w:rPr>
          <w:spacing w:val="-1"/>
        </w:rPr>
        <w:t xml:space="preserve">Health of </w:t>
      </w:r>
      <w:r w:rsidR="00107D3E" w:rsidRPr="00B952E6">
        <w:rPr>
          <w:spacing w:val="-1"/>
        </w:rPr>
        <w:t>s</w:t>
      </w:r>
      <w:r w:rsidRPr="00B952E6">
        <w:rPr>
          <w:spacing w:val="-1"/>
        </w:rPr>
        <w:t xml:space="preserve">tudents </w:t>
      </w:r>
      <w:r w:rsidR="00107D3E" w:rsidRPr="00B952E6">
        <w:rPr>
          <w:spacing w:val="-1"/>
        </w:rPr>
        <w:t>p</w:t>
      </w:r>
      <w:r w:rsidRPr="00B952E6">
        <w:rPr>
          <w:spacing w:val="-1"/>
        </w:rPr>
        <w:t>olicy</w:t>
      </w:r>
      <w:r w:rsidR="00B952E6" w:rsidRPr="00B952E6">
        <w:rPr>
          <w:rStyle w:val="Hyperlink"/>
          <w:color w:val="auto"/>
          <w:spacing w:val="-1"/>
          <w:u w:val="none"/>
        </w:rPr>
        <w:t xml:space="preserve">, </w:t>
      </w:r>
      <w:r w:rsidRPr="00B952E6">
        <w:t xml:space="preserve">Mandatory </w:t>
      </w:r>
      <w:r w:rsidR="00107D3E" w:rsidRPr="00B952E6">
        <w:t>r</w:t>
      </w:r>
      <w:r w:rsidRPr="00B952E6">
        <w:t xml:space="preserve">eporting of </w:t>
      </w:r>
      <w:r w:rsidR="00107D3E" w:rsidRPr="00B952E6">
        <w:t>h</w:t>
      </w:r>
      <w:r w:rsidRPr="00B952E6">
        <w:t xml:space="preserve">arm and </w:t>
      </w:r>
      <w:r w:rsidR="00107D3E" w:rsidRPr="00B952E6">
        <w:t>e</w:t>
      </w:r>
      <w:r w:rsidRPr="00B952E6">
        <w:t xml:space="preserve">xploitation of </w:t>
      </w:r>
      <w:r w:rsidR="00107D3E" w:rsidRPr="00B952E6">
        <w:t>c</w:t>
      </w:r>
      <w:r w:rsidRPr="00B952E6">
        <w:t xml:space="preserve">hildren </w:t>
      </w:r>
      <w:r w:rsidR="00107D3E" w:rsidRPr="00B952E6">
        <w:t>g</w:t>
      </w:r>
      <w:r w:rsidRPr="00B952E6">
        <w:t xml:space="preserve">uidelines </w:t>
      </w:r>
      <w:r w:rsidR="00B952E6" w:rsidRPr="00B952E6">
        <w:rPr>
          <w:rStyle w:val="Hyperlink"/>
          <w:color w:val="auto"/>
          <w:u w:val="none"/>
        </w:rPr>
        <w:t>and the</w:t>
      </w:r>
      <w:r w:rsidR="00B952E6" w:rsidRPr="00B952E6">
        <w:t xml:space="preserve"> </w:t>
      </w:r>
      <w:r w:rsidRPr="00B952E6">
        <w:t xml:space="preserve">External </w:t>
      </w:r>
      <w:r w:rsidR="00107D3E" w:rsidRPr="00B952E6">
        <w:t>p</w:t>
      </w:r>
      <w:r w:rsidRPr="00B952E6">
        <w:t xml:space="preserve">roviders engaged for </w:t>
      </w:r>
      <w:r w:rsidR="00107D3E" w:rsidRPr="00B952E6">
        <w:t>t</w:t>
      </w:r>
      <w:r w:rsidRPr="00B952E6">
        <w:t xml:space="preserve">eaching and </w:t>
      </w:r>
      <w:r w:rsidR="00107D3E" w:rsidRPr="00B952E6">
        <w:t>l</w:t>
      </w:r>
      <w:r w:rsidRPr="00B952E6">
        <w:t xml:space="preserve">earning </w:t>
      </w:r>
      <w:r w:rsidR="00107D3E" w:rsidRPr="00B952E6">
        <w:t>g</w:t>
      </w:r>
      <w:r w:rsidRPr="00B952E6">
        <w:t>uidelines</w:t>
      </w:r>
      <w:r w:rsidRPr="00B952E6">
        <w:rPr>
          <w:bCs/>
        </w:rPr>
        <w:t>.</w:t>
      </w:r>
    </w:p>
    <w:p w14:paraId="308C0A91" w14:textId="26576E43" w:rsidR="00C800F1" w:rsidRDefault="009C2C99" w:rsidP="00C06D01">
      <w:pPr>
        <w:pStyle w:val="Heading1"/>
        <w:ind w:left="357" w:hanging="357"/>
        <w:rPr>
          <w:noProof/>
          <w:lang w:eastAsia="en-AU"/>
        </w:rPr>
      </w:pPr>
      <w:bookmarkStart w:id="0" w:name="_Toc131412849"/>
      <w:r>
        <w:rPr>
          <w:noProof/>
          <w:lang w:eastAsia="en-AU"/>
        </w:rPr>
        <w:t>Introduction</w:t>
      </w:r>
      <w:bookmarkEnd w:id="0"/>
    </w:p>
    <w:p w14:paraId="3675EEFD" w14:textId="10F75373" w:rsidR="009C2C99" w:rsidRPr="00F97D42" w:rsidRDefault="009C2C99" w:rsidP="004A59AC">
      <w:pPr>
        <w:rPr>
          <w:rFonts w:cs="Arial"/>
          <w:bCs/>
          <w:lang w:val="en-US"/>
        </w:rPr>
      </w:pPr>
      <w:r w:rsidRPr="00F97D42">
        <w:rPr>
          <w:rFonts w:cs="Arial"/>
          <w:bCs/>
          <w:lang w:val="en-US"/>
        </w:rPr>
        <w:t>There may be instances in Northern Territory Government schools where students seek advice or access to condoms from school staff or Health Promoting School Nurses</w:t>
      </w:r>
      <w:r w:rsidR="00B01A5B" w:rsidRPr="00F97D42">
        <w:rPr>
          <w:rFonts w:cs="Arial"/>
          <w:bCs/>
          <w:lang w:val="en-US"/>
        </w:rPr>
        <w:t xml:space="preserve"> </w:t>
      </w:r>
      <w:r w:rsidR="001B0D58">
        <w:rPr>
          <w:rFonts w:cs="Arial"/>
          <w:bCs/>
          <w:lang w:val="en-US"/>
        </w:rPr>
        <w:t>(</w:t>
      </w:r>
      <w:r w:rsidRPr="00F97D42">
        <w:rPr>
          <w:rFonts w:cs="Arial"/>
          <w:bCs/>
          <w:lang w:val="en-US"/>
        </w:rPr>
        <w:t>HPSNs</w:t>
      </w:r>
      <w:r w:rsidR="001B0D58">
        <w:rPr>
          <w:rFonts w:cs="Arial"/>
          <w:bCs/>
          <w:lang w:val="en-US"/>
        </w:rPr>
        <w:t>)</w:t>
      </w:r>
      <w:r w:rsidRPr="00F97D42">
        <w:rPr>
          <w:rFonts w:cs="Arial"/>
          <w:bCs/>
          <w:lang w:val="en-US"/>
        </w:rPr>
        <w:t>. The aim of these guidelines is to ensure there is a consistent approach to managing student requests for condoms</w:t>
      </w:r>
      <w:r w:rsidR="001B0D58">
        <w:rPr>
          <w:rFonts w:cs="Arial"/>
          <w:bCs/>
          <w:lang w:val="en-US"/>
        </w:rPr>
        <w:t>,</w:t>
      </w:r>
      <w:r w:rsidRPr="00F97D42">
        <w:rPr>
          <w:rFonts w:cs="Arial"/>
          <w:bCs/>
          <w:lang w:val="en-US"/>
        </w:rPr>
        <w:t xml:space="preserve"> noting that the decision whether to allow condom access by students, and therefore invoke the guidelines, is to be made by the principal in consultation with the school representative body.</w:t>
      </w:r>
    </w:p>
    <w:p w14:paraId="692B1FD2" w14:textId="2CB67FB5" w:rsidR="009C2C99" w:rsidRPr="00F97D42" w:rsidRDefault="009C2C99" w:rsidP="004A59AC">
      <w:pPr>
        <w:rPr>
          <w:rFonts w:cs="Arial"/>
          <w:bCs/>
          <w:lang w:val="en-US"/>
        </w:rPr>
      </w:pPr>
      <w:r w:rsidRPr="00F97D42">
        <w:rPr>
          <w:rFonts w:cs="Arial"/>
          <w:bCs/>
          <w:lang w:val="en-US"/>
        </w:rPr>
        <w:t>Given the need for HSPNs to adhere to a specific set of professional standards, these guidelines are divided into two parts. In the first instance, advice is provided on the process to be used by other school staff</w:t>
      </w:r>
      <w:r w:rsidR="00F448E8">
        <w:rPr>
          <w:rFonts w:cs="Arial"/>
          <w:bCs/>
          <w:lang w:val="en-US"/>
        </w:rPr>
        <w:t>, r</w:t>
      </w:r>
      <w:r w:rsidRPr="00F97D42">
        <w:rPr>
          <w:rFonts w:cs="Arial"/>
          <w:bCs/>
          <w:lang w:val="en-US"/>
        </w:rPr>
        <w:t>eferred to in these guidelines as nominated officers. In the second instance, advice is provided on the process to be used by HSPNs.</w:t>
      </w:r>
    </w:p>
    <w:p w14:paraId="18AB5DF0" w14:textId="121917F7" w:rsidR="009C2C99" w:rsidRPr="00F97D42" w:rsidRDefault="009C2C99" w:rsidP="004A59AC">
      <w:pPr>
        <w:rPr>
          <w:rFonts w:cs="Arial"/>
          <w:bCs/>
          <w:lang w:val="en-US"/>
        </w:rPr>
      </w:pPr>
      <w:r w:rsidRPr="00F97D42">
        <w:rPr>
          <w:rFonts w:cs="Arial"/>
          <w:bCs/>
          <w:lang w:val="en-US"/>
        </w:rPr>
        <w:t>Recognising the importance of ensuring that students develop into sexually healthy adults and engage in safe practices, the Department of Education (department) supports the delivery of comprehensive sexual health education programs which may include the provision of condoms through nominated officers or HPSNs.</w:t>
      </w:r>
    </w:p>
    <w:p w14:paraId="7C9537C9" w14:textId="38EAFEC4" w:rsidR="009C2C99" w:rsidRPr="00F97D42" w:rsidRDefault="009C2C99" w:rsidP="004A59AC">
      <w:pPr>
        <w:rPr>
          <w:rFonts w:cs="Arial"/>
          <w:bCs/>
        </w:rPr>
      </w:pPr>
      <w:r w:rsidRPr="00F97D42">
        <w:rPr>
          <w:rFonts w:cs="Arial"/>
          <w:bCs/>
          <w:lang w:val="en-US"/>
        </w:rPr>
        <w:t xml:space="preserve">Schools must follow the </w:t>
      </w:r>
      <w:r w:rsidRPr="00F97D42">
        <w:rPr>
          <w:rFonts w:cs="Arial"/>
          <w:bCs/>
        </w:rPr>
        <w:t xml:space="preserve">procedures outlined in these guidelines when a student requests a condom to ensure compliance with the </w:t>
      </w:r>
      <w:r w:rsidRPr="00952F8D">
        <w:rPr>
          <w:rFonts w:cs="Arial"/>
          <w:bCs/>
          <w:i/>
          <w:iCs/>
        </w:rPr>
        <w:t>Care and Protection of Children Act</w:t>
      </w:r>
      <w:r w:rsidR="00952F8D">
        <w:rPr>
          <w:rFonts w:cs="Arial"/>
          <w:bCs/>
          <w:i/>
          <w:iCs/>
        </w:rPr>
        <w:t xml:space="preserve"> 2007</w:t>
      </w:r>
      <w:r w:rsidRPr="00F97D42">
        <w:rPr>
          <w:rFonts w:cs="Arial"/>
          <w:bCs/>
        </w:rPr>
        <w:t xml:space="preserve">. </w:t>
      </w:r>
      <w:r w:rsidRPr="00F97D42">
        <w:rPr>
          <w:rFonts w:cs="Arial"/>
          <w:bCs/>
          <w:lang w:val="en-US"/>
        </w:rPr>
        <w:t>Schools are encouraged to add additional steps if necessary.</w:t>
      </w:r>
    </w:p>
    <w:p w14:paraId="634DE34D" w14:textId="338ABB30" w:rsidR="009C2C99" w:rsidRPr="00F97D42" w:rsidRDefault="009C2C99" w:rsidP="004A59AC">
      <w:pPr>
        <w:rPr>
          <w:rFonts w:cs="Arial"/>
          <w:bCs/>
          <w:lang w:val="en-US"/>
        </w:rPr>
      </w:pPr>
      <w:r w:rsidRPr="00F97D42">
        <w:rPr>
          <w:rFonts w:cs="Arial"/>
          <w:bCs/>
          <w:lang w:val="en-US"/>
        </w:rPr>
        <w:t>For schools who do not proceed with implementation of these guidelines, it is recommended that any student requests for condoms are referred to the most appropriate external resource</w:t>
      </w:r>
      <w:r w:rsidR="00C94A90">
        <w:rPr>
          <w:rFonts w:cs="Arial"/>
          <w:bCs/>
          <w:lang w:val="en-US"/>
        </w:rPr>
        <w:t xml:space="preserve"> and </w:t>
      </w:r>
      <w:r w:rsidRPr="00F97D42">
        <w:rPr>
          <w:rFonts w:cs="Arial"/>
          <w:bCs/>
          <w:lang w:val="en-US"/>
        </w:rPr>
        <w:t>agency for information and condoms.</w:t>
      </w:r>
    </w:p>
    <w:p w14:paraId="7238A317" w14:textId="370E81C6" w:rsidR="009C2C99" w:rsidRPr="00F97D42" w:rsidRDefault="009C2C99" w:rsidP="004A59AC">
      <w:pPr>
        <w:rPr>
          <w:rFonts w:cs="Arial"/>
          <w:bCs/>
          <w:lang w:val="en-US"/>
        </w:rPr>
      </w:pPr>
      <w:r w:rsidRPr="00F97D42">
        <w:rPr>
          <w:rFonts w:cs="Arial"/>
          <w:bCs/>
          <w:lang w:val="en-US"/>
        </w:rPr>
        <w:t>In all instances, students are encouraged to talk to their parents about their relationships and sexual activity.</w:t>
      </w:r>
    </w:p>
    <w:p w14:paraId="3A5CFD58" w14:textId="103BDAAD" w:rsidR="00011141" w:rsidRPr="00A2714E" w:rsidRDefault="009C2C99" w:rsidP="005202CF">
      <w:pPr>
        <w:rPr>
          <w:rFonts w:asciiTheme="minorHAnsi" w:hAnsiTheme="minorHAnsi"/>
          <w:bCs/>
          <w:lang w:eastAsia="en-AU"/>
        </w:rPr>
      </w:pPr>
      <w:r w:rsidRPr="00F97D42">
        <w:rPr>
          <w:rFonts w:cs="Arial"/>
          <w:bCs/>
          <w:lang w:val="en-US"/>
        </w:rPr>
        <w:t xml:space="preserve">HPSNs are bound by the </w:t>
      </w:r>
      <w:r w:rsidRPr="00D056B4">
        <w:rPr>
          <w:rFonts w:cs="Arial"/>
          <w:bCs/>
          <w:i/>
          <w:lang w:val="en-US"/>
        </w:rPr>
        <w:t>Health Practitioner Act 1983</w:t>
      </w:r>
      <w:r w:rsidRPr="00D056B4">
        <w:rPr>
          <w:rFonts w:cs="Arial"/>
          <w:bCs/>
          <w:lang w:val="en-US"/>
        </w:rPr>
        <w:t xml:space="preserve"> (</w:t>
      </w:r>
      <w:proofErr w:type="spellStart"/>
      <w:r w:rsidRPr="00D056B4">
        <w:rPr>
          <w:rFonts w:cs="Arial"/>
          <w:bCs/>
          <w:lang w:val="en-US"/>
        </w:rPr>
        <w:t>Cth</w:t>
      </w:r>
      <w:proofErr w:type="spellEnd"/>
      <w:r w:rsidRPr="00D056B4">
        <w:rPr>
          <w:rFonts w:cs="Arial"/>
          <w:bCs/>
          <w:lang w:val="en-US"/>
        </w:rPr>
        <w:t>)</w:t>
      </w:r>
      <w:r w:rsidRPr="00F97D42">
        <w:rPr>
          <w:rFonts w:cs="Arial"/>
          <w:bCs/>
          <w:lang w:val="en-US"/>
        </w:rPr>
        <w:t xml:space="preserve"> and must follow the process outlined in Reporting </w:t>
      </w:r>
      <w:r w:rsidR="006700B9" w:rsidRPr="00F97D42">
        <w:rPr>
          <w:rFonts w:cs="Arial"/>
          <w:bCs/>
          <w:lang w:val="en-US"/>
        </w:rPr>
        <w:t xml:space="preserve">child sexual harm </w:t>
      </w:r>
      <w:r w:rsidR="0021165E" w:rsidRPr="0021165E">
        <w:rPr>
          <w:rFonts w:cs="Arial"/>
          <w:bCs/>
          <w:lang w:val="en-US"/>
        </w:rPr>
        <w:t>flowchart</w:t>
      </w:r>
      <w:r w:rsidR="005202CF">
        <w:rPr>
          <w:rFonts w:cs="Arial"/>
          <w:bCs/>
          <w:lang w:val="en-US"/>
        </w:rPr>
        <w:t xml:space="preserve"> in the Department of Health’s G</w:t>
      </w:r>
      <w:r w:rsidR="005202CF" w:rsidRPr="005202CF">
        <w:rPr>
          <w:rFonts w:cs="Arial"/>
          <w:bCs/>
          <w:lang w:val="en-US"/>
        </w:rPr>
        <w:t>uidelines on the</w:t>
      </w:r>
      <w:r w:rsidR="005202CF">
        <w:rPr>
          <w:rFonts w:cs="Arial"/>
          <w:bCs/>
          <w:lang w:val="en-US"/>
        </w:rPr>
        <w:t xml:space="preserve"> m</w:t>
      </w:r>
      <w:r w:rsidR="005202CF" w:rsidRPr="005202CF">
        <w:rPr>
          <w:rFonts w:cs="Arial"/>
          <w:bCs/>
          <w:lang w:val="en-US"/>
        </w:rPr>
        <w:t>anagement of sexual</w:t>
      </w:r>
      <w:r w:rsidR="005202CF">
        <w:rPr>
          <w:rFonts w:cs="Arial"/>
          <w:bCs/>
          <w:lang w:val="en-US"/>
        </w:rPr>
        <w:t xml:space="preserve"> h</w:t>
      </w:r>
      <w:r w:rsidR="005202CF" w:rsidRPr="005202CF">
        <w:rPr>
          <w:rFonts w:cs="Arial"/>
          <w:bCs/>
          <w:lang w:val="en-US"/>
        </w:rPr>
        <w:t>ealth issues in children</w:t>
      </w:r>
      <w:r w:rsidR="005202CF">
        <w:rPr>
          <w:rFonts w:cs="Arial"/>
          <w:bCs/>
          <w:lang w:val="en-US"/>
        </w:rPr>
        <w:t xml:space="preserve"> a</w:t>
      </w:r>
      <w:r w:rsidR="005202CF" w:rsidRPr="005202CF">
        <w:rPr>
          <w:rFonts w:cs="Arial"/>
          <w:bCs/>
          <w:lang w:val="en-US"/>
        </w:rPr>
        <w:t>nd young people</w:t>
      </w:r>
      <w:r w:rsidR="0021165E" w:rsidRPr="00F97D42">
        <w:rPr>
          <w:rFonts w:cs="Arial"/>
          <w:bCs/>
          <w:lang w:val="en-US"/>
        </w:rPr>
        <w:t>.</w:t>
      </w:r>
      <w:r w:rsidRPr="00F97D42">
        <w:rPr>
          <w:rFonts w:cs="Arial"/>
          <w:bCs/>
          <w:lang w:val="en-US"/>
        </w:rPr>
        <w:t xml:space="preserve"> </w:t>
      </w:r>
      <w:r w:rsidR="00011141">
        <w:rPr>
          <w:rFonts w:cs="Arial"/>
          <w:bCs/>
          <w:lang w:val="en-US"/>
        </w:rPr>
        <w:t>F</w:t>
      </w:r>
      <w:r w:rsidR="00011141" w:rsidRPr="00F97D42">
        <w:rPr>
          <w:rFonts w:cs="Arial"/>
          <w:bCs/>
          <w:lang w:val="en-US"/>
        </w:rPr>
        <w:t>or detailed procedures specific to HPSNs</w:t>
      </w:r>
      <w:r w:rsidR="00011141">
        <w:rPr>
          <w:rFonts w:cs="Arial"/>
          <w:bCs/>
          <w:lang w:val="en-US"/>
        </w:rPr>
        <w:t xml:space="preserve">, </w:t>
      </w:r>
      <w:r w:rsidR="00E51B37">
        <w:rPr>
          <w:rFonts w:cs="Arial"/>
          <w:bCs/>
          <w:lang w:val="en-US"/>
        </w:rPr>
        <w:t>refer</w:t>
      </w:r>
      <w:r w:rsidR="00011141" w:rsidRPr="00F97D42">
        <w:rPr>
          <w:rFonts w:cs="Arial"/>
          <w:bCs/>
          <w:lang w:val="en-US"/>
        </w:rPr>
        <w:t xml:space="preserve"> </w:t>
      </w:r>
      <w:r w:rsidR="00011141">
        <w:rPr>
          <w:rFonts w:cs="Arial"/>
          <w:bCs/>
          <w:lang w:val="en-US"/>
        </w:rPr>
        <w:t>to the</w:t>
      </w:r>
      <w:r w:rsidR="00011141" w:rsidRPr="00F97D42">
        <w:rPr>
          <w:rFonts w:cs="Arial"/>
          <w:bCs/>
          <w:lang w:val="en-US"/>
        </w:rPr>
        <w:t xml:space="preserve"> section </w:t>
      </w:r>
      <w:r w:rsidR="00011141">
        <w:rPr>
          <w:rFonts w:cs="Arial"/>
          <w:bCs/>
          <w:lang w:val="en-US"/>
        </w:rPr>
        <w:t xml:space="preserve">on </w:t>
      </w:r>
      <w:r w:rsidR="00E51B37">
        <w:rPr>
          <w:rFonts w:cs="Arial"/>
          <w:bCs/>
          <w:lang w:val="en-US"/>
        </w:rPr>
        <w:t>P</w:t>
      </w:r>
      <w:r w:rsidR="00011141" w:rsidRPr="002541AE">
        <w:rPr>
          <w:rFonts w:cs="Arial"/>
          <w:bCs/>
          <w:lang w:val="en-US"/>
        </w:rPr>
        <w:t>rocedures for health promoting school nurses</w:t>
      </w:r>
      <w:r w:rsidR="00011141" w:rsidRPr="007F1EBF">
        <w:rPr>
          <w:rFonts w:cs="Arial"/>
          <w:bCs/>
          <w:lang w:val="en-US"/>
        </w:rPr>
        <w:t xml:space="preserve"> </w:t>
      </w:r>
      <w:r w:rsidR="00011141">
        <w:rPr>
          <w:rFonts w:cs="Arial"/>
          <w:bCs/>
          <w:lang w:val="en-US"/>
        </w:rPr>
        <w:t>in th</w:t>
      </w:r>
      <w:r w:rsidR="00E51B37">
        <w:rPr>
          <w:rFonts w:cs="Arial"/>
          <w:bCs/>
          <w:lang w:val="en-US"/>
        </w:rPr>
        <w:t>e</w:t>
      </w:r>
      <w:r w:rsidR="00011141">
        <w:rPr>
          <w:rFonts w:cs="Arial"/>
          <w:bCs/>
          <w:lang w:val="en-US"/>
        </w:rPr>
        <w:t>s</w:t>
      </w:r>
      <w:r w:rsidR="00E51B37">
        <w:rPr>
          <w:rFonts w:cs="Arial"/>
          <w:bCs/>
          <w:lang w:val="en-US"/>
        </w:rPr>
        <w:t>e</w:t>
      </w:r>
      <w:r w:rsidR="00011141">
        <w:rPr>
          <w:rFonts w:cs="Arial"/>
          <w:bCs/>
          <w:lang w:val="en-US"/>
        </w:rPr>
        <w:t xml:space="preserve"> guideline</w:t>
      </w:r>
      <w:r w:rsidR="00E51B37">
        <w:rPr>
          <w:rFonts w:cs="Arial"/>
          <w:bCs/>
          <w:lang w:val="en-US"/>
        </w:rPr>
        <w:t>s</w:t>
      </w:r>
      <w:r w:rsidR="00011141">
        <w:rPr>
          <w:rFonts w:cs="Arial"/>
          <w:bCs/>
          <w:lang w:val="en-US"/>
        </w:rPr>
        <w:t>.</w:t>
      </w:r>
    </w:p>
    <w:p w14:paraId="07AB70CD" w14:textId="50769C71" w:rsidR="0040306E" w:rsidRDefault="0040306E" w:rsidP="00C06D01">
      <w:pPr>
        <w:pStyle w:val="Heading1"/>
        <w:ind w:left="357" w:hanging="357"/>
        <w:rPr>
          <w:lang w:eastAsia="en-AU"/>
        </w:rPr>
      </w:pPr>
      <w:bookmarkStart w:id="1" w:name="_Toc131412850"/>
      <w:r>
        <w:rPr>
          <w:lang w:eastAsia="en-AU"/>
        </w:rPr>
        <w:t>Implementation</w:t>
      </w:r>
      <w:bookmarkEnd w:id="1"/>
    </w:p>
    <w:p w14:paraId="64E4FC61" w14:textId="59644D81" w:rsidR="0040306E" w:rsidRPr="00A2714E" w:rsidRDefault="0040306E" w:rsidP="004A59AC">
      <w:pPr>
        <w:rPr>
          <w:rFonts w:asciiTheme="minorHAnsi" w:hAnsiTheme="minorHAnsi" w:cs="Arial"/>
          <w:bCs/>
          <w:lang w:val="en-US"/>
        </w:rPr>
      </w:pPr>
      <w:r w:rsidRPr="00BD478E">
        <w:rPr>
          <w:rFonts w:asciiTheme="minorHAnsi" w:hAnsiTheme="minorHAnsi" w:cs="Arial"/>
          <w:bCs/>
          <w:lang w:val="en-US"/>
        </w:rPr>
        <w:t>The decision to implement the guidelines must be made by the principal in consultation with the school representative body. Consultation should also include the nominated officers and HPSN, ensuring that any decision is properly understood and well</w:t>
      </w:r>
      <w:r w:rsidR="00011141">
        <w:rPr>
          <w:rFonts w:asciiTheme="minorHAnsi" w:hAnsiTheme="minorHAnsi" w:cs="Arial"/>
          <w:bCs/>
          <w:lang w:val="en-US"/>
        </w:rPr>
        <w:t xml:space="preserve"> </w:t>
      </w:r>
      <w:r w:rsidRPr="00BD478E">
        <w:rPr>
          <w:rFonts w:asciiTheme="minorHAnsi" w:hAnsiTheme="minorHAnsi" w:cs="Arial"/>
          <w:bCs/>
          <w:lang w:val="en-US"/>
        </w:rPr>
        <w:t xml:space="preserve">recorded. An </w:t>
      </w:r>
      <w:r w:rsidRPr="000566AE">
        <w:rPr>
          <w:rFonts w:asciiTheme="minorHAnsi" w:hAnsiTheme="minorHAnsi" w:cs="Arial"/>
          <w:lang w:val="en-US"/>
        </w:rPr>
        <w:t>opt</w:t>
      </w:r>
      <w:r w:rsidR="00011141">
        <w:rPr>
          <w:rFonts w:asciiTheme="minorHAnsi" w:hAnsiTheme="minorHAnsi" w:cs="Arial"/>
          <w:lang w:val="en-US"/>
        </w:rPr>
        <w:t xml:space="preserve"> </w:t>
      </w:r>
      <w:r w:rsidRPr="000566AE">
        <w:rPr>
          <w:rFonts w:asciiTheme="minorHAnsi" w:hAnsiTheme="minorHAnsi" w:cs="Arial"/>
          <w:lang w:val="en-US"/>
        </w:rPr>
        <w:t>out provision must be offered for parents</w:t>
      </w:r>
      <w:r w:rsidRPr="00BD478E">
        <w:rPr>
          <w:rFonts w:asciiTheme="minorHAnsi" w:hAnsiTheme="minorHAnsi" w:cs="Arial"/>
          <w:bCs/>
          <w:lang w:val="en-US"/>
        </w:rPr>
        <w:t xml:space="preserve"> who </w:t>
      </w:r>
      <w:r w:rsidRPr="00A2714E">
        <w:rPr>
          <w:rFonts w:asciiTheme="minorHAnsi" w:hAnsiTheme="minorHAnsi" w:cs="Arial"/>
          <w:bCs/>
          <w:lang w:val="en-US"/>
        </w:rPr>
        <w:t>do not want their child to have access to condoms through the nominated officer or HPSN.</w:t>
      </w:r>
    </w:p>
    <w:p w14:paraId="3FB2F91E" w14:textId="1B346338" w:rsidR="0040306E" w:rsidRPr="00A2714E" w:rsidRDefault="0040306E" w:rsidP="004A59AC">
      <w:pPr>
        <w:rPr>
          <w:rFonts w:asciiTheme="minorHAnsi" w:hAnsiTheme="minorHAnsi" w:cs="Arial"/>
          <w:bCs/>
          <w:lang w:val="en-US"/>
        </w:rPr>
      </w:pPr>
      <w:r w:rsidRPr="00A2714E">
        <w:rPr>
          <w:rFonts w:asciiTheme="minorHAnsi" w:hAnsiTheme="minorHAnsi" w:cs="Arial"/>
          <w:bCs/>
          <w:lang w:val="en-US"/>
        </w:rPr>
        <w:t>In the event of disagreement, the Director</w:t>
      </w:r>
      <w:r w:rsidR="0033116D" w:rsidRPr="00A2714E">
        <w:rPr>
          <w:rFonts w:asciiTheme="minorHAnsi" w:hAnsiTheme="minorHAnsi" w:cs="Arial"/>
          <w:bCs/>
          <w:lang w:val="en-US"/>
        </w:rPr>
        <w:t xml:space="preserve"> School Operations </w:t>
      </w:r>
      <w:r w:rsidRPr="00A2714E">
        <w:rPr>
          <w:rFonts w:asciiTheme="minorHAnsi" w:hAnsiTheme="minorHAnsi" w:cs="Arial"/>
          <w:bCs/>
          <w:lang w:val="en-US"/>
        </w:rPr>
        <w:t>is able to provide guidance and assist with decision making.</w:t>
      </w:r>
    </w:p>
    <w:p w14:paraId="0CD42CEB" w14:textId="1C6FF582" w:rsidR="00F24CB0" w:rsidRDefault="0040306E" w:rsidP="004A59AC">
      <w:pPr>
        <w:rPr>
          <w:rFonts w:asciiTheme="minorHAnsi" w:hAnsiTheme="minorHAnsi"/>
          <w:bCs/>
          <w:lang w:val="en-US"/>
        </w:rPr>
      </w:pPr>
      <w:r w:rsidRPr="00A2714E">
        <w:rPr>
          <w:rFonts w:asciiTheme="minorHAnsi" w:hAnsiTheme="minorHAnsi"/>
          <w:bCs/>
          <w:lang w:val="en-US"/>
        </w:rPr>
        <w:t>Where applicable, principals and their school representative bodies should extend consultation and work with members of the broader community</w:t>
      </w:r>
      <w:r w:rsidR="00D056B4">
        <w:rPr>
          <w:rFonts w:asciiTheme="minorHAnsi" w:hAnsiTheme="minorHAnsi"/>
          <w:bCs/>
          <w:lang w:val="en-US"/>
        </w:rPr>
        <w:t>,</w:t>
      </w:r>
      <w:r w:rsidRPr="00A2714E">
        <w:rPr>
          <w:rFonts w:asciiTheme="minorHAnsi" w:hAnsiTheme="minorHAnsi"/>
          <w:bCs/>
          <w:lang w:val="en-US"/>
        </w:rPr>
        <w:t xml:space="preserve"> </w:t>
      </w:r>
      <w:r w:rsidR="002A68D6" w:rsidRPr="00A2714E">
        <w:rPr>
          <w:rFonts w:asciiTheme="minorHAnsi" w:hAnsiTheme="minorHAnsi"/>
          <w:bCs/>
          <w:lang w:val="en-US"/>
        </w:rPr>
        <w:t>for example</w:t>
      </w:r>
      <w:r w:rsidRPr="00A2714E">
        <w:rPr>
          <w:rFonts w:asciiTheme="minorHAnsi" w:hAnsiTheme="minorHAnsi"/>
          <w:bCs/>
          <w:lang w:val="en-US"/>
        </w:rPr>
        <w:t xml:space="preserve"> remote health clinics</w:t>
      </w:r>
      <w:r w:rsidR="00D056B4">
        <w:rPr>
          <w:rFonts w:asciiTheme="minorHAnsi" w:hAnsiTheme="minorHAnsi"/>
          <w:bCs/>
          <w:lang w:val="en-US"/>
        </w:rPr>
        <w:t>,</w:t>
      </w:r>
      <w:r w:rsidRPr="00A2714E">
        <w:rPr>
          <w:rFonts w:asciiTheme="minorHAnsi" w:hAnsiTheme="minorHAnsi"/>
          <w:bCs/>
          <w:lang w:val="en-US"/>
        </w:rPr>
        <w:t xml:space="preserve"> to establish a whole of community approach. This will ensure clarity and consistency is maintained and that practice is in accordance with these guidelines.</w:t>
      </w:r>
    </w:p>
    <w:p w14:paraId="0E2A3C38" w14:textId="7A691BF9" w:rsidR="00011141" w:rsidRDefault="00011141">
      <w:pPr>
        <w:rPr>
          <w:rFonts w:asciiTheme="minorHAnsi" w:hAnsiTheme="minorHAnsi"/>
          <w:bCs/>
          <w:lang w:val="en-US"/>
        </w:rPr>
      </w:pPr>
      <w:r>
        <w:rPr>
          <w:rFonts w:asciiTheme="minorHAnsi" w:hAnsiTheme="minorHAnsi"/>
          <w:bCs/>
          <w:lang w:val="en-US"/>
        </w:rPr>
        <w:br w:type="page"/>
      </w:r>
    </w:p>
    <w:p w14:paraId="1F0C7374" w14:textId="3DEE113C" w:rsidR="0040306E" w:rsidRPr="0040306E" w:rsidRDefault="0040306E" w:rsidP="00C06D01">
      <w:pPr>
        <w:pStyle w:val="Heading1"/>
        <w:ind w:left="357" w:hanging="357"/>
        <w:rPr>
          <w:lang w:val="en-US"/>
        </w:rPr>
      </w:pPr>
      <w:bookmarkStart w:id="2" w:name="_Toc131412851"/>
      <w:r>
        <w:rPr>
          <w:lang w:val="en-US"/>
        </w:rPr>
        <w:lastRenderedPageBreak/>
        <w:t>Procedures for teachers and other school staff</w:t>
      </w:r>
      <w:bookmarkEnd w:id="2"/>
    </w:p>
    <w:p w14:paraId="4DE58827" w14:textId="0123EB3E" w:rsidR="0040306E" w:rsidRPr="00BD478E" w:rsidRDefault="0040306E" w:rsidP="004A59AC">
      <w:pPr>
        <w:rPr>
          <w:rFonts w:cs="Arial"/>
          <w:bCs/>
          <w:lang w:val="en-US"/>
        </w:rPr>
      </w:pPr>
      <w:r w:rsidRPr="00BD478E">
        <w:rPr>
          <w:rFonts w:cs="Arial"/>
          <w:bCs/>
          <w:lang w:val="en-US"/>
        </w:rPr>
        <w:t>Teachers and other school staff must direct students wishing to access condoms to the HPSN or nominated officer. In instances where access to a HPSN or nominated officer is unavailable, staff must direct students to the most appropriate resource for information and condoms.</w:t>
      </w:r>
    </w:p>
    <w:p w14:paraId="0445A67D" w14:textId="297152F0" w:rsidR="0040306E" w:rsidRPr="00BD478E" w:rsidRDefault="0040306E" w:rsidP="00550CCF">
      <w:pPr>
        <w:rPr>
          <w:rFonts w:cs="Arial"/>
          <w:bCs/>
          <w:lang w:val="en-US"/>
        </w:rPr>
      </w:pPr>
      <w:bookmarkStart w:id="3" w:name="list"/>
      <w:bookmarkEnd w:id="3"/>
      <w:r w:rsidRPr="00BD478E">
        <w:rPr>
          <w:rFonts w:cs="Arial"/>
          <w:bCs/>
          <w:lang w:val="en-US"/>
        </w:rPr>
        <w:t>External resources</w:t>
      </w:r>
      <w:r w:rsidR="002A68D6">
        <w:rPr>
          <w:rFonts w:cs="Arial"/>
          <w:bCs/>
          <w:lang w:val="en-US"/>
        </w:rPr>
        <w:t xml:space="preserve"> and </w:t>
      </w:r>
      <w:r w:rsidRPr="00BD478E">
        <w:rPr>
          <w:rFonts w:cs="Arial"/>
          <w:bCs/>
          <w:lang w:val="en-US"/>
        </w:rPr>
        <w:t>agencies for information and condoms</w:t>
      </w:r>
      <w:r w:rsidR="00550CCF">
        <w:rPr>
          <w:rFonts w:cs="Arial"/>
          <w:bCs/>
          <w:lang w:val="en-US"/>
        </w:rPr>
        <w:t xml:space="preserve"> are listed on the Department of Health website.</w:t>
      </w:r>
    </w:p>
    <w:p w14:paraId="428F6697" w14:textId="00B595A5" w:rsidR="0040306E" w:rsidRPr="00BD478E" w:rsidRDefault="0040306E" w:rsidP="004A59AC">
      <w:pPr>
        <w:rPr>
          <w:rFonts w:cs="Arial"/>
          <w:bCs/>
          <w:lang w:val="en-US"/>
        </w:rPr>
      </w:pPr>
      <w:r w:rsidRPr="00BD478E">
        <w:rPr>
          <w:rFonts w:cs="Arial"/>
          <w:bCs/>
          <w:lang w:val="en-US"/>
        </w:rPr>
        <w:t xml:space="preserve">Condoms are </w:t>
      </w:r>
      <w:r w:rsidRPr="00456282">
        <w:rPr>
          <w:rFonts w:cs="Arial"/>
          <w:lang w:val="en-US"/>
        </w:rPr>
        <w:t xml:space="preserve">not </w:t>
      </w:r>
      <w:r w:rsidRPr="00BD478E">
        <w:rPr>
          <w:rFonts w:cs="Arial"/>
          <w:bCs/>
          <w:lang w:val="en-US"/>
        </w:rPr>
        <w:t>to be provided to students for personal use at health expos or during Health Education</w:t>
      </w:r>
      <w:r w:rsidR="000566AE">
        <w:rPr>
          <w:rFonts w:cs="Arial"/>
          <w:bCs/>
          <w:lang w:val="en-US"/>
        </w:rPr>
        <w:t xml:space="preserve"> and </w:t>
      </w:r>
      <w:r w:rsidRPr="00BD478E">
        <w:rPr>
          <w:rFonts w:cs="Arial"/>
          <w:bCs/>
          <w:lang w:val="en-US"/>
        </w:rPr>
        <w:t>Pastoral Care classes.</w:t>
      </w:r>
    </w:p>
    <w:p w14:paraId="61F506BB" w14:textId="3882AE2A" w:rsidR="0040306E" w:rsidRPr="001A151F" w:rsidRDefault="0040306E" w:rsidP="004A59AC">
      <w:pPr>
        <w:rPr>
          <w:bCs/>
        </w:rPr>
      </w:pPr>
      <w:r w:rsidRPr="001A151F">
        <w:rPr>
          <w:bCs/>
        </w:rPr>
        <w:t>Schools without a HPSN can nominate staff to provide condoms to students. The decision to implement these practices must be made in consultation, and with the agreement of, the school representative body.</w:t>
      </w:r>
    </w:p>
    <w:p w14:paraId="078DFDD3" w14:textId="44038F55" w:rsidR="0040306E" w:rsidRPr="0051263C" w:rsidRDefault="0040306E" w:rsidP="00C06D01">
      <w:pPr>
        <w:pStyle w:val="Heading1"/>
        <w:ind w:left="357" w:hanging="357"/>
        <w:rPr>
          <w:lang w:val="en-US"/>
        </w:rPr>
      </w:pPr>
      <w:bookmarkStart w:id="4" w:name="_Toc131412852"/>
      <w:r>
        <w:rPr>
          <w:lang w:val="en-US"/>
        </w:rPr>
        <w:t>Procedures for nominated officers</w:t>
      </w:r>
      <w:bookmarkEnd w:id="4"/>
    </w:p>
    <w:p w14:paraId="144E2044" w14:textId="6406939D" w:rsidR="00C64FD3" w:rsidRPr="009E01BE" w:rsidRDefault="00C64FD3" w:rsidP="00952F8D">
      <w:pPr>
        <w:pStyle w:val="Heading2"/>
        <w:rPr>
          <w:lang w:val="en-US"/>
        </w:rPr>
      </w:pPr>
      <w:bookmarkStart w:id="5" w:name="_Toc131412853"/>
      <w:r w:rsidRPr="009E01BE">
        <w:rPr>
          <w:lang w:val="en-US"/>
        </w:rPr>
        <w:t>Students 16</w:t>
      </w:r>
      <w:r w:rsidR="00952F8D">
        <w:rPr>
          <w:lang w:val="en-US"/>
        </w:rPr>
        <w:t xml:space="preserve"> </w:t>
      </w:r>
      <w:r w:rsidRPr="009E01BE">
        <w:rPr>
          <w:lang w:val="en-US"/>
        </w:rPr>
        <w:t>years of age or older</w:t>
      </w:r>
      <w:bookmarkEnd w:id="5"/>
    </w:p>
    <w:p w14:paraId="14389531" w14:textId="77777777" w:rsidR="00C64FD3" w:rsidRPr="00BD478E" w:rsidRDefault="00C64FD3" w:rsidP="00F36DD9">
      <w:pPr>
        <w:spacing w:after="120"/>
        <w:rPr>
          <w:rFonts w:cs="Arial"/>
          <w:bCs/>
          <w:lang w:val="en-US"/>
        </w:rPr>
      </w:pPr>
      <w:r w:rsidRPr="00BD478E">
        <w:rPr>
          <w:rFonts w:cs="Arial"/>
          <w:bCs/>
          <w:lang w:val="en-US"/>
        </w:rPr>
        <w:t>If a student approaches a nominated officer for a condom, the officer must adhere to the following procedures:</w:t>
      </w:r>
    </w:p>
    <w:p w14:paraId="59C02D06" w14:textId="6592B862" w:rsidR="00C64FD3" w:rsidRPr="00BD478E" w:rsidRDefault="00C64FD3" w:rsidP="00F36DD9">
      <w:pPr>
        <w:numPr>
          <w:ilvl w:val="1"/>
          <w:numId w:val="22"/>
        </w:numPr>
        <w:spacing w:after="120"/>
        <w:ind w:left="851" w:hanging="283"/>
        <w:rPr>
          <w:rFonts w:cs="Arial"/>
          <w:bCs/>
          <w:lang w:val="en-US"/>
        </w:rPr>
      </w:pPr>
      <w:r w:rsidRPr="00BD478E">
        <w:rPr>
          <w:rFonts w:cs="Arial"/>
          <w:bCs/>
          <w:lang w:val="en-US"/>
        </w:rPr>
        <w:t xml:space="preserve">inform the student </w:t>
      </w:r>
      <w:r w:rsidRPr="00BD478E">
        <w:rPr>
          <w:rFonts w:cs="Arial"/>
        </w:rPr>
        <w:t>that their request for a condom is kept confidential unless a report is being made to relevant authorities due to concern of harm or exploitation. Encourage the student to talk to their parents about their relationship and sexual activity</w:t>
      </w:r>
    </w:p>
    <w:p w14:paraId="3C8C302C" w14:textId="3009262C" w:rsidR="00C64FD3" w:rsidRPr="00BD478E" w:rsidRDefault="00C64FD3" w:rsidP="00F36DD9">
      <w:pPr>
        <w:numPr>
          <w:ilvl w:val="1"/>
          <w:numId w:val="22"/>
        </w:numPr>
        <w:spacing w:after="120"/>
        <w:ind w:left="851" w:hanging="283"/>
        <w:rPr>
          <w:rFonts w:cs="Arial"/>
          <w:bCs/>
          <w:lang w:val="en-US"/>
        </w:rPr>
      </w:pPr>
      <w:r w:rsidRPr="00BD478E">
        <w:rPr>
          <w:rFonts w:cs="Arial"/>
          <w:bCs/>
          <w:lang w:val="en-US"/>
        </w:rPr>
        <w:t>ensure the student has knowledge of the responsibilities and risks associated with sexual behaviour</w:t>
      </w:r>
      <w:r w:rsidR="002A68D6">
        <w:rPr>
          <w:rFonts w:cs="Arial"/>
          <w:bCs/>
          <w:lang w:val="en-US"/>
        </w:rPr>
        <w:t xml:space="preserve">, for example </w:t>
      </w:r>
      <w:r w:rsidRPr="00BD478E">
        <w:rPr>
          <w:rFonts w:cs="Arial"/>
          <w:bCs/>
          <w:lang w:val="en-US"/>
        </w:rPr>
        <w:t>unwanted pregnancy</w:t>
      </w:r>
      <w:r w:rsidR="00DE1ACD">
        <w:rPr>
          <w:rFonts w:cs="Arial"/>
          <w:bCs/>
          <w:lang w:val="en-US"/>
        </w:rPr>
        <w:t xml:space="preserve"> and</w:t>
      </w:r>
      <w:r w:rsidRPr="00BD478E">
        <w:rPr>
          <w:rFonts w:cs="Arial"/>
          <w:bCs/>
          <w:lang w:val="en-US"/>
        </w:rPr>
        <w:t xml:space="preserve"> </w:t>
      </w:r>
      <w:r w:rsidR="009C70C1" w:rsidRPr="00720442">
        <w:t>sexuality transmitted infections</w:t>
      </w:r>
      <w:r w:rsidR="00DE1ACD">
        <w:t xml:space="preserve"> (STI)</w:t>
      </w:r>
    </w:p>
    <w:p w14:paraId="6920DE86" w14:textId="77777777" w:rsidR="00C64FD3" w:rsidRPr="00BD478E" w:rsidRDefault="00C64FD3" w:rsidP="00F36DD9">
      <w:pPr>
        <w:numPr>
          <w:ilvl w:val="1"/>
          <w:numId w:val="22"/>
        </w:numPr>
        <w:spacing w:after="120"/>
        <w:ind w:left="851" w:hanging="283"/>
        <w:rPr>
          <w:rFonts w:cs="Arial"/>
          <w:bCs/>
          <w:lang w:val="en-US"/>
        </w:rPr>
      </w:pPr>
      <w:r w:rsidRPr="00BD478E">
        <w:rPr>
          <w:rFonts w:cs="Arial"/>
          <w:bCs/>
          <w:lang w:val="en-US"/>
        </w:rPr>
        <w:t>provide a maximum of three condoms with lubricant to the student</w:t>
      </w:r>
    </w:p>
    <w:p w14:paraId="2D05B304" w14:textId="577F8878" w:rsidR="00C64FD3" w:rsidRPr="00F36DD9" w:rsidRDefault="00C64FD3" w:rsidP="00F36DD9">
      <w:pPr>
        <w:numPr>
          <w:ilvl w:val="1"/>
          <w:numId w:val="22"/>
        </w:numPr>
        <w:ind w:left="851" w:hanging="283"/>
        <w:rPr>
          <w:rFonts w:cs="Arial"/>
          <w:bCs/>
          <w:lang w:val="en-US"/>
        </w:rPr>
      </w:pPr>
      <w:r w:rsidRPr="00BD478E">
        <w:rPr>
          <w:rFonts w:cs="Arial"/>
          <w:bCs/>
          <w:lang w:val="en-US"/>
        </w:rPr>
        <w:t xml:space="preserve">provide the student with a list of </w:t>
      </w:r>
      <w:r w:rsidRPr="00F36DD9">
        <w:rPr>
          <w:rFonts w:cs="Arial"/>
          <w:bCs/>
          <w:lang w:val="en-US"/>
        </w:rPr>
        <w:t>resources</w:t>
      </w:r>
      <w:r w:rsidR="00A55F38" w:rsidRPr="00F36DD9">
        <w:rPr>
          <w:rFonts w:cs="Arial"/>
          <w:bCs/>
          <w:lang w:val="en-US"/>
        </w:rPr>
        <w:t xml:space="preserve"> and </w:t>
      </w:r>
      <w:r w:rsidRPr="00F36DD9">
        <w:rPr>
          <w:rFonts w:cs="Arial"/>
          <w:bCs/>
          <w:lang w:val="en-US"/>
        </w:rPr>
        <w:t>agencies</w:t>
      </w:r>
      <w:r w:rsidRPr="00BD478E">
        <w:rPr>
          <w:rFonts w:cs="Arial"/>
          <w:bCs/>
          <w:lang w:val="en-US"/>
        </w:rPr>
        <w:t xml:space="preserve"> where they can obtain free condoms and sexual health checks.</w:t>
      </w:r>
    </w:p>
    <w:p w14:paraId="4EB16F5A" w14:textId="77777777" w:rsidR="00C64FD3" w:rsidRPr="009E01BE" w:rsidRDefault="00C64FD3" w:rsidP="00F36DD9">
      <w:pPr>
        <w:pStyle w:val="Heading2"/>
        <w:rPr>
          <w:lang w:val="en-US"/>
        </w:rPr>
      </w:pPr>
      <w:bookmarkStart w:id="6" w:name="_Toc131412854"/>
      <w:r w:rsidRPr="009E01BE">
        <w:rPr>
          <w:lang w:val="en-US"/>
        </w:rPr>
        <w:t>Students under 16 years of age</w:t>
      </w:r>
      <w:bookmarkEnd w:id="6"/>
    </w:p>
    <w:p w14:paraId="0809B3CE" w14:textId="77777777" w:rsidR="00C64FD3" w:rsidRPr="00BD478E" w:rsidRDefault="00C64FD3" w:rsidP="00F36DD9">
      <w:pPr>
        <w:spacing w:after="120"/>
        <w:rPr>
          <w:rFonts w:cs="Arial"/>
          <w:bCs/>
          <w:lang w:val="en-US"/>
        </w:rPr>
      </w:pPr>
      <w:r w:rsidRPr="00BD478E">
        <w:rPr>
          <w:rFonts w:cs="Arial"/>
          <w:bCs/>
          <w:lang w:val="en-US"/>
        </w:rPr>
        <w:t>If a student under the age of 16 approaches a nominated officer for a condom the nominated officer must adhere to the following procedures:</w:t>
      </w:r>
    </w:p>
    <w:p w14:paraId="77438CB8" w14:textId="77777777" w:rsidR="00C64FD3" w:rsidRPr="00BD478E" w:rsidRDefault="00C64FD3" w:rsidP="00F36DD9">
      <w:pPr>
        <w:numPr>
          <w:ilvl w:val="0"/>
          <w:numId w:val="25"/>
        </w:numPr>
        <w:spacing w:after="120"/>
        <w:ind w:left="851" w:hanging="283"/>
        <w:rPr>
          <w:rFonts w:cs="Arial"/>
          <w:bCs/>
          <w:lang w:val="en-US"/>
        </w:rPr>
      </w:pPr>
      <w:r w:rsidRPr="00BD478E">
        <w:rPr>
          <w:rFonts w:cs="Arial"/>
          <w:bCs/>
          <w:lang w:val="en-US"/>
        </w:rPr>
        <w:t>if the student discloses, or it is found that the sexual partner is greater than two years older than the student, a mandatory report must be made, regardless of whether or not the sexual activity is consensual</w:t>
      </w:r>
    </w:p>
    <w:p w14:paraId="757A7975" w14:textId="77777777" w:rsidR="00C64FD3" w:rsidRPr="00BD478E" w:rsidRDefault="00C64FD3" w:rsidP="00F36DD9">
      <w:pPr>
        <w:pStyle w:val="ListParagraph"/>
        <w:numPr>
          <w:ilvl w:val="0"/>
          <w:numId w:val="25"/>
        </w:numPr>
        <w:ind w:left="851" w:hanging="283"/>
        <w:rPr>
          <w:rFonts w:cs="Arial"/>
          <w:bCs/>
          <w:lang w:val="en-US"/>
        </w:rPr>
      </w:pPr>
      <w:r w:rsidRPr="00BD478E">
        <w:rPr>
          <w:rFonts w:cs="Arial"/>
        </w:rPr>
        <w:t>encourage the student to talk to their parents about their relationship and sexual activity</w:t>
      </w:r>
    </w:p>
    <w:p w14:paraId="76927F34" w14:textId="6B4BEAD0" w:rsidR="00C64FD3" w:rsidRPr="00BD478E" w:rsidRDefault="00C64FD3" w:rsidP="00F36DD9">
      <w:pPr>
        <w:pStyle w:val="ListParagraph"/>
        <w:numPr>
          <w:ilvl w:val="0"/>
          <w:numId w:val="25"/>
        </w:numPr>
        <w:ind w:left="851" w:hanging="283"/>
        <w:rPr>
          <w:rFonts w:cs="Arial"/>
          <w:bCs/>
          <w:lang w:val="en-US"/>
        </w:rPr>
      </w:pPr>
      <w:r w:rsidRPr="00BD478E">
        <w:rPr>
          <w:rFonts w:cs="Arial"/>
          <w:bCs/>
          <w:lang w:val="en-US"/>
        </w:rPr>
        <w:t>ensure the student has knowledge of the responsibilities and risks associated with sexual behaviour and protected</w:t>
      </w:r>
      <w:r w:rsidR="00A55F38">
        <w:rPr>
          <w:rFonts w:cs="Arial"/>
          <w:bCs/>
          <w:lang w:val="en-US"/>
        </w:rPr>
        <w:t xml:space="preserve"> or </w:t>
      </w:r>
      <w:r w:rsidRPr="00BD478E">
        <w:rPr>
          <w:rFonts w:cs="Arial"/>
          <w:bCs/>
          <w:lang w:val="en-US"/>
        </w:rPr>
        <w:t>unprotected sexual activity</w:t>
      </w:r>
    </w:p>
    <w:p w14:paraId="6D26D7E9" w14:textId="77777777" w:rsidR="00C64FD3" w:rsidRPr="00BD478E" w:rsidRDefault="00C64FD3" w:rsidP="00F36DD9">
      <w:pPr>
        <w:pStyle w:val="ListParagraph"/>
        <w:numPr>
          <w:ilvl w:val="0"/>
          <w:numId w:val="25"/>
        </w:numPr>
        <w:ind w:left="851" w:hanging="283"/>
        <w:rPr>
          <w:rFonts w:cs="Arial"/>
          <w:bCs/>
          <w:lang w:val="en-US"/>
        </w:rPr>
      </w:pPr>
      <w:r w:rsidRPr="00BD478E">
        <w:rPr>
          <w:rFonts w:cs="Arial"/>
          <w:bCs/>
          <w:lang w:val="en-US"/>
        </w:rPr>
        <w:t>provide a maximum of three condoms with lubricant to the student</w:t>
      </w:r>
    </w:p>
    <w:p w14:paraId="063606C0" w14:textId="422D59AE" w:rsidR="00C64FD3" w:rsidRPr="00BD478E" w:rsidRDefault="00C64FD3" w:rsidP="00F36DD9">
      <w:pPr>
        <w:pStyle w:val="ListParagraph"/>
        <w:numPr>
          <w:ilvl w:val="0"/>
          <w:numId w:val="25"/>
        </w:numPr>
        <w:ind w:left="851" w:hanging="283"/>
        <w:rPr>
          <w:rFonts w:cs="Arial"/>
          <w:bCs/>
          <w:lang w:val="en-US"/>
        </w:rPr>
      </w:pPr>
      <w:r w:rsidRPr="00BD478E">
        <w:rPr>
          <w:rFonts w:cs="Arial"/>
          <w:bCs/>
          <w:lang w:val="en-US"/>
        </w:rPr>
        <w:t xml:space="preserve">provide student with a list of </w:t>
      </w:r>
      <w:r w:rsidR="00806985" w:rsidRPr="00F36DD9">
        <w:rPr>
          <w:rFonts w:cs="Arial"/>
          <w:bCs/>
          <w:lang w:val="en-US"/>
        </w:rPr>
        <w:t>resources</w:t>
      </w:r>
      <w:r w:rsidR="00A55F38" w:rsidRPr="00F36DD9">
        <w:rPr>
          <w:rFonts w:cs="Arial"/>
          <w:bCs/>
          <w:lang w:val="en-US"/>
        </w:rPr>
        <w:t xml:space="preserve"> and </w:t>
      </w:r>
      <w:r w:rsidRPr="00F36DD9">
        <w:rPr>
          <w:rFonts w:cs="Arial"/>
          <w:bCs/>
          <w:lang w:val="en-US"/>
        </w:rPr>
        <w:t>agencies</w:t>
      </w:r>
      <w:r w:rsidRPr="00BD478E">
        <w:rPr>
          <w:rFonts w:cs="Arial"/>
          <w:bCs/>
          <w:lang w:val="en-US"/>
        </w:rPr>
        <w:t xml:space="preserve"> where they can obtain sexual health services</w:t>
      </w:r>
    </w:p>
    <w:p w14:paraId="0F497AEF" w14:textId="7E344831" w:rsidR="00C64FD3" w:rsidRDefault="00C64FD3" w:rsidP="00F36DD9">
      <w:pPr>
        <w:pStyle w:val="ListParagraph"/>
        <w:numPr>
          <w:ilvl w:val="0"/>
          <w:numId w:val="25"/>
        </w:numPr>
        <w:spacing w:after="200"/>
        <w:ind w:left="851" w:hanging="283"/>
        <w:rPr>
          <w:rFonts w:cs="Arial"/>
          <w:bCs/>
          <w:lang w:val="en-US"/>
        </w:rPr>
      </w:pPr>
      <w:r w:rsidRPr="00F92834">
        <w:rPr>
          <w:rFonts w:cs="Arial"/>
          <w:bCs/>
          <w:lang w:val="en-US"/>
        </w:rPr>
        <w:t xml:space="preserve">follow the </w:t>
      </w:r>
      <w:r w:rsidR="0028367B" w:rsidRPr="00F97D42">
        <w:rPr>
          <w:rFonts w:cs="Arial"/>
          <w:bCs/>
          <w:lang w:val="en-US"/>
        </w:rPr>
        <w:t xml:space="preserve">Reporting child sexual harm </w:t>
      </w:r>
      <w:r w:rsidR="0028367B" w:rsidRPr="00D056B4">
        <w:rPr>
          <w:rFonts w:cs="Arial"/>
          <w:bCs/>
          <w:lang w:val="en-US"/>
        </w:rPr>
        <w:t>flowchart</w:t>
      </w:r>
      <w:r w:rsidR="00420043">
        <w:rPr>
          <w:rFonts w:cs="Arial"/>
          <w:bCs/>
          <w:lang w:val="en-US"/>
        </w:rPr>
        <w:t>,</w:t>
      </w:r>
      <w:r w:rsidR="0028367B" w:rsidRPr="00F92834">
        <w:rPr>
          <w:rFonts w:cs="Arial"/>
          <w:bCs/>
          <w:lang w:val="en-US"/>
        </w:rPr>
        <w:t xml:space="preserve"> </w:t>
      </w:r>
      <w:r w:rsidR="00420043">
        <w:rPr>
          <w:rFonts w:cs="Arial"/>
          <w:bCs/>
          <w:lang w:val="en-US"/>
        </w:rPr>
        <w:t>in the Department of Health’s G</w:t>
      </w:r>
      <w:r w:rsidR="00420043" w:rsidRPr="005202CF">
        <w:rPr>
          <w:rFonts w:cs="Arial"/>
          <w:bCs/>
          <w:lang w:val="en-US"/>
        </w:rPr>
        <w:t>uidelines on the</w:t>
      </w:r>
      <w:r w:rsidR="00420043">
        <w:rPr>
          <w:rFonts w:cs="Arial"/>
          <w:bCs/>
          <w:lang w:val="en-US"/>
        </w:rPr>
        <w:t xml:space="preserve"> m</w:t>
      </w:r>
      <w:r w:rsidR="00420043" w:rsidRPr="005202CF">
        <w:rPr>
          <w:rFonts w:cs="Arial"/>
          <w:bCs/>
          <w:lang w:val="en-US"/>
        </w:rPr>
        <w:t>anagement of sexual</w:t>
      </w:r>
      <w:r w:rsidR="00420043">
        <w:rPr>
          <w:rFonts w:cs="Arial"/>
          <w:bCs/>
          <w:lang w:val="en-US"/>
        </w:rPr>
        <w:t xml:space="preserve"> h</w:t>
      </w:r>
      <w:r w:rsidR="00420043" w:rsidRPr="005202CF">
        <w:rPr>
          <w:rFonts w:cs="Arial"/>
          <w:bCs/>
          <w:lang w:val="en-US"/>
        </w:rPr>
        <w:t>ealth issues in children</w:t>
      </w:r>
      <w:r w:rsidR="00420043">
        <w:rPr>
          <w:rFonts w:cs="Arial"/>
          <w:bCs/>
          <w:lang w:val="en-US"/>
        </w:rPr>
        <w:t xml:space="preserve"> a</w:t>
      </w:r>
      <w:r w:rsidR="00420043" w:rsidRPr="005202CF">
        <w:rPr>
          <w:rFonts w:cs="Arial"/>
          <w:bCs/>
          <w:lang w:val="en-US"/>
        </w:rPr>
        <w:t>nd young people</w:t>
      </w:r>
      <w:r w:rsidR="00420043">
        <w:rPr>
          <w:rFonts w:cs="Arial"/>
          <w:bCs/>
          <w:lang w:val="en-US"/>
        </w:rPr>
        <w:t xml:space="preserve">, </w:t>
      </w:r>
      <w:r w:rsidRPr="00F92834">
        <w:rPr>
          <w:rFonts w:cs="Arial"/>
          <w:bCs/>
          <w:lang w:val="en-US"/>
        </w:rPr>
        <w:t xml:space="preserve">and if appropriate make a </w:t>
      </w:r>
      <w:r w:rsidR="0028367B" w:rsidRPr="00F92834">
        <w:rPr>
          <w:rFonts w:cs="Arial"/>
          <w:bCs/>
          <w:lang w:val="en-US"/>
        </w:rPr>
        <w:t>mandatory report</w:t>
      </w:r>
      <w:r w:rsidRPr="00F92834">
        <w:rPr>
          <w:rFonts w:cs="Arial"/>
          <w:bCs/>
          <w:lang w:val="en-US"/>
        </w:rPr>
        <w:t>.</w:t>
      </w:r>
    </w:p>
    <w:p w14:paraId="76050E29" w14:textId="77777777" w:rsidR="0028367B" w:rsidRDefault="0028367B">
      <w:pPr>
        <w:rPr>
          <w:rFonts w:cs="Arial"/>
          <w:bCs/>
          <w:lang w:val="en-US"/>
        </w:rPr>
      </w:pPr>
      <w:r>
        <w:rPr>
          <w:rFonts w:cs="Arial"/>
          <w:bCs/>
          <w:lang w:val="en-US"/>
        </w:rPr>
        <w:br w:type="page"/>
      </w:r>
    </w:p>
    <w:p w14:paraId="3392873C" w14:textId="7770FE51" w:rsidR="00C64FD3" w:rsidRPr="00F92834" w:rsidRDefault="00C64FD3" w:rsidP="00C06D01">
      <w:pPr>
        <w:pStyle w:val="Heading1"/>
        <w:ind w:left="357" w:hanging="357"/>
        <w:rPr>
          <w:lang w:val="en-US"/>
        </w:rPr>
      </w:pPr>
      <w:bookmarkStart w:id="7" w:name="_Procedures_for_health"/>
      <w:bookmarkStart w:id="8" w:name="_Toc131412855"/>
      <w:bookmarkEnd w:id="7"/>
      <w:r w:rsidRPr="00F92834">
        <w:rPr>
          <w:lang w:val="en-US"/>
        </w:rPr>
        <w:lastRenderedPageBreak/>
        <w:t>Procedures for health promoting school nurses</w:t>
      </w:r>
      <w:bookmarkEnd w:id="8"/>
    </w:p>
    <w:p w14:paraId="2F8443CB" w14:textId="77777777" w:rsidR="00C64FD3" w:rsidRPr="00F92834" w:rsidRDefault="00C64FD3" w:rsidP="00952F8D">
      <w:pPr>
        <w:pStyle w:val="Heading2"/>
        <w:rPr>
          <w:lang w:val="en-US"/>
        </w:rPr>
      </w:pPr>
      <w:bookmarkStart w:id="9" w:name="_Toc131412856"/>
      <w:r w:rsidRPr="00F92834">
        <w:rPr>
          <w:lang w:val="en-US"/>
        </w:rPr>
        <w:t>Students under 16 years of age</w:t>
      </w:r>
      <w:bookmarkEnd w:id="9"/>
    </w:p>
    <w:p w14:paraId="00298AAE" w14:textId="77777777" w:rsidR="00C64FD3" w:rsidRPr="00F92834" w:rsidRDefault="00C64FD3" w:rsidP="00862AFC">
      <w:pPr>
        <w:spacing w:after="120"/>
        <w:rPr>
          <w:rFonts w:cs="Arial"/>
          <w:bCs/>
          <w:lang w:val="en-US"/>
        </w:rPr>
      </w:pPr>
      <w:r w:rsidRPr="00F92834">
        <w:rPr>
          <w:rFonts w:cs="Arial"/>
          <w:bCs/>
          <w:lang w:val="en-US"/>
        </w:rPr>
        <w:t>If a student under the age of 16 approaches a HPSN for a condom the HPSN must adhere to the following procedures:</w:t>
      </w:r>
    </w:p>
    <w:p w14:paraId="54B9F712" w14:textId="079A8EEB" w:rsidR="00C64FD3" w:rsidRPr="00F36DD9" w:rsidRDefault="00C64FD3" w:rsidP="00F36DD9">
      <w:pPr>
        <w:pStyle w:val="ListParagraph"/>
        <w:numPr>
          <w:ilvl w:val="0"/>
          <w:numId w:val="28"/>
        </w:numPr>
        <w:ind w:left="851" w:hanging="283"/>
        <w:rPr>
          <w:bCs/>
          <w:lang w:val="en-US"/>
        </w:rPr>
      </w:pPr>
      <w:r w:rsidRPr="00F92834">
        <w:t>explain confidentiality and privacy, ensuring the student understands the mandatory reporting requirements</w:t>
      </w:r>
    </w:p>
    <w:p w14:paraId="7D4860C7" w14:textId="61333187" w:rsidR="00C64FD3" w:rsidRPr="00F36DD9" w:rsidRDefault="00C64FD3" w:rsidP="00F36DD9">
      <w:pPr>
        <w:pStyle w:val="ListParagraph"/>
        <w:numPr>
          <w:ilvl w:val="0"/>
          <w:numId w:val="28"/>
        </w:numPr>
        <w:ind w:left="851" w:hanging="283"/>
        <w:rPr>
          <w:bCs/>
          <w:lang w:val="en-US"/>
        </w:rPr>
      </w:pPr>
      <w:r w:rsidRPr="00F36DD9">
        <w:rPr>
          <w:bCs/>
          <w:lang w:val="en-US"/>
        </w:rPr>
        <w:t xml:space="preserve">ascertain the students age and the age of the sexual partner and act according to the </w:t>
      </w:r>
      <w:r w:rsidR="00530FA6" w:rsidRPr="00F97D42">
        <w:rPr>
          <w:rFonts w:cs="Arial"/>
          <w:bCs/>
          <w:lang w:val="en-US"/>
        </w:rPr>
        <w:t xml:space="preserve">Reporting child sexual harm </w:t>
      </w:r>
      <w:r w:rsidR="00530FA6" w:rsidRPr="00D056B4">
        <w:rPr>
          <w:rFonts w:cs="Arial"/>
          <w:bCs/>
          <w:lang w:val="en-US"/>
        </w:rPr>
        <w:t>flowchart</w:t>
      </w:r>
      <w:r w:rsidR="00420043">
        <w:rPr>
          <w:rFonts w:cs="Arial"/>
          <w:bCs/>
          <w:lang w:val="en-US"/>
        </w:rPr>
        <w:t>, in the Department of Health’s G</w:t>
      </w:r>
      <w:r w:rsidR="00420043" w:rsidRPr="005202CF">
        <w:rPr>
          <w:rFonts w:cs="Arial"/>
          <w:bCs/>
          <w:lang w:val="en-US"/>
        </w:rPr>
        <w:t>uidelines on the</w:t>
      </w:r>
      <w:r w:rsidR="00420043">
        <w:rPr>
          <w:rFonts w:cs="Arial"/>
          <w:bCs/>
          <w:lang w:val="en-US"/>
        </w:rPr>
        <w:t xml:space="preserve"> m</w:t>
      </w:r>
      <w:r w:rsidR="00420043" w:rsidRPr="005202CF">
        <w:rPr>
          <w:rFonts w:cs="Arial"/>
          <w:bCs/>
          <w:lang w:val="en-US"/>
        </w:rPr>
        <w:t>anagement of sexual</w:t>
      </w:r>
      <w:r w:rsidR="00420043">
        <w:rPr>
          <w:rFonts w:cs="Arial"/>
          <w:bCs/>
          <w:lang w:val="en-US"/>
        </w:rPr>
        <w:t xml:space="preserve"> h</w:t>
      </w:r>
      <w:r w:rsidR="00420043" w:rsidRPr="005202CF">
        <w:rPr>
          <w:rFonts w:cs="Arial"/>
          <w:bCs/>
          <w:lang w:val="en-US"/>
        </w:rPr>
        <w:t>ealth issues in children</w:t>
      </w:r>
      <w:r w:rsidR="00420043">
        <w:rPr>
          <w:rFonts w:cs="Arial"/>
          <w:bCs/>
          <w:lang w:val="en-US"/>
        </w:rPr>
        <w:t xml:space="preserve"> a</w:t>
      </w:r>
      <w:r w:rsidR="00420043" w:rsidRPr="005202CF">
        <w:rPr>
          <w:rFonts w:cs="Arial"/>
          <w:bCs/>
          <w:lang w:val="en-US"/>
        </w:rPr>
        <w:t>nd young people</w:t>
      </w:r>
    </w:p>
    <w:p w14:paraId="5CB5A874" w14:textId="7D3E8AF1" w:rsidR="00C64FD3" w:rsidRPr="00F36DD9" w:rsidRDefault="00F36DD9" w:rsidP="00F36DD9">
      <w:pPr>
        <w:pStyle w:val="ListParagraph"/>
        <w:numPr>
          <w:ilvl w:val="0"/>
          <w:numId w:val="28"/>
        </w:numPr>
        <w:ind w:left="851" w:hanging="283"/>
        <w:rPr>
          <w:bCs/>
          <w:lang w:val="en-US"/>
        </w:rPr>
      </w:pPr>
      <w:r w:rsidRPr="00F36DD9">
        <w:rPr>
          <w:bCs/>
          <w:lang w:val="en-US"/>
        </w:rPr>
        <w:t xml:space="preserve">where </w:t>
      </w:r>
      <w:r w:rsidR="00C64FD3" w:rsidRPr="00F36DD9">
        <w:rPr>
          <w:bCs/>
          <w:lang w:val="en-US"/>
        </w:rPr>
        <w:t>it is found that the sexual partner is greater than two years older than the student a mandatory report must be made, regardless of whether or not the sexual activity is consensual</w:t>
      </w:r>
    </w:p>
    <w:p w14:paraId="342DE81D" w14:textId="77777777" w:rsidR="00C64FD3" w:rsidRPr="00F36DD9" w:rsidRDefault="00C64FD3" w:rsidP="00F36DD9">
      <w:pPr>
        <w:pStyle w:val="ListParagraph"/>
        <w:numPr>
          <w:ilvl w:val="0"/>
          <w:numId w:val="28"/>
        </w:numPr>
        <w:ind w:left="851" w:hanging="283"/>
        <w:rPr>
          <w:bCs/>
          <w:lang w:val="en-US"/>
        </w:rPr>
      </w:pPr>
      <w:r w:rsidRPr="00F36DD9">
        <w:rPr>
          <w:bCs/>
          <w:lang w:val="en-US"/>
        </w:rPr>
        <w:t xml:space="preserve">contact the parents to provide an opportunity to put protective </w:t>
      </w:r>
      <w:proofErr w:type="spellStart"/>
      <w:r w:rsidRPr="00F36DD9">
        <w:rPr>
          <w:bCs/>
          <w:lang w:val="en-US"/>
        </w:rPr>
        <w:t>behaviours</w:t>
      </w:r>
      <w:proofErr w:type="spellEnd"/>
      <w:r w:rsidRPr="00F36DD9">
        <w:rPr>
          <w:bCs/>
          <w:lang w:val="en-US"/>
        </w:rPr>
        <w:t xml:space="preserve"> in place. </w:t>
      </w:r>
      <w:r w:rsidRPr="00BD478E">
        <w:t>Encourage the student to talk to their parents about their relationship and sexual activity</w:t>
      </w:r>
    </w:p>
    <w:p w14:paraId="602E5ECD" w14:textId="77777777" w:rsidR="00C64FD3" w:rsidRPr="00F36DD9" w:rsidRDefault="00C64FD3" w:rsidP="00F36DD9">
      <w:pPr>
        <w:pStyle w:val="ListParagraph"/>
        <w:numPr>
          <w:ilvl w:val="0"/>
          <w:numId w:val="28"/>
        </w:numPr>
        <w:ind w:left="851" w:hanging="283"/>
        <w:rPr>
          <w:bCs/>
          <w:lang w:val="en-US"/>
        </w:rPr>
      </w:pPr>
      <w:r w:rsidRPr="00F36DD9">
        <w:rPr>
          <w:bCs/>
          <w:lang w:val="en-US"/>
        </w:rPr>
        <w:t>ensure the student has knowledge of the responsibilities and risks associated with sexual behaviour</w:t>
      </w:r>
    </w:p>
    <w:p w14:paraId="6DF7B623" w14:textId="4308FF04" w:rsidR="00C64FD3" w:rsidRPr="00F36DD9" w:rsidRDefault="00C64FD3" w:rsidP="00F36DD9">
      <w:pPr>
        <w:pStyle w:val="ListParagraph"/>
        <w:numPr>
          <w:ilvl w:val="0"/>
          <w:numId w:val="28"/>
        </w:numPr>
        <w:ind w:left="851" w:hanging="283"/>
        <w:rPr>
          <w:bCs/>
          <w:lang w:val="en-US"/>
        </w:rPr>
      </w:pPr>
      <w:r w:rsidRPr="00F36DD9">
        <w:rPr>
          <w:bCs/>
          <w:lang w:val="en-US"/>
        </w:rPr>
        <w:t xml:space="preserve">provide the students with education </w:t>
      </w:r>
      <w:r w:rsidR="004569E1" w:rsidRPr="00F36DD9">
        <w:rPr>
          <w:bCs/>
          <w:lang w:val="en-US"/>
        </w:rPr>
        <w:t>about</w:t>
      </w:r>
      <w:r w:rsidRPr="00F36DD9">
        <w:rPr>
          <w:bCs/>
          <w:lang w:val="en-US"/>
        </w:rPr>
        <w:t xml:space="preserve"> the risks associated with protected and unprotected sexual activity or following condom breakage including unplanned pregnancy and risk of STIs. Provide student with information on reducing risks if the condom breaks</w:t>
      </w:r>
    </w:p>
    <w:p w14:paraId="53134A7C" w14:textId="77777777" w:rsidR="00C64FD3" w:rsidRPr="00F36DD9" w:rsidRDefault="00C64FD3" w:rsidP="00F36DD9">
      <w:pPr>
        <w:pStyle w:val="ListParagraph"/>
        <w:numPr>
          <w:ilvl w:val="0"/>
          <w:numId w:val="28"/>
        </w:numPr>
        <w:ind w:left="851" w:hanging="283"/>
        <w:rPr>
          <w:bCs/>
          <w:lang w:val="en-US"/>
        </w:rPr>
      </w:pPr>
      <w:r w:rsidRPr="00F36DD9">
        <w:rPr>
          <w:bCs/>
          <w:lang w:val="en-US"/>
        </w:rPr>
        <w:t>ensure the student is able to demonstrate safe use of a condom using a model penis</w:t>
      </w:r>
    </w:p>
    <w:p w14:paraId="261D54EF" w14:textId="77777777" w:rsidR="00C64FD3" w:rsidRPr="00F36DD9" w:rsidRDefault="00C64FD3" w:rsidP="00F36DD9">
      <w:pPr>
        <w:pStyle w:val="ListParagraph"/>
        <w:numPr>
          <w:ilvl w:val="0"/>
          <w:numId w:val="28"/>
        </w:numPr>
        <w:ind w:left="851" w:hanging="283"/>
        <w:rPr>
          <w:bCs/>
          <w:lang w:val="en-US"/>
        </w:rPr>
      </w:pPr>
      <w:r w:rsidRPr="00F36DD9">
        <w:rPr>
          <w:bCs/>
          <w:lang w:val="en-US"/>
        </w:rPr>
        <w:t>provide a maximum of three condoms with lubricant to the student</w:t>
      </w:r>
    </w:p>
    <w:p w14:paraId="4E501F27" w14:textId="01E6B5CB" w:rsidR="00C64FD3" w:rsidRPr="002417C5" w:rsidRDefault="00C64FD3" w:rsidP="00F36DD9">
      <w:pPr>
        <w:pStyle w:val="ListParagraph"/>
        <w:numPr>
          <w:ilvl w:val="0"/>
          <w:numId w:val="28"/>
        </w:numPr>
        <w:ind w:left="851" w:hanging="283"/>
        <w:rPr>
          <w:bCs/>
          <w:lang w:val="en-US"/>
        </w:rPr>
      </w:pPr>
      <w:r w:rsidRPr="002417C5">
        <w:rPr>
          <w:bCs/>
          <w:lang w:val="en-US"/>
        </w:rPr>
        <w:t xml:space="preserve">document the discussion and actions taken on the Department of Health </w:t>
      </w:r>
      <w:r w:rsidR="00992E6B" w:rsidRPr="002417C5">
        <w:rPr>
          <w:bCs/>
          <w:lang w:val="en-US"/>
        </w:rPr>
        <w:t>student file</w:t>
      </w:r>
    </w:p>
    <w:p w14:paraId="7D983170" w14:textId="39558C4E" w:rsidR="00C64FD3" w:rsidRDefault="00C64FD3" w:rsidP="00530FA6">
      <w:pPr>
        <w:pStyle w:val="ListParagraph"/>
        <w:numPr>
          <w:ilvl w:val="0"/>
          <w:numId w:val="28"/>
        </w:numPr>
        <w:ind w:left="851" w:hanging="283"/>
        <w:rPr>
          <w:bCs/>
          <w:lang w:val="en-US"/>
        </w:rPr>
      </w:pPr>
      <w:r w:rsidRPr="00F36DD9">
        <w:rPr>
          <w:bCs/>
          <w:lang w:val="en-US"/>
        </w:rPr>
        <w:t xml:space="preserve">provide the student with a list of </w:t>
      </w:r>
      <w:r w:rsidRPr="00420FF4">
        <w:rPr>
          <w:rFonts w:cs="Arial"/>
          <w:bCs/>
          <w:lang w:val="en-US"/>
        </w:rPr>
        <w:t>resources</w:t>
      </w:r>
      <w:r w:rsidR="00A55F38" w:rsidRPr="00420FF4">
        <w:rPr>
          <w:rFonts w:cs="Arial"/>
          <w:bCs/>
          <w:lang w:val="en-US"/>
        </w:rPr>
        <w:t xml:space="preserve"> and </w:t>
      </w:r>
      <w:r w:rsidRPr="00420FF4">
        <w:rPr>
          <w:rFonts w:cs="Arial"/>
          <w:bCs/>
          <w:lang w:val="en-US"/>
        </w:rPr>
        <w:t>agencies</w:t>
      </w:r>
      <w:r w:rsidRPr="00F36DD9">
        <w:rPr>
          <w:bCs/>
          <w:lang w:val="en-US"/>
        </w:rPr>
        <w:t xml:space="preserve"> where they can obtain sexual health services</w:t>
      </w:r>
    </w:p>
    <w:p w14:paraId="21F4523F" w14:textId="7590F849" w:rsidR="00530FA6" w:rsidRPr="00F36DD9" w:rsidRDefault="00530FA6" w:rsidP="00420FF4">
      <w:pPr>
        <w:pStyle w:val="ListParagraph"/>
        <w:numPr>
          <w:ilvl w:val="0"/>
          <w:numId w:val="28"/>
        </w:numPr>
        <w:spacing w:after="200"/>
        <w:ind w:left="851" w:hanging="283"/>
        <w:rPr>
          <w:bCs/>
          <w:lang w:val="en-US"/>
        </w:rPr>
      </w:pPr>
      <w:r w:rsidRPr="00F36DD9">
        <w:rPr>
          <w:lang w:val="en-US"/>
        </w:rPr>
        <w:t>HPSNs are not permitted to provide STI treatment</w:t>
      </w:r>
      <w:r>
        <w:rPr>
          <w:lang w:val="en-US"/>
        </w:rPr>
        <w:t>.</w:t>
      </w:r>
    </w:p>
    <w:p w14:paraId="0368CB3C" w14:textId="77777777" w:rsidR="00952F8D" w:rsidRPr="00A2714E" w:rsidRDefault="00952F8D" w:rsidP="00952F8D">
      <w:pPr>
        <w:pStyle w:val="Heading1"/>
        <w:ind w:left="357" w:hanging="357"/>
        <w:rPr>
          <w:lang w:eastAsia="en-AU"/>
        </w:rPr>
      </w:pPr>
      <w:bookmarkStart w:id="10" w:name="_Toc131412857"/>
      <w:r w:rsidRPr="00A2714E">
        <w:rPr>
          <w:lang w:eastAsia="en-AU"/>
        </w:rPr>
        <w:t>Roles and Responsibilities</w:t>
      </w:r>
      <w:bookmarkEnd w:id="10"/>
    </w:p>
    <w:p w14:paraId="68EB3412" w14:textId="55077227" w:rsidR="00FF127D" w:rsidRDefault="00FF127D" w:rsidP="00FF127D">
      <w:pPr>
        <w:pStyle w:val="Heading2"/>
        <w:rPr>
          <w:lang w:val="en-US"/>
        </w:rPr>
      </w:pPr>
      <w:bookmarkStart w:id="11" w:name="_Toc131412858"/>
      <w:r w:rsidRPr="00A2714E">
        <w:rPr>
          <w:rFonts w:cs="Arial"/>
          <w:lang w:val="en-US"/>
        </w:rPr>
        <w:t>Director School Operations</w:t>
      </w:r>
      <w:bookmarkEnd w:id="11"/>
    </w:p>
    <w:p w14:paraId="6649766A" w14:textId="4BE3456D" w:rsidR="00952F8D" w:rsidRPr="00A2714E" w:rsidRDefault="00952F8D" w:rsidP="00420FF4">
      <w:pPr>
        <w:spacing w:after="120"/>
        <w:ind w:left="426" w:hanging="426"/>
        <w:rPr>
          <w:rFonts w:cs="Arial"/>
          <w:lang w:val="en-US"/>
        </w:rPr>
      </w:pPr>
      <w:r w:rsidRPr="00A2714E">
        <w:rPr>
          <w:rFonts w:cs="Arial"/>
          <w:lang w:val="en-US"/>
        </w:rPr>
        <w:t>Director School Operations is responsible for:</w:t>
      </w:r>
    </w:p>
    <w:p w14:paraId="2B50B480" w14:textId="19B3181D" w:rsidR="00952F8D" w:rsidRDefault="00952F8D" w:rsidP="00C63F0E">
      <w:pPr>
        <w:pStyle w:val="ListParagraph"/>
        <w:numPr>
          <w:ilvl w:val="0"/>
          <w:numId w:val="12"/>
        </w:numPr>
        <w:spacing w:after="200"/>
        <w:ind w:left="851" w:hanging="284"/>
        <w:contextualSpacing/>
        <w:rPr>
          <w:rFonts w:cs="Arial"/>
          <w:lang w:val="en-US"/>
        </w:rPr>
      </w:pPr>
      <w:r w:rsidRPr="00A2714E">
        <w:rPr>
          <w:rFonts w:cs="Arial"/>
          <w:lang w:val="en-US"/>
        </w:rPr>
        <w:t>providing guidance in the event that the principal and school representative body disagree on the provision of condoms in their school.</w:t>
      </w:r>
    </w:p>
    <w:p w14:paraId="06B0D121" w14:textId="66C2CFB4" w:rsidR="00FF127D" w:rsidRPr="00FF127D" w:rsidRDefault="00FF127D" w:rsidP="00FF127D">
      <w:pPr>
        <w:pStyle w:val="Heading2"/>
        <w:rPr>
          <w:lang w:val="en-US"/>
        </w:rPr>
      </w:pPr>
      <w:bookmarkStart w:id="12" w:name="_Toc131412859"/>
      <w:r w:rsidRPr="00A2714E">
        <w:rPr>
          <w:rFonts w:cs="Arial"/>
          <w:lang w:val="en-US"/>
        </w:rPr>
        <w:t>Principal</w:t>
      </w:r>
      <w:r>
        <w:rPr>
          <w:rFonts w:cs="Arial"/>
          <w:lang w:val="en-US"/>
        </w:rPr>
        <w:t>s</w:t>
      </w:r>
      <w:bookmarkEnd w:id="12"/>
    </w:p>
    <w:p w14:paraId="52294CDE" w14:textId="499EF624" w:rsidR="00952F8D" w:rsidRPr="00A2714E" w:rsidRDefault="00FF127D" w:rsidP="00420FF4">
      <w:pPr>
        <w:spacing w:after="120"/>
        <w:ind w:left="426" w:hanging="426"/>
        <w:rPr>
          <w:rFonts w:cs="Arial"/>
          <w:lang w:val="en-US"/>
        </w:rPr>
      </w:pPr>
      <w:r>
        <w:rPr>
          <w:rFonts w:cs="Arial"/>
          <w:lang w:val="en-US"/>
        </w:rPr>
        <w:t>The p</w:t>
      </w:r>
      <w:r w:rsidR="00952F8D" w:rsidRPr="00A2714E">
        <w:rPr>
          <w:rFonts w:cs="Arial"/>
          <w:lang w:val="en-US"/>
        </w:rPr>
        <w:t>rincipal is responsible for:</w:t>
      </w:r>
    </w:p>
    <w:p w14:paraId="1576CD99" w14:textId="33DD0DB2" w:rsidR="00952F8D" w:rsidRPr="009E01BE" w:rsidRDefault="00952F8D" w:rsidP="00C63F0E">
      <w:pPr>
        <w:numPr>
          <w:ilvl w:val="0"/>
          <w:numId w:val="10"/>
        </w:numPr>
        <w:spacing w:after="120"/>
        <w:ind w:left="851" w:hanging="284"/>
        <w:rPr>
          <w:rFonts w:cs="Arial"/>
          <w:lang w:val="en-US"/>
        </w:rPr>
      </w:pPr>
      <w:r w:rsidRPr="009E01BE">
        <w:rPr>
          <w:rFonts w:cs="Arial"/>
          <w:lang w:val="en-US"/>
        </w:rPr>
        <w:t>ensuring that the decision to allow student</w:t>
      </w:r>
      <w:r w:rsidR="00C63F0E">
        <w:rPr>
          <w:rFonts w:cs="Arial"/>
          <w:lang w:val="en-US"/>
        </w:rPr>
        <w:t>s</w:t>
      </w:r>
      <w:r w:rsidRPr="009E01BE">
        <w:rPr>
          <w:rFonts w:cs="Arial"/>
          <w:lang w:val="en-US"/>
        </w:rPr>
        <w:t xml:space="preserve"> access to condoms is only made after active consultation with the school representative body, and the body has confirmed its support</w:t>
      </w:r>
    </w:p>
    <w:p w14:paraId="09BA1E1C" w14:textId="77777777" w:rsidR="00952F8D" w:rsidRPr="009E01BE" w:rsidRDefault="00952F8D" w:rsidP="00C63F0E">
      <w:pPr>
        <w:numPr>
          <w:ilvl w:val="0"/>
          <w:numId w:val="10"/>
        </w:numPr>
        <w:spacing w:after="120"/>
        <w:ind w:left="851" w:hanging="284"/>
        <w:rPr>
          <w:rFonts w:cs="Arial"/>
          <w:lang w:val="en-US"/>
        </w:rPr>
      </w:pPr>
      <w:r w:rsidRPr="009E01BE">
        <w:rPr>
          <w:rFonts w:cs="Arial"/>
          <w:lang w:val="en-US"/>
        </w:rPr>
        <w:t>communicating with the nominated officer and HPSN regarding the school decision on providing condoms to students</w:t>
      </w:r>
    </w:p>
    <w:p w14:paraId="4421BC23" w14:textId="013648AA" w:rsidR="00952F8D" w:rsidRPr="009E01BE" w:rsidRDefault="00952F8D" w:rsidP="00C63F0E">
      <w:pPr>
        <w:numPr>
          <w:ilvl w:val="0"/>
          <w:numId w:val="10"/>
        </w:numPr>
        <w:ind w:left="851" w:hanging="284"/>
        <w:rPr>
          <w:rFonts w:cs="Arial"/>
          <w:lang w:val="en-US"/>
        </w:rPr>
      </w:pPr>
      <w:r w:rsidRPr="009E01BE">
        <w:rPr>
          <w:rFonts w:cs="Arial"/>
          <w:lang w:val="en-US"/>
        </w:rPr>
        <w:t>ensuring that staff</w:t>
      </w:r>
      <w:r w:rsidR="00C63F0E">
        <w:rPr>
          <w:rFonts w:cs="Arial"/>
          <w:lang w:val="en-US"/>
        </w:rPr>
        <w:t xml:space="preserve">, </w:t>
      </w:r>
      <w:r w:rsidRPr="009E01BE">
        <w:rPr>
          <w:rFonts w:cs="Arial"/>
          <w:lang w:val="en-US"/>
        </w:rPr>
        <w:t>including the HPSN understand and align their practices with these guidelines.</w:t>
      </w:r>
    </w:p>
    <w:p w14:paraId="38146138" w14:textId="150FEDD6" w:rsidR="00FF127D" w:rsidRDefault="00FF127D" w:rsidP="00FF127D">
      <w:pPr>
        <w:pStyle w:val="Heading2"/>
        <w:rPr>
          <w:lang w:val="en-US"/>
        </w:rPr>
      </w:pPr>
      <w:bookmarkStart w:id="13" w:name="_Toc131412860"/>
      <w:r w:rsidRPr="009E01BE">
        <w:rPr>
          <w:rFonts w:cs="Arial"/>
          <w:lang w:val="en-US"/>
        </w:rPr>
        <w:lastRenderedPageBreak/>
        <w:t>Nominated officers</w:t>
      </w:r>
      <w:bookmarkEnd w:id="13"/>
    </w:p>
    <w:p w14:paraId="5D3B6BBF" w14:textId="03719957" w:rsidR="00952F8D" w:rsidRPr="009E01BE" w:rsidRDefault="00952F8D" w:rsidP="00420FF4">
      <w:pPr>
        <w:spacing w:after="120"/>
        <w:ind w:left="426" w:hanging="426"/>
        <w:rPr>
          <w:rFonts w:cs="Arial"/>
          <w:lang w:val="en-US"/>
        </w:rPr>
      </w:pPr>
      <w:r w:rsidRPr="009E01BE">
        <w:rPr>
          <w:rFonts w:cs="Arial"/>
          <w:lang w:val="en-US"/>
        </w:rPr>
        <w:t>Nominated officers are responsible for:</w:t>
      </w:r>
    </w:p>
    <w:p w14:paraId="09BAE979" w14:textId="7255A05C" w:rsidR="00C63F0E" w:rsidRPr="00FF127D" w:rsidRDefault="00952F8D" w:rsidP="003727E9">
      <w:pPr>
        <w:numPr>
          <w:ilvl w:val="0"/>
          <w:numId w:val="10"/>
        </w:numPr>
        <w:ind w:left="851" w:hanging="284"/>
        <w:rPr>
          <w:lang w:val="en-US"/>
        </w:rPr>
      </w:pPr>
      <w:r w:rsidRPr="00FF127D">
        <w:rPr>
          <w:rFonts w:cs="Arial"/>
          <w:lang w:val="en-US"/>
        </w:rPr>
        <w:t xml:space="preserve">ensuring they </w:t>
      </w:r>
      <w:proofErr w:type="gramStart"/>
      <w:r w:rsidR="0021165E" w:rsidRPr="00FF127D">
        <w:rPr>
          <w:rFonts w:cs="Arial"/>
          <w:lang w:val="en-US"/>
        </w:rPr>
        <w:t>have an understanding of</w:t>
      </w:r>
      <w:proofErr w:type="gramEnd"/>
      <w:r w:rsidR="0021165E" w:rsidRPr="00FF127D">
        <w:rPr>
          <w:rFonts w:cs="Arial"/>
          <w:lang w:val="en-US"/>
        </w:rPr>
        <w:t xml:space="preserve">, and </w:t>
      </w:r>
      <w:r w:rsidRPr="00FF127D">
        <w:rPr>
          <w:rFonts w:cs="Arial"/>
          <w:lang w:val="en-US"/>
        </w:rPr>
        <w:t xml:space="preserve">comply with these guidelines, inclusive of compliance with mandatory reporting obligations outlined in the </w:t>
      </w:r>
      <w:r w:rsidRPr="00FF127D">
        <w:rPr>
          <w:rFonts w:cs="Arial"/>
          <w:i/>
          <w:iCs/>
          <w:lang w:val="en-US"/>
        </w:rPr>
        <w:t>Care and Protection of Children Act</w:t>
      </w:r>
      <w:r w:rsidR="00420FF4" w:rsidRPr="00FF127D">
        <w:rPr>
          <w:rFonts w:cs="Arial"/>
          <w:i/>
          <w:iCs/>
          <w:lang w:val="en-US"/>
        </w:rPr>
        <w:t xml:space="preserve"> 2007</w:t>
      </w:r>
      <w:r w:rsidRPr="00FF127D">
        <w:rPr>
          <w:rFonts w:cs="Arial"/>
          <w:lang w:val="en-US"/>
        </w:rPr>
        <w:t>.</w:t>
      </w:r>
    </w:p>
    <w:p w14:paraId="59F5EF18" w14:textId="71DAA7E1" w:rsidR="00FF127D" w:rsidRPr="00FF127D" w:rsidRDefault="00FF127D" w:rsidP="00FF127D">
      <w:pPr>
        <w:pStyle w:val="Heading2"/>
        <w:rPr>
          <w:lang w:val="en-US"/>
        </w:rPr>
      </w:pPr>
      <w:bookmarkStart w:id="14" w:name="_Toc131412861"/>
      <w:r>
        <w:rPr>
          <w:lang w:val="en-US"/>
        </w:rPr>
        <w:t>School staff</w:t>
      </w:r>
      <w:bookmarkEnd w:id="14"/>
    </w:p>
    <w:p w14:paraId="090D0BE0" w14:textId="07FD128A" w:rsidR="00952F8D" w:rsidRPr="009E01BE" w:rsidRDefault="00952F8D" w:rsidP="00420FF4">
      <w:pPr>
        <w:spacing w:after="120"/>
        <w:ind w:left="426" w:hanging="426"/>
        <w:rPr>
          <w:rFonts w:cs="Arial"/>
          <w:lang w:val="en-US"/>
        </w:rPr>
      </w:pPr>
      <w:r w:rsidRPr="009E01BE">
        <w:rPr>
          <w:rFonts w:cs="Arial"/>
          <w:lang w:val="en-US"/>
        </w:rPr>
        <w:t>School staff</w:t>
      </w:r>
      <w:r w:rsidR="00C63F0E">
        <w:rPr>
          <w:rFonts w:cs="Arial"/>
          <w:lang w:val="en-US"/>
        </w:rPr>
        <w:t xml:space="preserve">, </w:t>
      </w:r>
      <w:r w:rsidRPr="009E01BE">
        <w:rPr>
          <w:rFonts w:cs="Arial"/>
          <w:lang w:val="en-US"/>
        </w:rPr>
        <w:t>including teachers and support staff are responsible for:</w:t>
      </w:r>
    </w:p>
    <w:p w14:paraId="548D35D7" w14:textId="6C6750E1" w:rsidR="00952F8D" w:rsidRPr="00FF127D" w:rsidRDefault="00952F8D" w:rsidP="00C63F0E">
      <w:pPr>
        <w:numPr>
          <w:ilvl w:val="0"/>
          <w:numId w:val="10"/>
        </w:numPr>
        <w:ind w:left="851" w:hanging="284"/>
        <w:rPr>
          <w:lang w:val="en-US"/>
        </w:rPr>
      </w:pPr>
      <w:r w:rsidRPr="009E01BE">
        <w:rPr>
          <w:rFonts w:cs="Arial"/>
          <w:lang w:val="en-US"/>
        </w:rPr>
        <w:t>ensuring they do not provide condoms to students and instead refer the student to the HPSN or nominated officer.</w:t>
      </w:r>
    </w:p>
    <w:p w14:paraId="5296C88A" w14:textId="5F9F56F8" w:rsidR="00FF127D" w:rsidRPr="009E01BE" w:rsidRDefault="00FF127D" w:rsidP="00FF127D">
      <w:pPr>
        <w:pStyle w:val="Heading2"/>
        <w:rPr>
          <w:lang w:val="en-US"/>
        </w:rPr>
      </w:pPr>
      <w:bookmarkStart w:id="15" w:name="_Toc131412862"/>
      <w:r w:rsidRPr="009E01BE">
        <w:rPr>
          <w:rFonts w:cs="Arial"/>
          <w:lang w:val="en-US"/>
        </w:rPr>
        <w:t>Health promoting school nurses</w:t>
      </w:r>
      <w:bookmarkEnd w:id="15"/>
    </w:p>
    <w:p w14:paraId="48574C0D" w14:textId="7BBE4ECD" w:rsidR="00952F8D" w:rsidRPr="009E01BE" w:rsidRDefault="00952F8D" w:rsidP="00420FF4">
      <w:pPr>
        <w:spacing w:after="120"/>
        <w:rPr>
          <w:rFonts w:cs="Arial"/>
          <w:lang w:val="en-US"/>
        </w:rPr>
      </w:pPr>
      <w:r w:rsidRPr="009E01BE">
        <w:rPr>
          <w:rFonts w:cs="Arial"/>
          <w:lang w:val="en-US"/>
        </w:rPr>
        <w:t>H</w:t>
      </w:r>
      <w:r w:rsidR="00FF127D">
        <w:rPr>
          <w:rFonts w:cs="Arial"/>
          <w:lang w:val="en-US"/>
        </w:rPr>
        <w:t>PSN</w:t>
      </w:r>
      <w:r w:rsidR="00CA4C98">
        <w:rPr>
          <w:rFonts w:cs="Arial"/>
          <w:lang w:val="en-US"/>
        </w:rPr>
        <w:t>s</w:t>
      </w:r>
      <w:r w:rsidR="00FF127D">
        <w:rPr>
          <w:rFonts w:cs="Arial"/>
          <w:lang w:val="en-US"/>
        </w:rPr>
        <w:t xml:space="preserve"> </w:t>
      </w:r>
      <w:r w:rsidRPr="009E01BE">
        <w:rPr>
          <w:rFonts w:cs="Arial"/>
          <w:lang w:val="en-US"/>
        </w:rPr>
        <w:t>are responsible for:</w:t>
      </w:r>
    </w:p>
    <w:p w14:paraId="580D6B7C" w14:textId="4DBBC924" w:rsidR="00952F8D" w:rsidRPr="009E01BE" w:rsidRDefault="00952F8D" w:rsidP="008C6961">
      <w:pPr>
        <w:numPr>
          <w:ilvl w:val="0"/>
          <w:numId w:val="11"/>
        </w:numPr>
        <w:spacing w:after="120"/>
        <w:ind w:left="851" w:hanging="284"/>
        <w:rPr>
          <w:rFonts w:cs="Arial"/>
          <w:lang w:val="en-US"/>
        </w:rPr>
      </w:pPr>
      <w:r w:rsidRPr="009E01BE">
        <w:rPr>
          <w:rFonts w:cs="Arial"/>
          <w:lang w:val="en-US"/>
        </w:rPr>
        <w:t xml:space="preserve">complying with the </w:t>
      </w:r>
      <w:proofErr w:type="gramStart"/>
      <w:r w:rsidR="008C6961" w:rsidRPr="009E01BE">
        <w:rPr>
          <w:rFonts w:cs="Arial"/>
          <w:lang w:val="en-US"/>
        </w:rPr>
        <w:t>schools</w:t>
      </w:r>
      <w:proofErr w:type="gramEnd"/>
      <w:r w:rsidRPr="009E01BE">
        <w:rPr>
          <w:rFonts w:cs="Arial"/>
          <w:lang w:val="en-US"/>
        </w:rPr>
        <w:t xml:space="preserve"> decision about providing students with condoms</w:t>
      </w:r>
    </w:p>
    <w:p w14:paraId="15E148F2" w14:textId="148E41D4" w:rsidR="00952F8D" w:rsidRDefault="00952F8D" w:rsidP="008C6961">
      <w:pPr>
        <w:numPr>
          <w:ilvl w:val="0"/>
          <w:numId w:val="11"/>
        </w:numPr>
        <w:ind w:left="851" w:hanging="284"/>
        <w:rPr>
          <w:rFonts w:cs="Arial"/>
          <w:i/>
          <w:iCs/>
          <w:lang w:val="en-US"/>
        </w:rPr>
      </w:pPr>
      <w:r w:rsidRPr="009E01BE">
        <w:rPr>
          <w:rFonts w:cs="Arial"/>
          <w:lang w:val="en-US"/>
        </w:rPr>
        <w:t xml:space="preserve">ensuring </w:t>
      </w:r>
      <w:r w:rsidR="008C6961">
        <w:rPr>
          <w:rFonts w:cs="Arial"/>
          <w:lang w:val="en-US"/>
        </w:rPr>
        <w:t xml:space="preserve">they </w:t>
      </w:r>
      <w:proofErr w:type="gramStart"/>
      <w:r w:rsidR="0021165E" w:rsidRPr="009E01BE">
        <w:rPr>
          <w:rFonts w:cs="Arial"/>
          <w:lang w:val="en-US"/>
        </w:rPr>
        <w:t>have an understanding of</w:t>
      </w:r>
      <w:proofErr w:type="gramEnd"/>
      <w:r w:rsidR="0021165E" w:rsidRPr="009E01BE">
        <w:rPr>
          <w:rFonts w:cs="Arial"/>
          <w:lang w:val="en-US"/>
        </w:rPr>
        <w:t xml:space="preserve">, and </w:t>
      </w:r>
      <w:r w:rsidRPr="009E01BE">
        <w:rPr>
          <w:rFonts w:cs="Arial"/>
          <w:lang w:val="en-US"/>
        </w:rPr>
        <w:t xml:space="preserve">comply with these guidelines, inclusive of compliance with the </w:t>
      </w:r>
      <w:r w:rsidRPr="00420FF4">
        <w:rPr>
          <w:rFonts w:cs="Arial"/>
          <w:lang w:val="en-US"/>
        </w:rPr>
        <w:t>mandatory reporting</w:t>
      </w:r>
      <w:r w:rsidRPr="009E01BE">
        <w:rPr>
          <w:rFonts w:cs="Arial"/>
          <w:lang w:val="en-US"/>
        </w:rPr>
        <w:t xml:space="preserve"> obligations outlined in the </w:t>
      </w:r>
      <w:r w:rsidRPr="00420FF4">
        <w:rPr>
          <w:rFonts w:cs="Arial"/>
          <w:i/>
          <w:iCs/>
          <w:lang w:val="en-US"/>
        </w:rPr>
        <w:t>Care and Protection of Children Act</w:t>
      </w:r>
      <w:r w:rsidR="00720442">
        <w:rPr>
          <w:rFonts w:cs="Arial"/>
          <w:i/>
          <w:iCs/>
          <w:lang w:val="en-US"/>
        </w:rPr>
        <w:t xml:space="preserve"> 2007</w:t>
      </w:r>
      <w:r w:rsidRPr="007D0F6D">
        <w:rPr>
          <w:rFonts w:cs="Arial"/>
          <w:i/>
          <w:iCs/>
          <w:lang w:val="en-US"/>
        </w:rPr>
        <w:t>.</w:t>
      </w:r>
    </w:p>
    <w:p w14:paraId="67E25368" w14:textId="77777777" w:rsidR="00952F8D" w:rsidRDefault="00952F8D" w:rsidP="00952F8D">
      <w:pPr>
        <w:pStyle w:val="Heading1"/>
        <w:ind w:left="357" w:hanging="357"/>
        <w:rPr>
          <w:lang w:eastAsia="en-AU"/>
        </w:rPr>
      </w:pPr>
      <w:bookmarkStart w:id="16" w:name="_Toc131412863"/>
      <w:r>
        <w:rPr>
          <w:lang w:eastAsia="en-AU"/>
        </w:rPr>
        <w:t>Definitions</w:t>
      </w:r>
      <w:bookmarkEnd w:id="16"/>
    </w:p>
    <w:tbl>
      <w:tblPr>
        <w:tblStyle w:val="NTGtable1"/>
        <w:tblW w:w="0" w:type="auto"/>
        <w:tblLook w:val="04A0" w:firstRow="1" w:lastRow="0" w:firstColumn="1" w:lastColumn="0" w:noHBand="0" w:noVBand="1"/>
      </w:tblPr>
      <w:tblGrid>
        <w:gridCol w:w="1728"/>
        <w:gridCol w:w="8580"/>
      </w:tblGrid>
      <w:tr w:rsidR="00952F8D" w14:paraId="52933770" w14:textId="77777777" w:rsidTr="00BC2E8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tcPr>
          <w:p w14:paraId="70A6AEE5" w14:textId="77777777" w:rsidR="00952F8D" w:rsidRPr="00220C24" w:rsidRDefault="00952F8D" w:rsidP="00952F8D">
            <w:pPr>
              <w:pStyle w:val="BodyText"/>
              <w:spacing w:before="0" w:after="0"/>
              <w:rPr>
                <w:bCs/>
              </w:rPr>
            </w:pPr>
            <w:r w:rsidRPr="00220C24">
              <w:rPr>
                <w:bCs/>
              </w:rPr>
              <w:t>Term</w:t>
            </w:r>
          </w:p>
        </w:tc>
        <w:tc>
          <w:tcPr>
            <w:tcW w:w="8580" w:type="dxa"/>
            <w:tcMar>
              <w:top w:w="85" w:type="dxa"/>
              <w:bottom w:w="85" w:type="dxa"/>
            </w:tcMar>
          </w:tcPr>
          <w:p w14:paraId="45907988" w14:textId="77777777" w:rsidR="00952F8D" w:rsidRPr="00220C24" w:rsidRDefault="00952F8D" w:rsidP="00952F8D">
            <w:pPr>
              <w:pStyle w:val="BodyText"/>
              <w:spacing w:before="0" w:after="0"/>
              <w:cnfStyle w:val="100000000000" w:firstRow="1" w:lastRow="0" w:firstColumn="0" w:lastColumn="0" w:oddVBand="0" w:evenVBand="0" w:oddHBand="0" w:evenHBand="0" w:firstRowFirstColumn="0" w:firstRowLastColumn="0" w:lastRowFirstColumn="0" w:lastRowLastColumn="0"/>
              <w:rPr>
                <w:bCs/>
              </w:rPr>
            </w:pPr>
            <w:r w:rsidRPr="00220C24">
              <w:rPr>
                <w:bCs/>
              </w:rPr>
              <w:t>Definition</w:t>
            </w:r>
          </w:p>
        </w:tc>
      </w:tr>
      <w:tr w:rsidR="00952F8D" w14:paraId="6549785F" w14:textId="77777777" w:rsidTr="00DA7606">
        <w:trPr>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74C2A624" w14:textId="77777777" w:rsidR="00952F8D" w:rsidRPr="00220C24" w:rsidRDefault="00952F8D" w:rsidP="00DA7606">
            <w:pPr>
              <w:pStyle w:val="BodyText"/>
              <w:spacing w:before="0" w:after="0"/>
              <w:rPr>
                <w:bCs/>
              </w:rPr>
            </w:pPr>
            <w:r w:rsidRPr="00220C24">
              <w:rPr>
                <w:bCs/>
              </w:rPr>
              <w:t>Active consultation</w:t>
            </w:r>
          </w:p>
        </w:tc>
        <w:tc>
          <w:tcPr>
            <w:tcW w:w="8580" w:type="dxa"/>
            <w:tcMar>
              <w:top w:w="85" w:type="dxa"/>
              <w:bottom w:w="85" w:type="dxa"/>
            </w:tcMar>
            <w:vAlign w:val="top"/>
          </w:tcPr>
          <w:p w14:paraId="6A6CA6D7" w14:textId="51AEC768" w:rsidR="00952F8D" w:rsidRPr="00220C24" w:rsidRDefault="00952F8D" w:rsidP="00DA7606">
            <w:pPr>
              <w:pStyle w:val="BodyText"/>
              <w:spacing w:before="0" w:after="0"/>
              <w:cnfStyle w:val="000000000000" w:firstRow="0" w:lastRow="0" w:firstColumn="0" w:lastColumn="0" w:oddVBand="0" w:evenVBand="0" w:oddHBand="0" w:evenHBand="0" w:firstRowFirstColumn="0" w:firstRowLastColumn="0" w:lastRowFirstColumn="0" w:lastRowLastColumn="0"/>
              <w:rPr>
                <w:bCs/>
              </w:rPr>
            </w:pPr>
            <w:r w:rsidRPr="00220C24">
              <w:rPr>
                <w:bCs/>
              </w:rPr>
              <w:t xml:space="preserve">Active consultation refers to a </w:t>
            </w:r>
            <w:r w:rsidR="00730A35" w:rsidRPr="00220C24">
              <w:rPr>
                <w:bCs/>
              </w:rPr>
              <w:t>two</w:t>
            </w:r>
            <w:r w:rsidR="00730A35">
              <w:rPr>
                <w:bCs/>
              </w:rPr>
              <w:t>-way</w:t>
            </w:r>
            <w:r w:rsidRPr="00220C24">
              <w:rPr>
                <w:bCs/>
              </w:rPr>
              <w:t xml:space="preserve"> process between principals and the school representative body</w:t>
            </w:r>
            <w:r>
              <w:rPr>
                <w:bCs/>
              </w:rPr>
              <w:t xml:space="preserve"> and </w:t>
            </w:r>
            <w:r w:rsidRPr="00220C24">
              <w:rPr>
                <w:bCs/>
              </w:rPr>
              <w:t xml:space="preserve">community. Consultation should allow principals to seek and share views and information with stakeholders; allowing genuine and reasonable objections and an opportunity to contribute to the </w:t>
            </w:r>
            <w:r w:rsidR="00730A35" w:rsidRPr="00220C24">
              <w:rPr>
                <w:bCs/>
              </w:rPr>
              <w:t>decision</w:t>
            </w:r>
            <w:r w:rsidR="00730A35">
              <w:rPr>
                <w:bCs/>
              </w:rPr>
              <w:t>-making</w:t>
            </w:r>
            <w:r w:rsidRPr="00220C24">
              <w:rPr>
                <w:bCs/>
              </w:rPr>
              <w:t xml:space="preserve"> process.</w:t>
            </w:r>
          </w:p>
        </w:tc>
      </w:tr>
      <w:tr w:rsidR="00952F8D" w14:paraId="43354D6E" w14:textId="77777777" w:rsidTr="00DA760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4E9BAE6D" w14:textId="77777777" w:rsidR="00952F8D" w:rsidRPr="00220C24" w:rsidRDefault="00952F8D" w:rsidP="00DA7606">
            <w:pPr>
              <w:pStyle w:val="BodyText"/>
              <w:spacing w:before="0" w:after="0"/>
              <w:rPr>
                <w:bCs/>
              </w:rPr>
            </w:pPr>
            <w:r w:rsidRPr="00220C24">
              <w:rPr>
                <w:bCs/>
              </w:rPr>
              <w:t>Comprehensive sexual health education programs</w:t>
            </w:r>
          </w:p>
        </w:tc>
        <w:tc>
          <w:tcPr>
            <w:tcW w:w="8580" w:type="dxa"/>
            <w:tcMar>
              <w:top w:w="85" w:type="dxa"/>
              <w:bottom w:w="85" w:type="dxa"/>
            </w:tcMar>
            <w:vAlign w:val="top"/>
          </w:tcPr>
          <w:p w14:paraId="457F643D" w14:textId="5A4E824B" w:rsidR="00952F8D" w:rsidRPr="00220C24" w:rsidRDefault="00952F8D" w:rsidP="00DA7606">
            <w:pPr>
              <w:pStyle w:val="BodyText"/>
              <w:spacing w:before="0" w:after="0"/>
              <w:cnfStyle w:val="000000010000" w:firstRow="0" w:lastRow="0" w:firstColumn="0" w:lastColumn="0" w:oddVBand="0" w:evenVBand="0" w:oddHBand="0" w:evenHBand="1" w:firstRowFirstColumn="0" w:firstRowLastColumn="0" w:lastRowFirstColumn="0" w:lastRowLastColumn="0"/>
              <w:rPr>
                <w:bCs/>
              </w:rPr>
            </w:pPr>
            <w:r w:rsidRPr="00220C24">
              <w:rPr>
                <w:bCs/>
              </w:rPr>
              <w:t>Comprehensive sexual health education programs align with the Australian Curriculum and are designed to address the socio</w:t>
            </w:r>
            <w:r w:rsidR="00BC2E8F">
              <w:rPr>
                <w:bCs/>
              </w:rPr>
              <w:t xml:space="preserve"> </w:t>
            </w:r>
            <w:r w:rsidRPr="00220C24">
              <w:rPr>
                <w:bCs/>
              </w:rPr>
              <w:t>cultural, biological and psychological aspects of sexuality by providing information that is appropriate to the age, developmental level and cultural background of the students. These programs complement the sexuality education that students receive from their families, religious and community groups, and health care professionals</w:t>
            </w:r>
            <w:r w:rsidR="00BC2E8F">
              <w:rPr>
                <w:bCs/>
              </w:rPr>
              <w:t xml:space="preserve">, </w:t>
            </w:r>
            <w:r>
              <w:rPr>
                <w:bCs/>
              </w:rPr>
              <w:t>for example</w:t>
            </w:r>
            <w:r w:rsidR="00BC2E8F" w:rsidRPr="00720442">
              <w:rPr>
                <w:rFonts w:cs="Arial"/>
                <w:bCs/>
                <w:lang w:val="en-US"/>
              </w:rPr>
              <w:t xml:space="preserve"> </w:t>
            </w:r>
            <w:r w:rsidR="000C6DA5" w:rsidRPr="00720442">
              <w:rPr>
                <w:rFonts w:cs="Arial"/>
                <w:bCs/>
                <w:lang w:val="en-US"/>
              </w:rPr>
              <w:t>health promoting school nurses</w:t>
            </w:r>
            <w:r w:rsidR="000C6DA5" w:rsidRPr="00220C24">
              <w:rPr>
                <w:bCs/>
              </w:rPr>
              <w:t>.</w:t>
            </w:r>
          </w:p>
        </w:tc>
      </w:tr>
      <w:tr w:rsidR="00952F8D" w14:paraId="54B640D3" w14:textId="77777777" w:rsidTr="00DA7606">
        <w:trPr>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1E86EF31" w14:textId="77777777" w:rsidR="00952F8D" w:rsidRPr="00220C24" w:rsidRDefault="00952F8D" w:rsidP="00DA7606">
            <w:pPr>
              <w:pStyle w:val="BodyText"/>
              <w:spacing w:before="0" w:after="0"/>
              <w:rPr>
                <w:bCs/>
              </w:rPr>
            </w:pPr>
            <w:r w:rsidRPr="00220C24">
              <w:rPr>
                <w:bCs/>
              </w:rPr>
              <w:t>Condom</w:t>
            </w:r>
          </w:p>
        </w:tc>
        <w:tc>
          <w:tcPr>
            <w:tcW w:w="8580" w:type="dxa"/>
            <w:tcMar>
              <w:top w:w="85" w:type="dxa"/>
              <w:bottom w:w="85" w:type="dxa"/>
            </w:tcMar>
            <w:vAlign w:val="top"/>
          </w:tcPr>
          <w:p w14:paraId="3992EDB6" w14:textId="62C4400F" w:rsidR="00952F8D" w:rsidRPr="00220C24" w:rsidRDefault="00952F8D" w:rsidP="00DA7606">
            <w:pPr>
              <w:pStyle w:val="BodyText"/>
              <w:spacing w:before="0" w:after="0"/>
              <w:cnfStyle w:val="000000000000" w:firstRow="0" w:lastRow="0" w:firstColumn="0" w:lastColumn="0" w:oddVBand="0" w:evenVBand="0" w:oddHBand="0" w:evenHBand="0" w:firstRowFirstColumn="0" w:firstRowLastColumn="0" w:lastRowFirstColumn="0" w:lastRowLastColumn="0"/>
              <w:rPr>
                <w:bCs/>
              </w:rPr>
            </w:pPr>
            <w:r w:rsidRPr="00220C24">
              <w:rPr>
                <w:bCs/>
              </w:rPr>
              <w:t xml:space="preserve">Condom is a barrier form of contraception. Correct use reduces the probability of pregnancy and transmission of </w:t>
            </w:r>
            <w:r w:rsidR="000C6DA5" w:rsidRPr="00220C24">
              <w:rPr>
                <w:bCs/>
              </w:rPr>
              <w:t>sexuality transmitted infections</w:t>
            </w:r>
            <w:r w:rsidRPr="00220C24">
              <w:rPr>
                <w:bCs/>
              </w:rPr>
              <w:t>. Condoms are the most accessible form of contraception and continue to be the preferred method among Australian teenagers.</w:t>
            </w:r>
          </w:p>
        </w:tc>
      </w:tr>
      <w:tr w:rsidR="00952F8D" w14:paraId="2277A5D4" w14:textId="77777777" w:rsidTr="00DA760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6EE1B318" w14:textId="77777777" w:rsidR="00952F8D" w:rsidRPr="00220C24" w:rsidRDefault="00952F8D" w:rsidP="00DA7606">
            <w:pPr>
              <w:pStyle w:val="BodyText"/>
              <w:spacing w:before="0" w:after="0"/>
              <w:rPr>
                <w:bCs/>
              </w:rPr>
            </w:pPr>
            <w:r w:rsidRPr="00220C24">
              <w:rPr>
                <w:bCs/>
              </w:rPr>
              <w:t>Condom provision</w:t>
            </w:r>
          </w:p>
        </w:tc>
        <w:tc>
          <w:tcPr>
            <w:tcW w:w="8580" w:type="dxa"/>
            <w:tcMar>
              <w:top w:w="85" w:type="dxa"/>
              <w:bottom w:w="85" w:type="dxa"/>
            </w:tcMar>
            <w:vAlign w:val="top"/>
          </w:tcPr>
          <w:p w14:paraId="63A094C1" w14:textId="43460788" w:rsidR="00952F8D" w:rsidRPr="00220C24" w:rsidRDefault="00952F8D" w:rsidP="00DA7606">
            <w:pPr>
              <w:pStyle w:val="BodyText"/>
              <w:spacing w:before="0" w:after="0"/>
              <w:cnfStyle w:val="000000010000" w:firstRow="0" w:lastRow="0" w:firstColumn="0" w:lastColumn="0" w:oddVBand="0" w:evenVBand="0" w:oddHBand="0" w:evenHBand="1" w:firstRowFirstColumn="0" w:firstRowLastColumn="0" w:lastRowFirstColumn="0" w:lastRowLastColumn="0"/>
              <w:rPr>
                <w:bCs/>
              </w:rPr>
            </w:pPr>
            <w:r w:rsidRPr="00220C24">
              <w:rPr>
                <w:bCs/>
              </w:rPr>
              <w:t>Condom provision is the act of providing or supplying condoms to a student with information</w:t>
            </w:r>
            <w:r>
              <w:rPr>
                <w:bCs/>
              </w:rPr>
              <w:t xml:space="preserve"> and </w:t>
            </w:r>
            <w:r w:rsidRPr="00220C24">
              <w:rPr>
                <w:bCs/>
              </w:rPr>
              <w:t>education.</w:t>
            </w:r>
          </w:p>
        </w:tc>
      </w:tr>
      <w:tr w:rsidR="00952F8D" w14:paraId="554A18CB" w14:textId="77777777" w:rsidTr="00DA7606">
        <w:trPr>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63217734" w14:textId="5DA8B1A8" w:rsidR="00952F8D" w:rsidRPr="00220C24" w:rsidRDefault="00952F8D" w:rsidP="00DA7606">
            <w:pPr>
              <w:pStyle w:val="BodyText"/>
              <w:spacing w:before="0" w:after="0"/>
              <w:rPr>
                <w:bCs/>
              </w:rPr>
            </w:pPr>
            <w:r w:rsidRPr="00220C24">
              <w:rPr>
                <w:bCs/>
              </w:rPr>
              <w:t xml:space="preserve">Health </w:t>
            </w:r>
            <w:r w:rsidR="000C6DA5" w:rsidRPr="00220C24">
              <w:rPr>
                <w:bCs/>
              </w:rPr>
              <w:t>promoting school nurse</w:t>
            </w:r>
          </w:p>
        </w:tc>
        <w:tc>
          <w:tcPr>
            <w:tcW w:w="8580" w:type="dxa"/>
            <w:tcMar>
              <w:top w:w="85" w:type="dxa"/>
              <w:bottom w:w="85" w:type="dxa"/>
            </w:tcMar>
            <w:vAlign w:val="top"/>
          </w:tcPr>
          <w:p w14:paraId="15E6E0C8" w14:textId="668F0F12" w:rsidR="00952F8D" w:rsidRPr="00220C24" w:rsidRDefault="00952F8D" w:rsidP="00DA7606">
            <w:pPr>
              <w:pStyle w:val="BodyText"/>
              <w:spacing w:before="0" w:after="0"/>
              <w:cnfStyle w:val="000000000000" w:firstRow="0" w:lastRow="0" w:firstColumn="0" w:lastColumn="0" w:oddVBand="0" w:evenVBand="0" w:oddHBand="0" w:evenHBand="0" w:firstRowFirstColumn="0" w:firstRowLastColumn="0" w:lastRowFirstColumn="0" w:lastRowLastColumn="0"/>
              <w:rPr>
                <w:bCs/>
              </w:rPr>
            </w:pPr>
            <w:r w:rsidRPr="00220C24">
              <w:rPr>
                <w:bCs/>
              </w:rPr>
              <w:t xml:space="preserve">Health </w:t>
            </w:r>
            <w:r w:rsidR="000C6DA5" w:rsidRPr="00220C24">
              <w:rPr>
                <w:bCs/>
              </w:rPr>
              <w:t xml:space="preserve">promoting school nurse </w:t>
            </w:r>
            <w:r w:rsidRPr="00220C24">
              <w:rPr>
                <w:bCs/>
              </w:rPr>
              <w:t xml:space="preserve">is a </w:t>
            </w:r>
            <w:r>
              <w:rPr>
                <w:bCs/>
              </w:rPr>
              <w:t>r</w:t>
            </w:r>
            <w:r w:rsidRPr="00220C24">
              <w:rPr>
                <w:bCs/>
              </w:rPr>
              <w:t xml:space="preserve">egistered </w:t>
            </w:r>
            <w:r>
              <w:rPr>
                <w:bCs/>
              </w:rPr>
              <w:t>h</w:t>
            </w:r>
            <w:r w:rsidRPr="00220C24">
              <w:rPr>
                <w:bCs/>
              </w:rPr>
              <w:t xml:space="preserve">ealth </w:t>
            </w:r>
            <w:r>
              <w:rPr>
                <w:bCs/>
              </w:rPr>
              <w:t>p</w:t>
            </w:r>
            <w:r w:rsidRPr="00220C24">
              <w:rPr>
                <w:bCs/>
              </w:rPr>
              <w:t xml:space="preserve">ractitioner who is a member of the </w:t>
            </w:r>
            <w:r w:rsidR="000C6DA5" w:rsidRPr="00220C24">
              <w:rPr>
                <w:bCs/>
              </w:rPr>
              <w:t xml:space="preserve">urban </w:t>
            </w:r>
            <w:r w:rsidR="00BC2E8F" w:rsidRPr="00220C24">
              <w:rPr>
                <w:bCs/>
              </w:rPr>
              <w:t xml:space="preserve">primary health care program </w:t>
            </w:r>
            <w:r w:rsidRPr="00220C24">
              <w:rPr>
                <w:bCs/>
              </w:rPr>
              <w:t xml:space="preserve">within the school community. The </w:t>
            </w:r>
            <w:r w:rsidR="000C6DA5" w:rsidRPr="00720442">
              <w:rPr>
                <w:rFonts w:cs="Arial"/>
                <w:bCs/>
                <w:lang w:val="en-US"/>
              </w:rPr>
              <w:t xml:space="preserve">health </w:t>
            </w:r>
            <w:r w:rsidR="00BC2E8F" w:rsidRPr="00720442">
              <w:rPr>
                <w:rFonts w:cs="Arial"/>
                <w:bCs/>
                <w:lang w:val="en-US"/>
              </w:rPr>
              <w:t>promoting school nurse</w:t>
            </w:r>
            <w:r w:rsidR="00BC2E8F" w:rsidRPr="00220C24">
              <w:rPr>
                <w:bCs/>
              </w:rPr>
              <w:t xml:space="preserve"> </w:t>
            </w:r>
            <w:r w:rsidRPr="00220C24">
              <w:rPr>
                <w:bCs/>
              </w:rPr>
              <w:t xml:space="preserve">provides </w:t>
            </w:r>
            <w:r w:rsidR="00730A35" w:rsidRPr="00220C24">
              <w:rPr>
                <w:bCs/>
              </w:rPr>
              <w:t>school</w:t>
            </w:r>
            <w:r w:rsidR="00730A35">
              <w:rPr>
                <w:bCs/>
              </w:rPr>
              <w:t>-based</w:t>
            </w:r>
            <w:r w:rsidRPr="00220C24">
              <w:rPr>
                <w:bCs/>
              </w:rPr>
              <w:t xml:space="preserve"> youth health services incorporating appropriate </w:t>
            </w:r>
            <w:r w:rsidR="00BC2E8F" w:rsidRPr="00220C24">
              <w:rPr>
                <w:bCs/>
              </w:rPr>
              <w:t xml:space="preserve">health promotion </w:t>
            </w:r>
            <w:r w:rsidRPr="00220C24">
              <w:rPr>
                <w:bCs/>
              </w:rPr>
              <w:t>and primary prevention strategies to better support the health and wellbeing of their students.</w:t>
            </w:r>
          </w:p>
        </w:tc>
      </w:tr>
      <w:tr w:rsidR="00952F8D" w14:paraId="1F80FA89" w14:textId="77777777" w:rsidTr="00DA760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16A6102C" w14:textId="77777777" w:rsidR="00952F8D" w:rsidRPr="00220C24" w:rsidRDefault="00952F8D" w:rsidP="00DA7606">
            <w:pPr>
              <w:pStyle w:val="BodyText"/>
              <w:spacing w:before="0" w:after="0"/>
              <w:rPr>
                <w:bCs/>
              </w:rPr>
            </w:pPr>
            <w:r w:rsidRPr="00220C24">
              <w:rPr>
                <w:rFonts w:cs="Arial"/>
                <w:bCs/>
              </w:rPr>
              <w:lastRenderedPageBreak/>
              <w:t>Mandatory reporting</w:t>
            </w:r>
          </w:p>
        </w:tc>
        <w:tc>
          <w:tcPr>
            <w:tcW w:w="8580" w:type="dxa"/>
            <w:tcMar>
              <w:top w:w="85" w:type="dxa"/>
              <w:bottom w:w="85" w:type="dxa"/>
            </w:tcMar>
            <w:vAlign w:val="top"/>
          </w:tcPr>
          <w:p w14:paraId="7BC71516" w14:textId="5D924903" w:rsidR="000C6DA5" w:rsidRPr="00220C24" w:rsidRDefault="000C6DA5" w:rsidP="00DA7606">
            <w:pPr>
              <w:pStyle w:val="NoSpacing"/>
              <w:spacing w:before="0" w:after="0"/>
              <w:cnfStyle w:val="000000010000" w:firstRow="0" w:lastRow="0" w:firstColumn="0" w:lastColumn="0" w:oddVBand="0" w:evenVBand="0" w:oddHBand="0" w:evenHBand="1" w:firstRowFirstColumn="0" w:firstRowLastColumn="0" w:lastRowFirstColumn="0" w:lastRowLastColumn="0"/>
              <w:rPr>
                <w:rFonts w:cs="Arial"/>
                <w:bCs/>
              </w:rPr>
            </w:pPr>
            <w:r>
              <w:rPr>
                <w:bCs/>
              </w:rPr>
              <w:t>R</w:t>
            </w:r>
            <w:r w:rsidRPr="00160C4E">
              <w:rPr>
                <w:bCs/>
              </w:rPr>
              <w:t xml:space="preserve">efers to the </w:t>
            </w:r>
            <w:hyperlink r:id="rId14" w:anchor="page=29&amp;zoom=auto,88,556" w:history="1">
              <w:r w:rsidRPr="00730A35">
                <w:rPr>
                  <w:i/>
                </w:rPr>
                <w:t>Care and Protection of Children Act 2007</w:t>
              </w:r>
              <w:r w:rsidR="00730A35">
                <w:t>,</w:t>
              </w:r>
              <w:r>
                <w:t xml:space="preserve"> </w:t>
              </w:r>
              <w:r w:rsidRPr="00160C4E">
                <w:t>s</w:t>
              </w:r>
              <w:r w:rsidR="00730A35">
                <w:t xml:space="preserve">ection </w:t>
              </w:r>
              <w:r w:rsidRPr="00160C4E">
                <w:t>26</w:t>
              </w:r>
            </w:hyperlink>
            <w:r w:rsidRPr="00160C4E">
              <w:rPr>
                <w:bCs/>
              </w:rPr>
              <w:t xml:space="preserve"> and imposes a legal responsibility on every person in the Northern Territory to report child abuse and neglect, and cases where a child has been, or is likely to be the victim of a sexual offence. These reporting obligations can be found </w:t>
            </w:r>
            <w:r w:rsidR="00730A35">
              <w:rPr>
                <w:bCs/>
              </w:rPr>
              <w:t>in the</w:t>
            </w:r>
            <w:r w:rsidRPr="00160C4E">
              <w:rPr>
                <w:bCs/>
              </w:rPr>
              <w:t xml:space="preserve"> </w:t>
            </w:r>
            <w:hyperlink r:id="rId15" w:history="1">
              <w:r w:rsidR="00730A35">
                <w:t>M</w:t>
              </w:r>
              <w:r w:rsidRPr="00160C4E">
                <w:t>andatory reporting of harm and exploitation of children guidelines</w:t>
              </w:r>
            </w:hyperlink>
            <w:r w:rsidRPr="00160C4E">
              <w:rPr>
                <w:bCs/>
              </w:rPr>
              <w:t xml:space="preserve"> and are commonly referred to as mandatory reporting.</w:t>
            </w:r>
          </w:p>
        </w:tc>
      </w:tr>
      <w:tr w:rsidR="00952F8D" w14:paraId="3E8D1B8F" w14:textId="77777777" w:rsidTr="00DA7606">
        <w:trPr>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321811E4" w14:textId="77777777" w:rsidR="00952F8D" w:rsidRPr="00220C24" w:rsidRDefault="00952F8D" w:rsidP="00DA7606">
            <w:pPr>
              <w:pStyle w:val="BodyText"/>
              <w:spacing w:before="0" w:after="0"/>
              <w:rPr>
                <w:rFonts w:cs="Arial"/>
                <w:bCs/>
              </w:rPr>
            </w:pPr>
            <w:r w:rsidRPr="00220C24">
              <w:rPr>
                <w:rFonts w:cs="Arial"/>
                <w:bCs/>
              </w:rPr>
              <w:t>Nominated officer</w:t>
            </w:r>
          </w:p>
        </w:tc>
        <w:tc>
          <w:tcPr>
            <w:tcW w:w="8580" w:type="dxa"/>
            <w:tcMar>
              <w:top w:w="85" w:type="dxa"/>
              <w:bottom w:w="85" w:type="dxa"/>
            </w:tcMar>
            <w:vAlign w:val="top"/>
          </w:tcPr>
          <w:p w14:paraId="6073338A" w14:textId="4C947A8E" w:rsidR="00952F8D" w:rsidRPr="00220C24" w:rsidRDefault="00952F8D" w:rsidP="00DA7606">
            <w:pPr>
              <w:pStyle w:val="NoSpacing"/>
              <w:spacing w:before="0" w:after="0"/>
              <w:cnfStyle w:val="000000000000" w:firstRow="0" w:lastRow="0" w:firstColumn="0" w:lastColumn="0" w:oddVBand="0" w:evenVBand="0" w:oddHBand="0" w:evenHBand="0" w:firstRowFirstColumn="0" w:firstRowLastColumn="0" w:lastRowFirstColumn="0" w:lastRowLastColumn="0"/>
              <w:rPr>
                <w:rFonts w:cs="Arial"/>
                <w:bCs/>
              </w:rPr>
            </w:pPr>
            <w:r w:rsidRPr="00220C24">
              <w:rPr>
                <w:rFonts w:cs="Arial"/>
                <w:bCs/>
              </w:rPr>
              <w:t>Nominated officer refers to a member of school staff who has been nominated by the principal to act as an access point for students requiring condoms. Nominated officers must be willing to participate and align their practice with these guidelines.</w:t>
            </w:r>
          </w:p>
        </w:tc>
      </w:tr>
      <w:tr w:rsidR="00952F8D" w14:paraId="6FF0B087" w14:textId="77777777" w:rsidTr="00DA760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46672267" w14:textId="77777777" w:rsidR="00952F8D" w:rsidRPr="00220C24" w:rsidRDefault="00952F8D" w:rsidP="00DA7606">
            <w:pPr>
              <w:pStyle w:val="BodyText"/>
              <w:spacing w:before="0" w:after="0"/>
              <w:rPr>
                <w:rFonts w:cs="Arial"/>
                <w:bCs/>
              </w:rPr>
            </w:pPr>
            <w:r w:rsidRPr="00220C24">
              <w:rPr>
                <w:rFonts w:cs="Arial"/>
                <w:bCs/>
              </w:rPr>
              <w:t>Parent</w:t>
            </w:r>
          </w:p>
        </w:tc>
        <w:tc>
          <w:tcPr>
            <w:tcW w:w="8580" w:type="dxa"/>
            <w:tcMar>
              <w:top w:w="85" w:type="dxa"/>
              <w:bottom w:w="85" w:type="dxa"/>
            </w:tcMar>
            <w:vAlign w:val="top"/>
          </w:tcPr>
          <w:p w14:paraId="7D9FA101" w14:textId="07BAFA7A" w:rsidR="00952F8D" w:rsidRPr="007D0F6D" w:rsidRDefault="00BC2E8F" w:rsidP="00DA7606">
            <w:pPr>
              <w:pStyle w:val="BodyText"/>
              <w:spacing w:before="0" w:after="0"/>
              <w:cnfStyle w:val="000000010000" w:firstRow="0" w:lastRow="0" w:firstColumn="0" w:lastColumn="0" w:oddVBand="0" w:evenVBand="0" w:oddHBand="0" w:evenHBand="1" w:firstRowFirstColumn="0" w:firstRowLastColumn="0" w:lastRowFirstColumn="0" w:lastRowLastColumn="0"/>
              <w:rPr>
                <w:bCs/>
              </w:rPr>
            </w:pPr>
            <w:r>
              <w:rPr>
                <w:rFonts w:cs="Arial"/>
                <w:bCs/>
              </w:rPr>
              <w:t>A</w:t>
            </w:r>
            <w:r w:rsidR="00952F8D" w:rsidRPr="00220C24">
              <w:rPr>
                <w:rFonts w:cs="Arial"/>
                <w:bCs/>
              </w:rPr>
              <w:t xml:space="preserve"> </w:t>
            </w:r>
            <w:r w:rsidRPr="00220C24">
              <w:rPr>
                <w:rFonts w:cs="Arial"/>
                <w:bCs/>
              </w:rPr>
              <w:t>child’s</w:t>
            </w:r>
            <w:r w:rsidR="00952F8D" w:rsidRPr="00220C24">
              <w:rPr>
                <w:rFonts w:cs="Arial"/>
                <w:bCs/>
              </w:rPr>
              <w:t xml:space="preserve"> father, mother or any other person who has parental responsibility for th</w:t>
            </w:r>
            <w:r>
              <w:rPr>
                <w:rFonts w:cs="Arial"/>
                <w:bCs/>
              </w:rPr>
              <w:t>at</w:t>
            </w:r>
            <w:r w:rsidR="00952F8D" w:rsidRPr="00220C24">
              <w:rPr>
                <w:rFonts w:cs="Arial"/>
                <w:bCs/>
              </w:rPr>
              <w:t xml:space="preserve"> child, including a person who is regarded as a parent of the child under Aboriginal customary law or Aboriginal </w:t>
            </w:r>
            <w:r w:rsidR="00952F8D" w:rsidRPr="00220C24">
              <w:rPr>
                <w:bCs/>
              </w:rPr>
              <w:t>tradition</w:t>
            </w:r>
            <w:r w:rsidR="00876B56" w:rsidRPr="00220C24">
              <w:rPr>
                <w:rFonts w:cs="Arial"/>
                <w:bCs/>
              </w:rPr>
              <w:t>.</w:t>
            </w:r>
            <w:r w:rsidR="00876B56">
              <w:rPr>
                <w:rFonts w:cs="Arial"/>
                <w:bCs/>
              </w:rPr>
              <w:t xml:space="preserve"> The definition of a parent does not include a person standing in place of the parent on a temporary basis.</w:t>
            </w:r>
          </w:p>
        </w:tc>
      </w:tr>
      <w:tr w:rsidR="00952F8D" w14:paraId="5CC1C874" w14:textId="77777777" w:rsidTr="00DA7606">
        <w:trPr>
          <w:trHeight w:val="227"/>
        </w:trPr>
        <w:tc>
          <w:tcPr>
            <w:cnfStyle w:val="001000000000" w:firstRow="0" w:lastRow="0" w:firstColumn="1" w:lastColumn="0" w:oddVBand="0" w:evenVBand="0" w:oddHBand="0" w:evenHBand="0" w:firstRowFirstColumn="0" w:firstRowLastColumn="0" w:lastRowFirstColumn="0" w:lastRowLastColumn="0"/>
            <w:tcW w:w="1728" w:type="dxa"/>
            <w:tcMar>
              <w:top w:w="85" w:type="dxa"/>
              <w:bottom w:w="85" w:type="dxa"/>
            </w:tcMar>
            <w:vAlign w:val="top"/>
          </w:tcPr>
          <w:p w14:paraId="7FB10CF8" w14:textId="77777777" w:rsidR="00952F8D" w:rsidRPr="00220C24" w:rsidRDefault="00952F8D" w:rsidP="00DA7606">
            <w:pPr>
              <w:pStyle w:val="BodyText"/>
              <w:spacing w:before="0" w:after="0"/>
              <w:rPr>
                <w:rFonts w:cs="Arial"/>
                <w:bCs/>
              </w:rPr>
            </w:pPr>
            <w:r w:rsidRPr="00220C24">
              <w:rPr>
                <w:rFonts w:cs="Arial"/>
                <w:bCs/>
              </w:rPr>
              <w:t>School representative body</w:t>
            </w:r>
          </w:p>
        </w:tc>
        <w:tc>
          <w:tcPr>
            <w:tcW w:w="8580" w:type="dxa"/>
            <w:tcMar>
              <w:top w:w="85" w:type="dxa"/>
              <w:bottom w:w="85" w:type="dxa"/>
            </w:tcMar>
            <w:vAlign w:val="top"/>
          </w:tcPr>
          <w:p w14:paraId="464B95E2" w14:textId="4D7D14DD" w:rsidR="00952F8D" w:rsidRPr="00220C24" w:rsidRDefault="00730A35" w:rsidP="00DA7606">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bCs/>
              </w:rPr>
            </w:pPr>
            <w:r w:rsidRPr="00730A35">
              <w:rPr>
                <w:rFonts w:cs="Arial"/>
                <w:bCs/>
              </w:rPr>
              <w:t xml:space="preserve">An incorporated body under the Education Act 2015 and includes independent </w:t>
            </w:r>
            <w:proofErr w:type="gramStart"/>
            <w:r w:rsidRPr="00730A35">
              <w:rPr>
                <w:rFonts w:cs="Arial"/>
                <w:bCs/>
              </w:rPr>
              <w:t>public school</w:t>
            </w:r>
            <w:proofErr w:type="gramEnd"/>
            <w:r w:rsidRPr="00730A35">
              <w:rPr>
                <w:rFonts w:cs="Arial"/>
                <w:bCs/>
              </w:rPr>
              <w:t xml:space="preserve"> boards, school councils and joint school representative bodies.</w:t>
            </w:r>
          </w:p>
        </w:tc>
      </w:tr>
    </w:tbl>
    <w:p w14:paraId="3FF8E2BF" w14:textId="03A11E3E" w:rsidR="00E718EB" w:rsidRPr="0051263C" w:rsidRDefault="00013EE1" w:rsidP="00C06D01">
      <w:pPr>
        <w:pStyle w:val="Heading1"/>
        <w:ind w:left="357" w:hanging="357"/>
        <w:rPr>
          <w:lang w:val="en-US"/>
        </w:rPr>
      </w:pPr>
      <w:bookmarkStart w:id="17" w:name="_Toc131412864"/>
      <w:r>
        <w:rPr>
          <w:lang w:val="en-US"/>
        </w:rPr>
        <w:t>Related legislation</w:t>
      </w:r>
      <w:r w:rsidR="00B952E6">
        <w:rPr>
          <w:lang w:val="en-US"/>
        </w:rPr>
        <w:t>, policy</w:t>
      </w:r>
      <w:r w:rsidR="00D056B4">
        <w:rPr>
          <w:lang w:val="en-US"/>
        </w:rPr>
        <w:t>,</w:t>
      </w:r>
      <w:r>
        <w:rPr>
          <w:lang w:val="en-US"/>
        </w:rPr>
        <w:t xml:space="preserve"> documents</w:t>
      </w:r>
      <w:r w:rsidR="00D056B4">
        <w:rPr>
          <w:lang w:val="en-US"/>
        </w:rPr>
        <w:t xml:space="preserve"> and resources</w:t>
      </w:r>
      <w:bookmarkEnd w:id="17"/>
    </w:p>
    <w:p w14:paraId="4A1F87FC" w14:textId="18615CD6" w:rsidR="00E718EB" w:rsidRPr="00BD478E" w:rsidRDefault="00E718EB" w:rsidP="00B952E6">
      <w:pPr>
        <w:pStyle w:val="Heading2"/>
        <w:rPr>
          <w:lang w:val="en-US"/>
        </w:rPr>
      </w:pPr>
      <w:bookmarkStart w:id="18" w:name="_Toc131412865"/>
      <w:r w:rsidRPr="00BD478E">
        <w:rPr>
          <w:lang w:val="en-US"/>
        </w:rPr>
        <w:t>Legislation</w:t>
      </w:r>
      <w:bookmarkEnd w:id="18"/>
    </w:p>
    <w:p w14:paraId="00F0EEAF" w14:textId="117732A0" w:rsidR="001B0D58" w:rsidRPr="00952F8D" w:rsidRDefault="001B0D58" w:rsidP="00CA4C98">
      <w:pPr>
        <w:pStyle w:val="HeaderText"/>
        <w:numPr>
          <w:ilvl w:val="0"/>
          <w:numId w:val="29"/>
        </w:numPr>
        <w:spacing w:after="200"/>
        <w:rPr>
          <w:rFonts w:ascii="Lato" w:hAnsi="Lato"/>
          <w:i w:val="0"/>
          <w:sz w:val="22"/>
          <w:szCs w:val="22"/>
        </w:rPr>
      </w:pPr>
      <w:r>
        <w:rPr>
          <w:rFonts w:ascii="Lato" w:hAnsi="Lato"/>
          <w:sz w:val="22"/>
          <w:szCs w:val="22"/>
        </w:rPr>
        <w:t xml:space="preserve">Care and Protection of Children Act 2007 </w:t>
      </w:r>
      <w:r w:rsidRPr="00952F8D">
        <w:rPr>
          <w:rFonts w:ascii="Lato" w:hAnsi="Lato"/>
          <w:i w:val="0"/>
          <w:sz w:val="22"/>
          <w:szCs w:val="22"/>
        </w:rPr>
        <w:t xml:space="preserve">- </w:t>
      </w:r>
      <w:hyperlink r:id="rId16" w:history="1">
        <w:r w:rsidR="00952F8D" w:rsidRPr="005F2902">
          <w:rPr>
            <w:rStyle w:val="Hyperlink"/>
            <w:rFonts w:ascii="Lato" w:hAnsi="Lato"/>
            <w:i w:val="0"/>
            <w:sz w:val="22"/>
            <w:szCs w:val="22"/>
          </w:rPr>
          <w:t>https://legislation.nt.gov.au/Legislation/CARE-AND-PROTECTION-OF-CHILDREN-ACT-2007</w:t>
        </w:r>
      </w:hyperlink>
    </w:p>
    <w:p w14:paraId="3554EBD0" w14:textId="0581331B" w:rsidR="00E718EB" w:rsidRPr="00F50E66" w:rsidRDefault="00E718EB" w:rsidP="00CA4C98">
      <w:pPr>
        <w:pStyle w:val="HeaderText"/>
        <w:numPr>
          <w:ilvl w:val="0"/>
          <w:numId w:val="29"/>
        </w:numPr>
        <w:spacing w:after="200"/>
        <w:rPr>
          <w:rStyle w:val="Hyperlink"/>
          <w:rFonts w:ascii="Lato" w:hAnsi="Lato"/>
          <w:i w:val="0"/>
          <w:color w:val="auto"/>
          <w:sz w:val="22"/>
          <w:szCs w:val="22"/>
        </w:rPr>
      </w:pPr>
      <w:r w:rsidRPr="00F50E66">
        <w:rPr>
          <w:rFonts w:ascii="Lato" w:hAnsi="Lato"/>
          <w:sz w:val="22"/>
          <w:szCs w:val="22"/>
        </w:rPr>
        <w:t>Criminal Code Act 1983</w:t>
      </w:r>
      <w:r w:rsidR="00F50E66">
        <w:rPr>
          <w:rFonts w:ascii="Lato" w:hAnsi="Lato"/>
          <w:sz w:val="22"/>
          <w:szCs w:val="22"/>
        </w:rPr>
        <w:t xml:space="preserve"> </w:t>
      </w:r>
      <w:r w:rsidR="00F50E66" w:rsidRPr="00F50E66">
        <w:rPr>
          <w:rFonts w:ascii="Lato" w:hAnsi="Lato"/>
          <w:i w:val="0"/>
          <w:sz w:val="22"/>
          <w:szCs w:val="22"/>
        </w:rPr>
        <w:t xml:space="preserve">- </w:t>
      </w:r>
      <w:hyperlink r:id="rId17" w:history="1">
        <w:r w:rsidR="00F50E66" w:rsidRPr="005F2902">
          <w:rPr>
            <w:rStyle w:val="Hyperlink"/>
            <w:rFonts w:ascii="Lato" w:hAnsi="Lato"/>
            <w:i w:val="0"/>
            <w:sz w:val="22"/>
            <w:szCs w:val="22"/>
          </w:rPr>
          <w:t>https://legislation.nt.gov.au/en/Legislation/CRIMINAL-CODE-ACT-1983</w:t>
        </w:r>
      </w:hyperlink>
    </w:p>
    <w:p w14:paraId="15E76D52" w14:textId="2F5EEF8C" w:rsidR="00E718EB" w:rsidRPr="00F50E66" w:rsidRDefault="00E718EB" w:rsidP="00CA4C98">
      <w:pPr>
        <w:pStyle w:val="HeaderText"/>
        <w:numPr>
          <w:ilvl w:val="0"/>
          <w:numId w:val="29"/>
        </w:numPr>
        <w:spacing w:after="200"/>
        <w:rPr>
          <w:rStyle w:val="Hyperlink"/>
          <w:rFonts w:ascii="Lato" w:hAnsi="Lato"/>
          <w:i w:val="0"/>
          <w:color w:val="auto"/>
          <w:sz w:val="22"/>
          <w:szCs w:val="22"/>
          <w:u w:val="none"/>
        </w:rPr>
      </w:pPr>
      <w:r w:rsidRPr="00F50E66">
        <w:rPr>
          <w:rStyle w:val="Hyperlink"/>
          <w:rFonts w:ascii="Lato" w:hAnsi="Lato"/>
          <w:color w:val="auto"/>
          <w:sz w:val="22"/>
          <w:szCs w:val="22"/>
          <w:u w:val="none"/>
        </w:rPr>
        <w:t>Education and Care Services (National Uniform Legislation) Act 2011</w:t>
      </w:r>
      <w:r w:rsidR="00F50E66" w:rsidRPr="00F50E66">
        <w:rPr>
          <w:rStyle w:val="Hyperlink"/>
          <w:rFonts w:ascii="Lato" w:hAnsi="Lato"/>
          <w:i w:val="0"/>
          <w:color w:val="auto"/>
          <w:sz w:val="22"/>
          <w:szCs w:val="22"/>
          <w:u w:val="none"/>
        </w:rPr>
        <w:t xml:space="preserve"> - </w:t>
      </w:r>
      <w:hyperlink r:id="rId18" w:history="1">
        <w:r w:rsidR="000C5C1F" w:rsidRPr="009A6F82">
          <w:rPr>
            <w:rStyle w:val="Hyperlink"/>
            <w:rFonts w:ascii="Lato" w:hAnsi="Lato"/>
            <w:i w:val="0"/>
            <w:sz w:val="22"/>
            <w:szCs w:val="22"/>
          </w:rPr>
          <w:t>https://legislation.nt.gov.au/Legislation/EDUCATION-AND-CARE-SERVICES-NATIONAL-UNIFORM-LEGISLATION-ACT-2011</w:t>
        </w:r>
      </w:hyperlink>
    </w:p>
    <w:p w14:paraId="7F3C71E5" w14:textId="60020781" w:rsidR="00F50E66" w:rsidRPr="00F66552" w:rsidRDefault="00F50E66" w:rsidP="00CA4C98">
      <w:pPr>
        <w:pStyle w:val="HeaderText"/>
        <w:numPr>
          <w:ilvl w:val="0"/>
          <w:numId w:val="29"/>
        </w:numPr>
        <w:spacing w:after="200"/>
        <w:rPr>
          <w:rStyle w:val="Hyperlink"/>
          <w:rFonts w:ascii="Lato" w:hAnsi="Lato"/>
          <w:i w:val="0"/>
          <w:color w:val="auto"/>
          <w:sz w:val="22"/>
          <w:szCs w:val="22"/>
        </w:rPr>
      </w:pPr>
      <w:r w:rsidRPr="00F66552">
        <w:rPr>
          <w:rFonts w:ascii="Lato" w:hAnsi="Lato"/>
          <w:sz w:val="22"/>
          <w:szCs w:val="22"/>
        </w:rPr>
        <w:t xml:space="preserve">Health Practitioners Act 1983 </w:t>
      </w:r>
      <w:r w:rsidRPr="00D056B4">
        <w:rPr>
          <w:rFonts w:ascii="Lato" w:hAnsi="Lato"/>
          <w:i w:val="0"/>
          <w:sz w:val="22"/>
          <w:szCs w:val="22"/>
        </w:rPr>
        <w:t>(</w:t>
      </w:r>
      <w:proofErr w:type="spellStart"/>
      <w:r w:rsidRPr="00D056B4">
        <w:rPr>
          <w:rFonts w:ascii="Lato" w:hAnsi="Lato"/>
          <w:i w:val="0"/>
          <w:sz w:val="22"/>
          <w:szCs w:val="22"/>
        </w:rPr>
        <w:t>Cth</w:t>
      </w:r>
      <w:proofErr w:type="spellEnd"/>
      <w:r w:rsidRPr="00D056B4">
        <w:rPr>
          <w:rFonts w:ascii="Lato" w:hAnsi="Lato"/>
          <w:i w:val="0"/>
          <w:sz w:val="22"/>
          <w:szCs w:val="22"/>
        </w:rPr>
        <w:t>)</w:t>
      </w:r>
      <w:r>
        <w:rPr>
          <w:rFonts w:ascii="Lato" w:hAnsi="Lato"/>
          <w:sz w:val="22"/>
          <w:szCs w:val="22"/>
        </w:rPr>
        <w:t xml:space="preserve"> </w:t>
      </w:r>
      <w:r w:rsidRPr="00F66552">
        <w:rPr>
          <w:rFonts w:ascii="Lato" w:hAnsi="Lato"/>
          <w:i w:val="0"/>
          <w:sz w:val="22"/>
          <w:szCs w:val="22"/>
        </w:rPr>
        <w:t xml:space="preserve">- </w:t>
      </w:r>
      <w:hyperlink r:id="rId19" w:history="1">
        <w:r w:rsidRPr="005F2902">
          <w:rPr>
            <w:rStyle w:val="Hyperlink"/>
            <w:rFonts w:ascii="Lato" w:hAnsi="Lato"/>
            <w:i w:val="0"/>
            <w:sz w:val="22"/>
            <w:szCs w:val="22"/>
          </w:rPr>
          <w:t>https://www.legislation.gov.au/Details/C2016Q00062</w:t>
        </w:r>
      </w:hyperlink>
    </w:p>
    <w:p w14:paraId="6A59A5B3" w14:textId="222DC67D" w:rsidR="00E718EB" w:rsidRPr="00F50E66" w:rsidRDefault="00E718EB" w:rsidP="00CA4C98">
      <w:pPr>
        <w:pStyle w:val="HeaderText"/>
        <w:numPr>
          <w:ilvl w:val="0"/>
          <w:numId w:val="29"/>
        </w:numPr>
        <w:spacing w:after="200"/>
        <w:rPr>
          <w:rStyle w:val="Hyperlink"/>
          <w:rFonts w:ascii="Lato" w:hAnsi="Lato"/>
          <w:i w:val="0"/>
          <w:color w:val="auto"/>
          <w:sz w:val="22"/>
          <w:szCs w:val="22"/>
          <w:u w:val="none"/>
        </w:rPr>
      </w:pPr>
      <w:r w:rsidRPr="00F50E66">
        <w:rPr>
          <w:rStyle w:val="Hyperlink"/>
          <w:rFonts w:ascii="Lato" w:hAnsi="Lato"/>
          <w:color w:val="auto"/>
          <w:sz w:val="22"/>
          <w:szCs w:val="22"/>
          <w:u w:val="none"/>
        </w:rPr>
        <w:t>Sexual Offences (Evidence and Procedure) Act 1983</w:t>
      </w:r>
      <w:r w:rsidR="00F50E66" w:rsidRPr="00F50E66">
        <w:rPr>
          <w:rStyle w:val="Hyperlink"/>
          <w:rFonts w:ascii="Lato" w:hAnsi="Lato"/>
          <w:i w:val="0"/>
          <w:color w:val="auto"/>
          <w:sz w:val="22"/>
          <w:szCs w:val="22"/>
          <w:u w:val="none"/>
        </w:rPr>
        <w:t xml:space="preserve"> - </w:t>
      </w:r>
      <w:hyperlink r:id="rId20" w:history="1">
        <w:r w:rsidR="00F50E66" w:rsidRPr="005F2902">
          <w:rPr>
            <w:rStyle w:val="Hyperlink"/>
            <w:rFonts w:ascii="Lato" w:hAnsi="Lato"/>
            <w:i w:val="0"/>
            <w:sz w:val="22"/>
            <w:szCs w:val="22"/>
          </w:rPr>
          <w:t>https://legislation.nt.gov.au/en/Legislation/SEXUAL-OFFENCES-EVIDENCE-AND-PROCEDURE-ACT-1983</w:t>
        </w:r>
      </w:hyperlink>
    </w:p>
    <w:p w14:paraId="1EDAA63B" w14:textId="57226590" w:rsidR="00E718EB" w:rsidRPr="00B952E6" w:rsidRDefault="00B952E6" w:rsidP="00B952E6">
      <w:pPr>
        <w:pStyle w:val="Heading2"/>
        <w:rPr>
          <w:rStyle w:val="Hyperlink"/>
          <w:color w:val="454347"/>
          <w:u w:val="none"/>
        </w:rPr>
      </w:pPr>
      <w:bookmarkStart w:id="19" w:name="_Toc131412866"/>
      <w:r w:rsidRPr="00B952E6">
        <w:rPr>
          <w:rStyle w:val="Hyperlink"/>
          <w:color w:val="454347"/>
          <w:u w:val="none"/>
        </w:rPr>
        <w:t>Policy</w:t>
      </w:r>
      <w:bookmarkEnd w:id="19"/>
    </w:p>
    <w:p w14:paraId="1A5AEBB0" w14:textId="565D8681" w:rsidR="00B952E6" w:rsidRDefault="00B952E6" w:rsidP="00CA4C98">
      <w:pPr>
        <w:pStyle w:val="HeaderText"/>
        <w:numPr>
          <w:ilvl w:val="0"/>
          <w:numId w:val="30"/>
        </w:numPr>
        <w:spacing w:after="200"/>
        <w:rPr>
          <w:rFonts w:ascii="Lato" w:hAnsi="Lato"/>
          <w:i w:val="0"/>
          <w:sz w:val="22"/>
          <w:szCs w:val="22"/>
        </w:rPr>
      </w:pPr>
      <w:r>
        <w:rPr>
          <w:rFonts w:ascii="Lato" w:hAnsi="Lato"/>
          <w:i w:val="0"/>
          <w:sz w:val="22"/>
          <w:szCs w:val="22"/>
        </w:rPr>
        <w:t xml:space="preserve">Health of </w:t>
      </w:r>
      <w:proofErr w:type="gramStart"/>
      <w:r>
        <w:rPr>
          <w:rFonts w:ascii="Lato" w:hAnsi="Lato"/>
          <w:i w:val="0"/>
          <w:sz w:val="22"/>
          <w:szCs w:val="22"/>
        </w:rPr>
        <w:t>students</w:t>
      </w:r>
      <w:proofErr w:type="gramEnd"/>
      <w:r>
        <w:rPr>
          <w:rFonts w:ascii="Lato" w:hAnsi="Lato"/>
          <w:i w:val="0"/>
          <w:sz w:val="22"/>
          <w:szCs w:val="22"/>
        </w:rPr>
        <w:t xml:space="preserve"> policy - </w:t>
      </w:r>
      <w:hyperlink r:id="rId21" w:history="1">
        <w:r w:rsidRPr="005F2902">
          <w:rPr>
            <w:rStyle w:val="Hyperlink"/>
            <w:rFonts w:ascii="Lato" w:hAnsi="Lato"/>
            <w:i w:val="0"/>
            <w:sz w:val="22"/>
            <w:szCs w:val="22"/>
          </w:rPr>
          <w:t>https://education.nt.gov.au/policies/health-safety</w:t>
        </w:r>
      </w:hyperlink>
    </w:p>
    <w:p w14:paraId="1A667456" w14:textId="2DAA25FA" w:rsidR="00B952E6" w:rsidRPr="00B952E6" w:rsidRDefault="00B952E6" w:rsidP="00CA4C98">
      <w:pPr>
        <w:pStyle w:val="HeaderText"/>
        <w:numPr>
          <w:ilvl w:val="0"/>
          <w:numId w:val="30"/>
        </w:numPr>
        <w:tabs>
          <w:tab w:val="left" w:pos="851"/>
        </w:tabs>
        <w:spacing w:after="200"/>
        <w:rPr>
          <w:rStyle w:val="Hyperlink"/>
          <w:rFonts w:ascii="Lato" w:hAnsi="Lato"/>
          <w:i w:val="0"/>
          <w:color w:val="auto"/>
          <w:sz w:val="22"/>
          <w:szCs w:val="22"/>
        </w:rPr>
      </w:pPr>
      <w:r w:rsidRPr="00B952E6">
        <w:rPr>
          <w:rFonts w:ascii="Lato" w:hAnsi="Lato"/>
          <w:i w:val="0"/>
          <w:sz w:val="22"/>
          <w:szCs w:val="22"/>
        </w:rPr>
        <w:t>External providers engaged for teaching and learning guidelines</w:t>
      </w:r>
      <w:r>
        <w:rPr>
          <w:rFonts w:ascii="Lato" w:hAnsi="Lato"/>
          <w:i w:val="0"/>
          <w:sz w:val="22"/>
          <w:szCs w:val="22"/>
        </w:rPr>
        <w:t xml:space="preserve"> - </w:t>
      </w:r>
      <w:hyperlink r:id="rId22" w:history="1">
        <w:r w:rsidRPr="005F2902">
          <w:rPr>
            <w:rStyle w:val="Hyperlink"/>
            <w:rFonts w:ascii="Lato" w:hAnsi="Lato"/>
            <w:i w:val="0"/>
            <w:sz w:val="22"/>
            <w:szCs w:val="22"/>
          </w:rPr>
          <w:t>https://education.nt.gov.au/policies/curriculum</w:t>
        </w:r>
      </w:hyperlink>
    </w:p>
    <w:p w14:paraId="4527D8AF" w14:textId="6C113F0A" w:rsidR="00E718EB" w:rsidRPr="00CA4C98" w:rsidRDefault="00E718EB" w:rsidP="00CA4C98">
      <w:pPr>
        <w:pStyle w:val="HeaderText"/>
        <w:numPr>
          <w:ilvl w:val="0"/>
          <w:numId w:val="30"/>
        </w:numPr>
        <w:spacing w:after="200"/>
        <w:rPr>
          <w:rStyle w:val="Hyperlink"/>
          <w:rFonts w:ascii="Lato" w:hAnsi="Lato"/>
          <w:i w:val="0"/>
          <w:color w:val="auto"/>
          <w:sz w:val="22"/>
          <w:szCs w:val="22"/>
        </w:rPr>
      </w:pPr>
      <w:r w:rsidRPr="00B952E6">
        <w:rPr>
          <w:rFonts w:ascii="Lato" w:hAnsi="Lato"/>
          <w:bCs/>
          <w:i w:val="0"/>
          <w:sz w:val="22"/>
          <w:szCs w:val="22"/>
        </w:rPr>
        <w:t xml:space="preserve">Mandatory </w:t>
      </w:r>
      <w:r w:rsidR="00AE18B8" w:rsidRPr="00B952E6">
        <w:rPr>
          <w:rFonts w:ascii="Lato" w:hAnsi="Lato"/>
          <w:bCs/>
          <w:i w:val="0"/>
          <w:sz w:val="22"/>
          <w:szCs w:val="22"/>
        </w:rPr>
        <w:t>r</w:t>
      </w:r>
      <w:r w:rsidRPr="00B952E6">
        <w:rPr>
          <w:rFonts w:ascii="Lato" w:hAnsi="Lato"/>
          <w:bCs/>
          <w:i w:val="0"/>
          <w:sz w:val="22"/>
          <w:szCs w:val="22"/>
        </w:rPr>
        <w:t>eporting of harm and exploitation of children guidelines</w:t>
      </w:r>
      <w:r w:rsidRPr="00B952E6">
        <w:rPr>
          <w:rStyle w:val="Hyperlink"/>
          <w:rFonts w:ascii="Lato" w:hAnsi="Lato"/>
          <w:bCs/>
          <w:i w:val="0"/>
          <w:color w:val="auto"/>
          <w:sz w:val="22"/>
          <w:szCs w:val="22"/>
          <w:u w:val="none"/>
        </w:rPr>
        <w:t xml:space="preserve"> </w:t>
      </w:r>
      <w:r w:rsidR="00B952E6" w:rsidRPr="00B952E6">
        <w:rPr>
          <w:rStyle w:val="Hyperlink"/>
          <w:rFonts w:ascii="Lato" w:hAnsi="Lato"/>
          <w:bCs/>
          <w:i w:val="0"/>
          <w:color w:val="auto"/>
          <w:sz w:val="22"/>
          <w:szCs w:val="22"/>
          <w:u w:val="none"/>
        </w:rPr>
        <w:t>-</w:t>
      </w:r>
      <w:r w:rsidR="00B952E6">
        <w:rPr>
          <w:rStyle w:val="Hyperlink"/>
          <w:rFonts w:ascii="Lato" w:hAnsi="Lato"/>
          <w:bCs/>
          <w:i w:val="0"/>
          <w:color w:val="auto"/>
          <w:sz w:val="22"/>
          <w:szCs w:val="22"/>
        </w:rPr>
        <w:t xml:space="preserve"> </w:t>
      </w:r>
      <w:hyperlink r:id="rId23" w:history="1">
        <w:r w:rsidR="00B952E6" w:rsidRPr="005F2902">
          <w:rPr>
            <w:rStyle w:val="Hyperlink"/>
            <w:rFonts w:ascii="Lato" w:hAnsi="Lato"/>
            <w:bCs/>
            <w:i w:val="0"/>
            <w:sz w:val="22"/>
            <w:szCs w:val="22"/>
          </w:rPr>
          <w:t>https://education.nt.gov.au/policies/health-safety</w:t>
        </w:r>
      </w:hyperlink>
    </w:p>
    <w:p w14:paraId="6CAC5DAA" w14:textId="4F8BC5AE" w:rsidR="00CA4C98" w:rsidRPr="00CA4C98" w:rsidRDefault="00CA4C98" w:rsidP="00CA4C98">
      <w:pPr>
        <w:pStyle w:val="HeaderText"/>
        <w:numPr>
          <w:ilvl w:val="0"/>
          <w:numId w:val="30"/>
        </w:numPr>
        <w:spacing w:after="200"/>
        <w:rPr>
          <w:rStyle w:val="Hyperlink"/>
          <w:rFonts w:ascii="Lato" w:hAnsi="Lato"/>
          <w:i w:val="0"/>
          <w:color w:val="auto"/>
          <w:sz w:val="22"/>
          <w:szCs w:val="22"/>
        </w:rPr>
      </w:pPr>
      <w:r w:rsidRPr="00CA4C98">
        <w:rPr>
          <w:rFonts w:ascii="Lato" w:hAnsi="Lato"/>
          <w:bCs/>
          <w:i w:val="0"/>
          <w:sz w:val="22"/>
          <w:szCs w:val="22"/>
        </w:rPr>
        <w:t>Working with children clearance notices (Ochre Cards) policy</w:t>
      </w:r>
      <w:r>
        <w:rPr>
          <w:rFonts w:ascii="Lato" w:hAnsi="Lato"/>
          <w:bCs/>
          <w:i w:val="0"/>
          <w:sz w:val="22"/>
          <w:szCs w:val="22"/>
        </w:rPr>
        <w:t xml:space="preserve"> - </w:t>
      </w:r>
      <w:hyperlink r:id="rId24" w:history="1">
        <w:r w:rsidRPr="009D01FC">
          <w:rPr>
            <w:rStyle w:val="Hyperlink"/>
            <w:rFonts w:ascii="Lato" w:hAnsi="Lato"/>
            <w:bCs/>
            <w:i w:val="0"/>
            <w:sz w:val="22"/>
            <w:szCs w:val="22"/>
          </w:rPr>
          <w:t>https://education.nt.gov.au/policies/conduct/working-with-children-clearance-notices-ochre-cards</w:t>
        </w:r>
      </w:hyperlink>
    </w:p>
    <w:p w14:paraId="73DF9DD0" w14:textId="79B2F3DC" w:rsidR="00E718EB" w:rsidRPr="00B952E6" w:rsidRDefault="00B952E6" w:rsidP="00CA4C98">
      <w:pPr>
        <w:pStyle w:val="Heading2"/>
        <w:keepNext/>
        <w:rPr>
          <w:rStyle w:val="Hyperlink"/>
          <w:color w:val="454347"/>
          <w:u w:val="none"/>
        </w:rPr>
      </w:pPr>
      <w:bookmarkStart w:id="20" w:name="_Toc131412867"/>
      <w:r>
        <w:rPr>
          <w:rStyle w:val="Hyperlink"/>
          <w:color w:val="454347"/>
          <w:u w:val="none"/>
        </w:rPr>
        <w:lastRenderedPageBreak/>
        <w:t>Documents</w:t>
      </w:r>
      <w:bookmarkEnd w:id="20"/>
    </w:p>
    <w:p w14:paraId="17D2543B" w14:textId="2D793502" w:rsidR="00876B56" w:rsidRPr="00876B56" w:rsidRDefault="00876B56" w:rsidP="00CA4C98">
      <w:pPr>
        <w:pStyle w:val="HeaderText"/>
        <w:keepNext/>
        <w:numPr>
          <w:ilvl w:val="0"/>
          <w:numId w:val="31"/>
        </w:numPr>
        <w:spacing w:after="200"/>
        <w:rPr>
          <w:rFonts w:ascii="Lato" w:hAnsi="Lato"/>
          <w:i w:val="0"/>
          <w:sz w:val="22"/>
          <w:szCs w:val="22"/>
        </w:rPr>
      </w:pPr>
      <w:r w:rsidRPr="00876B56">
        <w:rPr>
          <w:rFonts w:ascii="Lato" w:hAnsi="Lato"/>
          <w:i w:val="0"/>
          <w:sz w:val="22"/>
          <w:szCs w:val="22"/>
        </w:rPr>
        <w:t>Guidelines on the management of sexual health issues in children and young people</w:t>
      </w:r>
      <w:r>
        <w:rPr>
          <w:rFonts w:ascii="Lato" w:hAnsi="Lato"/>
          <w:i w:val="0"/>
          <w:sz w:val="22"/>
          <w:szCs w:val="22"/>
        </w:rPr>
        <w:t xml:space="preserve"> - </w:t>
      </w:r>
      <w:hyperlink r:id="rId25" w:history="1">
        <w:r w:rsidR="00116ED8" w:rsidRPr="009158B9">
          <w:rPr>
            <w:rStyle w:val="Hyperlink"/>
            <w:rFonts w:ascii="Lato" w:hAnsi="Lato"/>
            <w:i w:val="0"/>
            <w:sz w:val="22"/>
            <w:szCs w:val="22"/>
          </w:rPr>
          <w:t>https://digitallibrary.health.nt.gov.au/prodjspui/handle/10137/529</w:t>
        </w:r>
      </w:hyperlink>
    </w:p>
    <w:p w14:paraId="174E4707" w14:textId="45283180" w:rsidR="00E718EB" w:rsidRPr="007B69BF" w:rsidRDefault="00E718EB" w:rsidP="00CA4C98">
      <w:pPr>
        <w:pStyle w:val="HeaderText"/>
        <w:numPr>
          <w:ilvl w:val="0"/>
          <w:numId w:val="31"/>
        </w:numPr>
        <w:spacing w:after="200"/>
        <w:rPr>
          <w:rStyle w:val="Hyperlink"/>
          <w:rFonts w:ascii="Lato" w:hAnsi="Lato"/>
          <w:i w:val="0"/>
          <w:color w:val="auto"/>
          <w:sz w:val="22"/>
          <w:szCs w:val="22"/>
        </w:rPr>
      </w:pPr>
      <w:r w:rsidRPr="007B69BF">
        <w:rPr>
          <w:rFonts w:ascii="Lato" w:hAnsi="Lato"/>
          <w:i w:val="0"/>
          <w:sz w:val="22"/>
          <w:szCs w:val="22"/>
        </w:rPr>
        <w:t xml:space="preserve">Remote </w:t>
      </w:r>
      <w:r w:rsidR="00AE18B8" w:rsidRPr="007B69BF">
        <w:rPr>
          <w:rFonts w:ascii="Lato" w:hAnsi="Lato"/>
          <w:i w:val="0"/>
          <w:sz w:val="22"/>
          <w:szCs w:val="22"/>
        </w:rPr>
        <w:t>h</w:t>
      </w:r>
      <w:r w:rsidRPr="007B69BF">
        <w:rPr>
          <w:rFonts w:ascii="Lato" w:hAnsi="Lato"/>
          <w:i w:val="0"/>
          <w:sz w:val="22"/>
          <w:szCs w:val="22"/>
        </w:rPr>
        <w:t xml:space="preserve">ealth </w:t>
      </w:r>
      <w:r w:rsidR="003B666C" w:rsidRPr="007B69BF">
        <w:rPr>
          <w:rFonts w:ascii="Lato" w:hAnsi="Lato"/>
          <w:i w:val="0"/>
          <w:sz w:val="22"/>
          <w:szCs w:val="22"/>
        </w:rPr>
        <w:t>s</w:t>
      </w:r>
      <w:r w:rsidRPr="007B69BF">
        <w:rPr>
          <w:rFonts w:ascii="Lato" w:hAnsi="Lato"/>
          <w:i w:val="0"/>
          <w:sz w:val="22"/>
          <w:szCs w:val="22"/>
        </w:rPr>
        <w:t xml:space="preserve">ervice contact details for primary health care sites and clinics </w:t>
      </w:r>
      <w:r w:rsidR="000C5C1F" w:rsidRPr="007B69BF">
        <w:rPr>
          <w:rFonts w:ascii="Lato" w:hAnsi="Lato"/>
          <w:i w:val="0"/>
          <w:sz w:val="22"/>
          <w:szCs w:val="22"/>
        </w:rPr>
        <w:t xml:space="preserve">- </w:t>
      </w:r>
      <w:hyperlink r:id="rId26" w:history="1">
        <w:r w:rsidR="000C5C1F" w:rsidRPr="007B69BF">
          <w:rPr>
            <w:rStyle w:val="Hyperlink"/>
            <w:rFonts w:ascii="Lato" w:hAnsi="Lato"/>
            <w:i w:val="0"/>
            <w:sz w:val="22"/>
            <w:szCs w:val="22"/>
          </w:rPr>
          <w:t>https://nt.gov.au/wellbeing/remote-health/remote-health-services</w:t>
        </w:r>
      </w:hyperlink>
    </w:p>
    <w:p w14:paraId="2F33D382" w14:textId="4071CB3B" w:rsidR="00D056B4" w:rsidRPr="002D2965" w:rsidRDefault="00D056B4" w:rsidP="002D2965">
      <w:pPr>
        <w:pStyle w:val="Heading2"/>
        <w:rPr>
          <w:rStyle w:val="Hyperlink"/>
          <w:color w:val="454347"/>
          <w:u w:val="none"/>
        </w:rPr>
      </w:pPr>
      <w:bookmarkStart w:id="21" w:name="_Toc131412868"/>
      <w:r w:rsidRPr="002D2965">
        <w:rPr>
          <w:rStyle w:val="Hyperlink"/>
          <w:color w:val="454347"/>
          <w:u w:val="none"/>
        </w:rPr>
        <w:t>Resources</w:t>
      </w:r>
      <w:bookmarkEnd w:id="21"/>
    </w:p>
    <w:p w14:paraId="519C69E5" w14:textId="77777777" w:rsidR="00CA4C98" w:rsidRPr="00CA4C98" w:rsidRDefault="00CA4C98" w:rsidP="00CA4C98">
      <w:pPr>
        <w:pStyle w:val="ListParagraph"/>
        <w:numPr>
          <w:ilvl w:val="0"/>
          <w:numId w:val="32"/>
        </w:numPr>
        <w:rPr>
          <w:rStyle w:val="Hyperlink"/>
          <w:rFonts w:eastAsia="Times New Roman" w:cs="Arial"/>
          <w:color w:val="auto"/>
          <w:lang w:val="en-US"/>
        </w:rPr>
      </w:pPr>
      <w:r w:rsidRPr="00CA4C98">
        <w:rPr>
          <w:rFonts w:cs="Arial"/>
          <w:bCs/>
          <w:lang w:val="en-US"/>
        </w:rPr>
        <w:t xml:space="preserve">Department of Health – Guidelines on the management of sexual health issues in children and young people – Reporting child sexual harm flowchart – page 47 – </w:t>
      </w:r>
      <w:hyperlink r:id="rId27" w:history="1">
        <w:r w:rsidRPr="00CA4C98">
          <w:rPr>
            <w:rStyle w:val="Hyperlink"/>
            <w:rFonts w:eastAsia="Times New Roman" w:cs="Arial"/>
            <w:lang w:val="en-US"/>
          </w:rPr>
          <w:t>https://digitallibrary.health.nt.gov.au/prodjspui/handle/10137/529</w:t>
        </w:r>
      </w:hyperlink>
    </w:p>
    <w:p w14:paraId="688E784A" w14:textId="1CF2EAC1" w:rsidR="00D056B4" w:rsidRPr="00CA3C46" w:rsidRDefault="00D056B4" w:rsidP="00CA4C98">
      <w:pPr>
        <w:pStyle w:val="ListParagraph"/>
        <w:numPr>
          <w:ilvl w:val="0"/>
          <w:numId w:val="32"/>
        </w:numPr>
        <w:rPr>
          <w:rStyle w:val="Hyperlink"/>
          <w:rFonts w:eastAsia="Times New Roman" w:cs="Arial"/>
          <w:lang w:val="en-US"/>
        </w:rPr>
      </w:pPr>
      <w:r w:rsidRPr="00CA4C98">
        <w:rPr>
          <w:rStyle w:val="Hyperlink"/>
          <w:rFonts w:asciiTheme="minorHAnsi" w:hAnsiTheme="minorHAnsi"/>
          <w:color w:val="auto"/>
          <w:u w:val="none"/>
        </w:rPr>
        <w:t>Department of Health</w:t>
      </w:r>
      <w:r w:rsidR="00CA4C98" w:rsidRPr="00CA4C98">
        <w:rPr>
          <w:rStyle w:val="Hyperlink"/>
          <w:rFonts w:asciiTheme="minorHAnsi" w:hAnsiTheme="minorHAnsi"/>
          <w:color w:val="auto"/>
          <w:u w:val="none"/>
        </w:rPr>
        <w:t xml:space="preserve"> - S</w:t>
      </w:r>
      <w:r w:rsidR="00B252AE" w:rsidRPr="00CA4C98">
        <w:rPr>
          <w:rStyle w:val="Hyperlink"/>
          <w:rFonts w:asciiTheme="minorHAnsi" w:hAnsiTheme="minorHAnsi"/>
          <w:color w:val="auto"/>
          <w:u w:val="none"/>
        </w:rPr>
        <w:t xml:space="preserve">exual health </w:t>
      </w:r>
      <w:r w:rsidR="005202CF" w:rsidRPr="00CA4C98">
        <w:rPr>
          <w:rStyle w:val="Hyperlink"/>
          <w:rFonts w:asciiTheme="minorHAnsi" w:hAnsiTheme="minorHAnsi"/>
          <w:color w:val="auto"/>
          <w:u w:val="none"/>
        </w:rPr>
        <w:t>–</w:t>
      </w:r>
      <w:r w:rsidRPr="00CA4C98">
        <w:rPr>
          <w:rStyle w:val="Hyperlink"/>
          <w:rFonts w:asciiTheme="minorHAnsi" w:hAnsiTheme="minorHAnsi"/>
          <w:color w:val="auto"/>
          <w:u w:val="none"/>
        </w:rPr>
        <w:t xml:space="preserve"> </w:t>
      </w:r>
      <w:hyperlink r:id="rId28" w:history="1">
        <w:r w:rsidRPr="00CA4C98">
          <w:rPr>
            <w:rStyle w:val="Hyperlink"/>
            <w:rFonts w:eastAsia="Times New Roman" w:cs="Arial"/>
            <w:lang w:val="en-US"/>
          </w:rPr>
          <w:t>https://nt.gov.au/wellbeing/health-conditions-treatments/sexual-health/free-condoms-in-nt</w:t>
        </w:r>
      </w:hyperlink>
    </w:p>
    <w:p w14:paraId="1553F3B5" w14:textId="5B8D31CA" w:rsidR="003B5C33" w:rsidRPr="00CA4C98" w:rsidRDefault="003B5C33" w:rsidP="00CA4C98">
      <w:pPr>
        <w:pStyle w:val="ListParagraph"/>
        <w:numPr>
          <w:ilvl w:val="0"/>
          <w:numId w:val="32"/>
        </w:numPr>
        <w:rPr>
          <w:rStyle w:val="Hyperlink"/>
          <w:rFonts w:asciiTheme="minorHAnsi" w:hAnsiTheme="minorHAnsi"/>
          <w:color w:val="auto"/>
          <w:u w:val="none"/>
        </w:rPr>
      </w:pPr>
      <w:r w:rsidRPr="00CA4C98">
        <w:rPr>
          <w:rStyle w:val="Hyperlink"/>
          <w:rFonts w:asciiTheme="minorHAnsi" w:hAnsiTheme="minorHAnsi"/>
          <w:color w:val="auto"/>
          <w:u w:val="none"/>
        </w:rPr>
        <w:t xml:space="preserve">Report child abuse - </w:t>
      </w:r>
      <w:hyperlink r:id="rId29" w:history="1">
        <w:r w:rsidRPr="00CA4C98">
          <w:rPr>
            <w:rStyle w:val="Hyperlink"/>
            <w:rFonts w:asciiTheme="minorHAnsi" w:hAnsiTheme="minorHAnsi"/>
          </w:rPr>
          <w:t>https://nt.gov</w:t>
        </w:r>
        <w:r w:rsidRPr="00CA3C46">
          <w:rPr>
            <w:rStyle w:val="Hyperlink"/>
            <w:rFonts w:eastAsia="Times New Roman" w:cs="Arial"/>
            <w:lang w:val="en-US"/>
          </w:rPr>
          <w:t>.au/law/crime/report-child-abuse</w:t>
        </w:r>
      </w:hyperlink>
    </w:p>
    <w:p w14:paraId="3E854359" w14:textId="77777777" w:rsidR="00CA4C98" w:rsidRPr="00D056B4" w:rsidRDefault="00CA4C98" w:rsidP="00D056B4">
      <w:pPr>
        <w:rPr>
          <w:rStyle w:val="Hyperlink"/>
          <w:rFonts w:asciiTheme="minorHAnsi" w:hAnsiTheme="minorHAnsi"/>
          <w:color w:val="auto"/>
          <w:u w:val="none"/>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720442">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left w:val="single" w:sz="4" w:space="0" w:color="auto"/>
              <w:bottom w:val="single" w:sz="4" w:space="0" w:color="auto"/>
            </w:tcBorders>
            <w:tcMar>
              <w:top w:w="85" w:type="dxa"/>
              <w:bottom w:w="85" w:type="dxa"/>
            </w:tcMar>
          </w:tcPr>
          <w:p w14:paraId="028900D8" w14:textId="77777777" w:rsidR="00FE5B5A" w:rsidRPr="00720442" w:rsidRDefault="00FE5B5A" w:rsidP="00720442">
            <w:pPr>
              <w:spacing w:before="0" w:after="0"/>
            </w:pPr>
            <w:r w:rsidRPr="00720442">
              <w:rPr>
                <w:w w:val="105"/>
              </w:rPr>
              <w:t>Acronyms</w:t>
            </w:r>
          </w:p>
        </w:tc>
        <w:tc>
          <w:tcPr>
            <w:tcW w:w="8363" w:type="dxa"/>
            <w:tcBorders>
              <w:top w:val="single" w:sz="4" w:space="0" w:color="auto"/>
              <w:bottom w:val="single" w:sz="4" w:space="0" w:color="auto"/>
              <w:right w:val="single" w:sz="4" w:space="0" w:color="auto"/>
            </w:tcBorders>
            <w:tcMar>
              <w:top w:w="85" w:type="dxa"/>
              <w:bottom w:w="85" w:type="dxa"/>
            </w:tcMar>
          </w:tcPr>
          <w:p w14:paraId="5CF20AF0" w14:textId="77777777" w:rsidR="00FE5B5A" w:rsidRPr="00720442" w:rsidRDefault="00FE5B5A" w:rsidP="00720442">
            <w:pPr>
              <w:spacing w:before="0" w:after="0"/>
            </w:pPr>
            <w:r w:rsidRPr="00720442">
              <w:rPr>
                <w:w w:val="105"/>
              </w:rPr>
              <w:t>Full</w:t>
            </w:r>
            <w:r w:rsidRPr="00720442">
              <w:rPr>
                <w:spacing w:val="-17"/>
                <w:w w:val="105"/>
              </w:rPr>
              <w:t xml:space="preserve"> </w:t>
            </w:r>
            <w:r w:rsidRPr="00720442">
              <w:rPr>
                <w:w w:val="105"/>
              </w:rPr>
              <w:t>form</w:t>
            </w:r>
          </w:p>
        </w:tc>
      </w:tr>
      <w:tr w:rsidR="00FE5B5A" w:rsidRPr="00E87DE1" w14:paraId="429D7C0E" w14:textId="77777777" w:rsidTr="00720442">
        <w:trPr>
          <w:trHeight w:val="227"/>
        </w:trPr>
        <w:tc>
          <w:tcPr>
            <w:tcW w:w="1980" w:type="dxa"/>
            <w:tcBorders>
              <w:top w:val="single" w:sz="4" w:space="0" w:color="auto"/>
            </w:tcBorders>
            <w:tcMar>
              <w:top w:w="85" w:type="dxa"/>
              <w:bottom w:w="85" w:type="dxa"/>
            </w:tcMar>
          </w:tcPr>
          <w:p w14:paraId="22F85EDE" w14:textId="48E6C9D0" w:rsidR="00FE5B5A" w:rsidRPr="00720442" w:rsidRDefault="0051263C" w:rsidP="00720442">
            <w:pPr>
              <w:spacing w:before="0" w:after="0"/>
            </w:pPr>
            <w:r w:rsidRPr="00720442">
              <w:rPr>
                <w:rFonts w:cs="Arial"/>
                <w:bCs/>
                <w:lang w:val="en-US"/>
              </w:rPr>
              <w:t>HPSN</w:t>
            </w:r>
          </w:p>
        </w:tc>
        <w:tc>
          <w:tcPr>
            <w:tcW w:w="8363" w:type="dxa"/>
            <w:tcBorders>
              <w:top w:val="single" w:sz="4" w:space="0" w:color="auto"/>
            </w:tcBorders>
            <w:tcMar>
              <w:top w:w="85" w:type="dxa"/>
              <w:bottom w:w="85" w:type="dxa"/>
            </w:tcMar>
          </w:tcPr>
          <w:p w14:paraId="2D5C2252" w14:textId="1D68CFA7" w:rsidR="00FE5B5A" w:rsidRPr="00720442" w:rsidRDefault="0051263C" w:rsidP="00720442">
            <w:pPr>
              <w:spacing w:before="0" w:after="0"/>
            </w:pPr>
            <w:r w:rsidRPr="00720442">
              <w:rPr>
                <w:rFonts w:cs="Arial"/>
                <w:bCs/>
                <w:lang w:val="en-US"/>
              </w:rPr>
              <w:t>Health Promoting School Nurse</w:t>
            </w:r>
          </w:p>
        </w:tc>
      </w:tr>
      <w:tr w:rsidR="00FE5B5A" w:rsidRPr="00E87DE1" w14:paraId="7FD6E37C" w14:textId="77777777" w:rsidTr="00720442">
        <w:trPr>
          <w:cnfStyle w:val="000000010000" w:firstRow="0" w:lastRow="0" w:firstColumn="0" w:lastColumn="0" w:oddVBand="0" w:evenVBand="0" w:oddHBand="0" w:evenHBand="1" w:firstRowFirstColumn="0" w:firstRowLastColumn="0" w:lastRowFirstColumn="0" w:lastRowLastColumn="0"/>
          <w:trHeight w:val="227"/>
        </w:trPr>
        <w:tc>
          <w:tcPr>
            <w:tcW w:w="1980" w:type="dxa"/>
            <w:tcMar>
              <w:top w:w="85" w:type="dxa"/>
              <w:bottom w:w="85" w:type="dxa"/>
            </w:tcMar>
          </w:tcPr>
          <w:p w14:paraId="2EACFDE1" w14:textId="58D90442" w:rsidR="00FE5B5A" w:rsidRPr="00720442" w:rsidRDefault="0051263C" w:rsidP="00720442">
            <w:pPr>
              <w:spacing w:before="0" w:after="0"/>
            </w:pPr>
            <w:r w:rsidRPr="00720442">
              <w:t>STI</w:t>
            </w:r>
          </w:p>
        </w:tc>
        <w:tc>
          <w:tcPr>
            <w:tcW w:w="8363" w:type="dxa"/>
            <w:tcMar>
              <w:top w:w="85" w:type="dxa"/>
              <w:bottom w:w="85" w:type="dxa"/>
            </w:tcMar>
          </w:tcPr>
          <w:p w14:paraId="3D945D95" w14:textId="7F689D98" w:rsidR="00FE5B5A" w:rsidRPr="00720442" w:rsidRDefault="0051263C" w:rsidP="00720442">
            <w:pPr>
              <w:spacing w:before="0" w:after="0"/>
            </w:pPr>
            <w:r w:rsidRPr="00720442">
              <w:t>Sexuality Transmitted Infection</w:t>
            </w:r>
            <w:r w:rsidR="00CA4C98">
              <w:t>s</w:t>
            </w:r>
          </w:p>
        </w:tc>
      </w:tr>
    </w:tbl>
    <w:p w14:paraId="0C821C29" w14:textId="77777777" w:rsidR="00FE5B5A" w:rsidRDefault="00FE5B5A" w:rsidP="004A59AC">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720442">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767EF801" w14:textId="77777777" w:rsidR="00FE5B5A" w:rsidRPr="0054507C" w:rsidRDefault="00FE5B5A" w:rsidP="00720442">
            <w:pPr>
              <w:spacing w:before="0" w:after="0"/>
              <w:rPr>
                <w:b/>
              </w:rPr>
            </w:pPr>
            <w:r w:rsidRPr="0054507C">
              <w:rPr>
                <w:b/>
              </w:rPr>
              <w:t>Document title</w:t>
            </w:r>
          </w:p>
        </w:tc>
        <w:tc>
          <w:tcPr>
            <w:tcW w:w="7938" w:type="dxa"/>
            <w:tcMar>
              <w:top w:w="85" w:type="dxa"/>
              <w:bottom w:w="85" w:type="dxa"/>
            </w:tcMar>
          </w:tcPr>
          <w:p w14:paraId="7FFD3785" w14:textId="38E9EF43" w:rsidR="00FE5B5A" w:rsidRPr="006145BB" w:rsidRDefault="009F69D7" w:rsidP="00720442">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52E6">
                  <w:t>Condom provision in school – guidelines</w:t>
                </w:r>
              </w:sdtContent>
            </w:sdt>
          </w:p>
        </w:tc>
      </w:tr>
      <w:tr w:rsidR="00FE5B5A" w14:paraId="37645F7C" w14:textId="77777777" w:rsidTr="0072044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5032B7F2" w14:textId="77777777" w:rsidR="00FE5B5A" w:rsidRPr="0054507C" w:rsidRDefault="00FE5B5A" w:rsidP="00720442">
            <w:pPr>
              <w:spacing w:before="0" w:after="0"/>
              <w:rPr>
                <w:b/>
              </w:rPr>
            </w:pPr>
            <w:r w:rsidRPr="0054507C">
              <w:rPr>
                <w:b/>
              </w:rPr>
              <w:t>Contact details</w:t>
            </w:r>
          </w:p>
        </w:tc>
        <w:tc>
          <w:tcPr>
            <w:tcW w:w="7938" w:type="dxa"/>
            <w:tcMar>
              <w:top w:w="85" w:type="dxa"/>
              <w:bottom w:w="85" w:type="dxa"/>
            </w:tcMar>
          </w:tcPr>
          <w:p w14:paraId="44C79322" w14:textId="57BEC047" w:rsidR="00FE5B5A" w:rsidRPr="006145BB" w:rsidRDefault="00E718EB" w:rsidP="00720442">
            <w:pPr>
              <w:spacing w:before="0" w:after="0"/>
              <w:cnfStyle w:val="000000010000" w:firstRow="0" w:lastRow="0" w:firstColumn="0" w:lastColumn="0" w:oddVBand="0" w:evenVBand="0" w:oddHBand="0" w:evenHBand="1" w:firstRowFirstColumn="0" w:firstRowLastColumn="0" w:lastRowFirstColumn="0" w:lastRowLastColumn="0"/>
            </w:pPr>
            <w:r>
              <w:t>Inclusion and Engagement Services, Student Wellbeing and Inclusion Programs and Services</w:t>
            </w:r>
            <w:r w:rsidR="00FF127D">
              <w:t>,</w:t>
            </w:r>
            <w:r>
              <w:t xml:space="preserve"> </w:t>
            </w:r>
            <w:hyperlink r:id="rId30" w:history="1">
              <w:r w:rsidRPr="00164680">
                <w:rPr>
                  <w:rStyle w:val="Hyperlink"/>
                </w:rPr>
                <w:t>swipolicy.doe@education.nt.gov.au</w:t>
              </w:r>
            </w:hyperlink>
          </w:p>
        </w:tc>
      </w:tr>
      <w:tr w:rsidR="00FE5B5A" w14:paraId="353E9297" w14:textId="77777777" w:rsidTr="00720442">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20AFF39D" w14:textId="77777777" w:rsidR="00FE5B5A" w:rsidRPr="0054507C" w:rsidRDefault="00FE5B5A" w:rsidP="00720442">
            <w:pPr>
              <w:spacing w:before="0" w:after="0"/>
              <w:rPr>
                <w:b/>
              </w:rPr>
            </w:pPr>
            <w:r w:rsidRPr="0054507C">
              <w:rPr>
                <w:b/>
              </w:rPr>
              <w:t>Approved by</w:t>
            </w:r>
          </w:p>
        </w:tc>
        <w:tc>
          <w:tcPr>
            <w:tcW w:w="7938" w:type="dxa"/>
            <w:tcMar>
              <w:top w:w="85" w:type="dxa"/>
              <w:bottom w:w="85" w:type="dxa"/>
            </w:tcMar>
          </w:tcPr>
          <w:p w14:paraId="1921802A" w14:textId="05E33502" w:rsidR="00FE5B5A" w:rsidRPr="006145BB" w:rsidRDefault="00353049" w:rsidP="00720442">
            <w:pPr>
              <w:spacing w:before="0" w:after="0"/>
              <w:cnfStyle w:val="000000000000" w:firstRow="0" w:lastRow="0" w:firstColumn="0" w:lastColumn="0" w:oddVBand="0" w:evenVBand="0" w:oddHBand="0" w:evenHBand="0" w:firstRowFirstColumn="0" w:firstRowLastColumn="0" w:lastRowFirstColumn="0" w:lastRowLastColumn="0"/>
            </w:pPr>
            <w:r>
              <w:t>Executive</w:t>
            </w:r>
            <w:r w:rsidR="00D779DA">
              <w:t xml:space="preserve"> Director</w:t>
            </w:r>
            <w:r>
              <w:t xml:space="preserve"> Inclusion and Engagement Services</w:t>
            </w:r>
          </w:p>
        </w:tc>
      </w:tr>
      <w:tr w:rsidR="00FE5B5A" w14:paraId="625B9B01" w14:textId="77777777" w:rsidTr="0072044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3C8A81B3" w14:textId="77777777" w:rsidR="00FE5B5A" w:rsidRPr="0054507C" w:rsidRDefault="00FE5B5A" w:rsidP="00720442">
            <w:pPr>
              <w:spacing w:before="0" w:after="0"/>
              <w:rPr>
                <w:b/>
              </w:rPr>
            </w:pPr>
            <w:r w:rsidRPr="0054507C">
              <w:rPr>
                <w:b/>
              </w:rPr>
              <w:t>Date approved</w:t>
            </w:r>
          </w:p>
        </w:tc>
        <w:tc>
          <w:tcPr>
            <w:tcW w:w="7938" w:type="dxa"/>
            <w:tcMar>
              <w:top w:w="85" w:type="dxa"/>
              <w:bottom w:w="85" w:type="dxa"/>
            </w:tcMar>
          </w:tcPr>
          <w:p w14:paraId="289E7783" w14:textId="44283E7C" w:rsidR="00FE5B5A" w:rsidRPr="006145BB" w:rsidRDefault="009F69D7" w:rsidP="00720442">
            <w:pPr>
              <w:spacing w:before="0" w:after="0"/>
              <w:cnfStyle w:val="000000010000" w:firstRow="0" w:lastRow="0" w:firstColumn="0" w:lastColumn="0" w:oddVBand="0" w:evenVBand="0" w:oddHBand="0" w:evenHBand="1" w:firstRowFirstColumn="0" w:firstRowLastColumn="0" w:lastRowFirstColumn="0" w:lastRowLastColumn="0"/>
            </w:pPr>
            <w:r>
              <w:t>10</w:t>
            </w:r>
            <w:bookmarkStart w:id="22" w:name="_GoBack"/>
            <w:bookmarkEnd w:id="22"/>
            <w:r w:rsidR="00542F59">
              <w:t xml:space="preserve"> July 2023</w:t>
            </w:r>
          </w:p>
        </w:tc>
      </w:tr>
      <w:tr w:rsidR="00FE5B5A" w14:paraId="45C8D0A9" w14:textId="77777777" w:rsidTr="00720442">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2E697752" w14:textId="77777777" w:rsidR="00FE5B5A" w:rsidRPr="0054507C" w:rsidRDefault="00FE5B5A" w:rsidP="00720442">
            <w:pPr>
              <w:spacing w:before="0" w:after="0"/>
              <w:rPr>
                <w:b/>
              </w:rPr>
            </w:pPr>
            <w:r w:rsidRPr="0054507C">
              <w:rPr>
                <w:b/>
              </w:rPr>
              <w:t>TRM number</w:t>
            </w:r>
          </w:p>
        </w:tc>
        <w:tc>
          <w:tcPr>
            <w:tcW w:w="7938" w:type="dxa"/>
            <w:tcMar>
              <w:top w:w="85" w:type="dxa"/>
              <w:bottom w:w="85" w:type="dxa"/>
            </w:tcMar>
          </w:tcPr>
          <w:p w14:paraId="1F1362FA" w14:textId="5B6DC82C" w:rsidR="00FE5B5A" w:rsidRPr="006145BB" w:rsidRDefault="003C2CB5" w:rsidP="00720442">
            <w:pPr>
              <w:spacing w:before="0" w:after="0"/>
              <w:cnfStyle w:val="000000000000" w:firstRow="0" w:lastRow="0" w:firstColumn="0" w:lastColumn="0" w:oddVBand="0" w:evenVBand="0" w:oddHBand="0" w:evenHBand="0" w:firstRowFirstColumn="0" w:firstRowLastColumn="0" w:lastRowFirstColumn="0" w:lastRowLastColumn="0"/>
            </w:pPr>
            <w:proofErr w:type="gramStart"/>
            <w:r>
              <w:t>50:F</w:t>
            </w:r>
            <w:proofErr w:type="gramEnd"/>
            <w:r>
              <w:t>22:14612</w:t>
            </w:r>
          </w:p>
        </w:tc>
      </w:tr>
    </w:tbl>
    <w:p w14:paraId="43F9B3F1" w14:textId="77777777" w:rsidR="00FE5B5A" w:rsidRDefault="00FE5B5A" w:rsidP="004A59AC">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720442">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left w:val="single" w:sz="4" w:space="0" w:color="auto"/>
              <w:bottom w:val="single" w:sz="4" w:space="0" w:color="auto"/>
            </w:tcBorders>
            <w:tcMar>
              <w:top w:w="85" w:type="dxa"/>
              <w:bottom w:w="85" w:type="dxa"/>
            </w:tcMar>
          </w:tcPr>
          <w:p w14:paraId="5D790881" w14:textId="77777777" w:rsidR="00FE5B5A" w:rsidRPr="00720442" w:rsidRDefault="00FE5B5A" w:rsidP="00720442">
            <w:pPr>
              <w:spacing w:before="0" w:after="0"/>
            </w:pPr>
            <w:r w:rsidRPr="00720442">
              <w:rPr>
                <w:w w:val="105"/>
              </w:rPr>
              <w:t>Version</w:t>
            </w:r>
          </w:p>
        </w:tc>
        <w:tc>
          <w:tcPr>
            <w:tcW w:w="2268" w:type="dxa"/>
            <w:tcBorders>
              <w:top w:val="single" w:sz="4" w:space="0" w:color="auto"/>
              <w:bottom w:val="single" w:sz="4" w:space="0" w:color="auto"/>
            </w:tcBorders>
            <w:tcMar>
              <w:top w:w="85" w:type="dxa"/>
              <w:bottom w:w="85" w:type="dxa"/>
            </w:tcMar>
          </w:tcPr>
          <w:p w14:paraId="0748228B" w14:textId="77777777" w:rsidR="00FE5B5A" w:rsidRPr="00720442" w:rsidRDefault="00FE5B5A" w:rsidP="00720442">
            <w:pPr>
              <w:spacing w:before="0" w:after="0"/>
            </w:pPr>
            <w:r w:rsidRPr="00720442">
              <w:rPr>
                <w:w w:val="105"/>
              </w:rPr>
              <w:t>Date</w:t>
            </w:r>
          </w:p>
        </w:tc>
        <w:tc>
          <w:tcPr>
            <w:tcW w:w="2552" w:type="dxa"/>
            <w:tcBorders>
              <w:top w:val="single" w:sz="4" w:space="0" w:color="auto"/>
              <w:bottom w:val="single" w:sz="4" w:space="0" w:color="auto"/>
            </w:tcBorders>
            <w:tcMar>
              <w:top w:w="85" w:type="dxa"/>
              <w:bottom w:w="85" w:type="dxa"/>
            </w:tcMar>
          </w:tcPr>
          <w:p w14:paraId="7561F4A0" w14:textId="77777777" w:rsidR="00FE5B5A" w:rsidRPr="00720442" w:rsidRDefault="00FE5B5A" w:rsidP="00720442">
            <w:pPr>
              <w:spacing w:before="0" w:after="0"/>
            </w:pPr>
            <w:r w:rsidRPr="00720442">
              <w:rPr>
                <w:w w:val="105"/>
              </w:rPr>
              <w:t>Author</w:t>
            </w:r>
          </w:p>
        </w:tc>
        <w:tc>
          <w:tcPr>
            <w:tcW w:w="4394" w:type="dxa"/>
            <w:tcBorders>
              <w:top w:val="single" w:sz="4" w:space="0" w:color="auto"/>
              <w:bottom w:val="single" w:sz="4" w:space="0" w:color="auto"/>
              <w:right w:val="single" w:sz="4" w:space="0" w:color="auto"/>
            </w:tcBorders>
            <w:tcMar>
              <w:top w:w="85" w:type="dxa"/>
              <w:bottom w:w="85" w:type="dxa"/>
            </w:tcMar>
          </w:tcPr>
          <w:p w14:paraId="49F29EED" w14:textId="77777777" w:rsidR="00FE5B5A" w:rsidRPr="00720442" w:rsidRDefault="00FE5B5A" w:rsidP="00720442">
            <w:pPr>
              <w:spacing w:before="0" w:after="0"/>
            </w:pPr>
            <w:r w:rsidRPr="00720442">
              <w:t>Changes made</w:t>
            </w:r>
          </w:p>
        </w:tc>
      </w:tr>
      <w:tr w:rsidR="00FE5B5A" w:rsidRPr="00E87DE1" w14:paraId="5E71A2FF" w14:textId="77777777" w:rsidTr="00720442">
        <w:trPr>
          <w:trHeight w:val="227"/>
        </w:trPr>
        <w:tc>
          <w:tcPr>
            <w:tcW w:w="1129" w:type="dxa"/>
            <w:tcBorders>
              <w:top w:val="single" w:sz="4" w:space="0" w:color="auto"/>
              <w:bottom w:val="nil"/>
            </w:tcBorders>
            <w:tcMar>
              <w:top w:w="85" w:type="dxa"/>
              <w:bottom w:w="85" w:type="dxa"/>
            </w:tcMar>
          </w:tcPr>
          <w:p w14:paraId="3B190FD3" w14:textId="70A9629F" w:rsidR="00FE5B5A" w:rsidRPr="00720442" w:rsidRDefault="0051263C" w:rsidP="00720442">
            <w:pPr>
              <w:spacing w:before="0" w:after="0"/>
            </w:pPr>
            <w:r w:rsidRPr="00720442">
              <w:t>1</w:t>
            </w:r>
          </w:p>
        </w:tc>
        <w:tc>
          <w:tcPr>
            <w:tcW w:w="2268" w:type="dxa"/>
            <w:tcBorders>
              <w:top w:val="single" w:sz="4" w:space="0" w:color="auto"/>
              <w:bottom w:val="nil"/>
            </w:tcBorders>
            <w:tcMar>
              <w:top w:w="85" w:type="dxa"/>
              <w:bottom w:w="85" w:type="dxa"/>
            </w:tcMar>
          </w:tcPr>
          <w:p w14:paraId="4B80DEE7" w14:textId="298727ED" w:rsidR="00FE5B5A" w:rsidRPr="00720442" w:rsidRDefault="0051263C" w:rsidP="00720442">
            <w:pPr>
              <w:spacing w:before="0" w:after="0"/>
            </w:pPr>
            <w:r w:rsidRPr="00720442">
              <w:t>October 20</w:t>
            </w:r>
            <w:r w:rsidR="00D77FF7" w:rsidRPr="00720442">
              <w:t>1</w:t>
            </w:r>
            <w:r w:rsidRPr="00720442">
              <w:t>7</w:t>
            </w:r>
          </w:p>
        </w:tc>
        <w:tc>
          <w:tcPr>
            <w:tcW w:w="2552" w:type="dxa"/>
            <w:tcBorders>
              <w:top w:val="single" w:sz="4" w:space="0" w:color="auto"/>
              <w:bottom w:val="nil"/>
            </w:tcBorders>
            <w:tcMar>
              <w:top w:w="85" w:type="dxa"/>
              <w:bottom w:w="85" w:type="dxa"/>
            </w:tcMar>
          </w:tcPr>
          <w:p w14:paraId="29F4282C" w14:textId="11459C78" w:rsidR="00FE5B5A" w:rsidRPr="00720442" w:rsidRDefault="0051263C" w:rsidP="00720442">
            <w:pPr>
              <w:spacing w:before="0" w:after="0"/>
            </w:pPr>
            <w:r w:rsidRPr="00720442">
              <w:t>Student Wellbeing and Inclusion</w:t>
            </w:r>
          </w:p>
        </w:tc>
        <w:tc>
          <w:tcPr>
            <w:tcW w:w="4394" w:type="dxa"/>
            <w:tcBorders>
              <w:top w:val="single" w:sz="4" w:space="0" w:color="auto"/>
              <w:bottom w:val="nil"/>
            </w:tcBorders>
            <w:tcMar>
              <w:top w:w="85" w:type="dxa"/>
              <w:bottom w:w="85" w:type="dxa"/>
            </w:tcMar>
          </w:tcPr>
          <w:p w14:paraId="16B5FB2D" w14:textId="70C7491C" w:rsidR="00FE5B5A" w:rsidRPr="00720442" w:rsidRDefault="00401623" w:rsidP="00720442">
            <w:pPr>
              <w:spacing w:before="0" w:after="0"/>
            </w:pPr>
            <w:r w:rsidRPr="00720442">
              <w:t>First release</w:t>
            </w:r>
          </w:p>
        </w:tc>
      </w:tr>
      <w:tr w:rsidR="00401623" w:rsidRPr="00E87DE1" w14:paraId="54AB4080" w14:textId="77777777" w:rsidTr="00BD7F6F">
        <w:trPr>
          <w:cnfStyle w:val="000000010000" w:firstRow="0" w:lastRow="0" w:firstColumn="0" w:lastColumn="0" w:oddVBand="0" w:evenVBand="0" w:oddHBand="0" w:evenHBand="1" w:firstRowFirstColumn="0" w:firstRowLastColumn="0" w:lastRowFirstColumn="0" w:lastRowLastColumn="0"/>
          <w:trHeight w:val="1437"/>
        </w:trPr>
        <w:tc>
          <w:tcPr>
            <w:tcW w:w="1129" w:type="dxa"/>
            <w:tcBorders>
              <w:top w:val="nil"/>
              <w:bottom w:val="single" w:sz="4" w:space="0" w:color="auto"/>
            </w:tcBorders>
            <w:tcMar>
              <w:top w:w="85" w:type="dxa"/>
              <w:bottom w:w="85" w:type="dxa"/>
            </w:tcMar>
          </w:tcPr>
          <w:p w14:paraId="4886EC93" w14:textId="284C97E8" w:rsidR="00401623" w:rsidRPr="00720442" w:rsidRDefault="00401623" w:rsidP="00720442">
            <w:pPr>
              <w:spacing w:before="0" w:after="0"/>
            </w:pPr>
            <w:r w:rsidRPr="00720442">
              <w:t>2</w:t>
            </w:r>
          </w:p>
        </w:tc>
        <w:tc>
          <w:tcPr>
            <w:tcW w:w="2268" w:type="dxa"/>
            <w:tcBorders>
              <w:top w:val="nil"/>
              <w:bottom w:val="single" w:sz="4" w:space="0" w:color="auto"/>
            </w:tcBorders>
            <w:tcMar>
              <w:top w:w="85" w:type="dxa"/>
              <w:bottom w:w="85" w:type="dxa"/>
            </w:tcMar>
          </w:tcPr>
          <w:p w14:paraId="7B2E985E" w14:textId="4485B006" w:rsidR="00401623" w:rsidRPr="00720442" w:rsidRDefault="00FF127D" w:rsidP="00720442">
            <w:pPr>
              <w:spacing w:before="0" w:after="0"/>
            </w:pPr>
            <w:r>
              <w:t>2023</w:t>
            </w:r>
          </w:p>
        </w:tc>
        <w:tc>
          <w:tcPr>
            <w:tcW w:w="2552" w:type="dxa"/>
            <w:tcBorders>
              <w:top w:val="nil"/>
              <w:bottom w:val="single" w:sz="4" w:space="0" w:color="auto"/>
            </w:tcBorders>
            <w:tcMar>
              <w:top w:w="85" w:type="dxa"/>
              <w:bottom w:w="85" w:type="dxa"/>
            </w:tcMar>
          </w:tcPr>
          <w:p w14:paraId="45984D9A" w14:textId="494BF390" w:rsidR="00401623" w:rsidRPr="00720442" w:rsidRDefault="00401623" w:rsidP="00720442">
            <w:pPr>
              <w:spacing w:before="0" w:after="0"/>
            </w:pPr>
            <w:r w:rsidRPr="00720442">
              <w:t>Student Wellbeing and Inclusion Programs and Services</w:t>
            </w:r>
          </w:p>
        </w:tc>
        <w:tc>
          <w:tcPr>
            <w:tcW w:w="4394" w:type="dxa"/>
            <w:tcBorders>
              <w:top w:val="nil"/>
              <w:bottom w:val="single" w:sz="4" w:space="0" w:color="auto"/>
            </w:tcBorders>
            <w:tcMar>
              <w:top w:w="85" w:type="dxa"/>
              <w:bottom w:w="85" w:type="dxa"/>
            </w:tcMar>
          </w:tcPr>
          <w:p w14:paraId="7EE5E5BB" w14:textId="76ADC7C7" w:rsidR="00401623" w:rsidRPr="00720442" w:rsidRDefault="00401623" w:rsidP="00720442">
            <w:pPr>
              <w:spacing w:before="0" w:after="0"/>
            </w:pPr>
            <w:r w:rsidRPr="00720442">
              <w:t>Administration amendments to align roles and responsibilities to the structural alignment in effect from 1 July 2022, including NTG template and minor formatting</w:t>
            </w:r>
          </w:p>
        </w:tc>
      </w:tr>
    </w:tbl>
    <w:p w14:paraId="2FA8ADF9" w14:textId="6A2379FF" w:rsidR="00FE5B5A" w:rsidRDefault="00FE5B5A" w:rsidP="004A59AC">
      <w:pPr>
        <w:rPr>
          <w:lang w:eastAsia="en-AU"/>
        </w:rPr>
      </w:pPr>
    </w:p>
    <w:sectPr w:rsidR="00FE5B5A" w:rsidSect="00B952E6">
      <w:footerReference w:type="default" r:id="rId31"/>
      <w:headerReference w:type="first" r:id="rId32"/>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6150" w14:textId="77777777" w:rsidR="00BE4925" w:rsidRDefault="00BE4925">
      <w:r>
        <w:separator/>
      </w:r>
    </w:p>
  </w:endnote>
  <w:endnote w:type="continuationSeparator" w:id="0">
    <w:p w14:paraId="0A1A153E" w14:textId="77777777" w:rsidR="00BE4925" w:rsidRDefault="00BE4925">
      <w:r>
        <w:continuationSeparator/>
      </w:r>
    </w:p>
  </w:endnote>
  <w:endnote w:type="continuationNotice" w:id="1">
    <w:p w14:paraId="134BD70F" w14:textId="77777777" w:rsidR="00BE4925" w:rsidRDefault="00BE49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18EE08E7"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r w:rsidR="002D2965">
            <w:rPr>
              <w:rStyle w:val="PageNumber"/>
              <w:b/>
            </w:rPr>
            <w:t xml:space="preserve"> – </w:t>
          </w:r>
          <w:r w:rsidR="002D2965" w:rsidRPr="002D2965">
            <w:rPr>
              <w:rStyle w:val="PageNumber"/>
            </w:rPr>
            <w:t>Health of students</w:t>
          </w:r>
        </w:p>
        <w:p w14:paraId="580C1AB6" w14:textId="4C3CEDDB" w:rsidR="00CB6A67" w:rsidRPr="00CE6614" w:rsidRDefault="00B952E6" w:rsidP="00CB6A67">
          <w:pPr>
            <w:spacing w:after="0"/>
            <w:rPr>
              <w:rStyle w:val="PageNumber"/>
            </w:rPr>
          </w:pPr>
          <w:r>
            <w:rPr>
              <w:rStyle w:val="PageNumber"/>
            </w:rPr>
            <w:t xml:space="preserve">Published </w:t>
          </w:r>
          <w:r w:rsidR="00542F59">
            <w:rPr>
              <w:rStyle w:val="PageNumber"/>
            </w:rPr>
            <w:t>July 2023</w:t>
          </w:r>
        </w:p>
        <w:p w14:paraId="6369AF07"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F648" w14:textId="77777777" w:rsidR="00BE4925" w:rsidRDefault="00BE4925">
      <w:r>
        <w:separator/>
      </w:r>
    </w:p>
  </w:footnote>
  <w:footnote w:type="continuationSeparator" w:id="0">
    <w:p w14:paraId="4E98E6CE" w14:textId="77777777" w:rsidR="00BE4925" w:rsidRDefault="00BE4925">
      <w:r>
        <w:continuationSeparator/>
      </w:r>
    </w:p>
  </w:footnote>
  <w:footnote w:type="continuationNotice" w:id="1">
    <w:p w14:paraId="281C5911" w14:textId="77777777" w:rsidR="00BE4925" w:rsidRDefault="00BE49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76242F77" w:rsidR="00964B22" w:rsidRPr="008E0345" w:rsidRDefault="009F69D7"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952E6">
          <w:t>Condom provision in school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34501501" w:rsidR="00983000" w:rsidRPr="00964B22" w:rsidRDefault="00B952E6" w:rsidP="008E0345">
        <w:pPr>
          <w:pStyle w:val="Header"/>
          <w:rPr>
            <w:b/>
          </w:rPr>
        </w:pPr>
        <w:r>
          <w:t>Condom provision in school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D63"/>
    <w:multiLevelType w:val="multilevel"/>
    <w:tmpl w:val="A01274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D57B88"/>
    <w:multiLevelType w:val="multilevel"/>
    <w:tmpl w:val="6332F43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C5097F"/>
    <w:multiLevelType w:val="hybridMultilevel"/>
    <w:tmpl w:val="1A5A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CD55AA"/>
    <w:multiLevelType w:val="hybridMultilevel"/>
    <w:tmpl w:val="3B244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643B5F"/>
    <w:multiLevelType w:val="hybridMultilevel"/>
    <w:tmpl w:val="E2208B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9754A64"/>
    <w:multiLevelType w:val="hybridMultilevel"/>
    <w:tmpl w:val="612E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5A4FE4"/>
    <w:multiLevelType w:val="multilevel"/>
    <w:tmpl w:val="6332F43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1BD5244"/>
    <w:multiLevelType w:val="multilevel"/>
    <w:tmpl w:val="99FCD912"/>
    <w:lvl w:ilvl="0">
      <w:start w:val="1"/>
      <w:numFmt w:val="none"/>
      <w:lvlText w:val="6."/>
      <w:lvlJc w:val="left"/>
      <w:pPr>
        <w:ind w:left="720" w:hanging="360"/>
      </w:pPr>
      <w:rPr>
        <w:rFonts w:hint="default"/>
      </w:rPr>
    </w:lvl>
    <w:lvl w:ilvl="1">
      <w:start w:val="1"/>
      <w:numFmt w:val="decimal"/>
      <w:lvlText w:val="%2."/>
      <w:lvlJc w:val="left"/>
      <w:pPr>
        <w:ind w:left="1440" w:hanging="360"/>
      </w:pPr>
      <w:rPr>
        <w:rFonts w:ascii="Lato" w:hAnsi="Lato"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5ED03E4"/>
    <w:multiLevelType w:val="multilevel"/>
    <w:tmpl w:val="53FC7F94"/>
    <w:lvl w:ilvl="0">
      <w:start w:val="1"/>
      <w:numFmt w:val="none"/>
      <w:lvlText w:val="6."/>
      <w:lvlJc w:val="left"/>
      <w:pPr>
        <w:ind w:left="720" w:hanging="360"/>
      </w:pPr>
      <w:rPr>
        <w:rFonts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F73140"/>
    <w:multiLevelType w:val="multilevel"/>
    <w:tmpl w:val="65443F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87519FC"/>
    <w:multiLevelType w:val="multilevel"/>
    <w:tmpl w:val="0D14F88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8C518B4"/>
    <w:multiLevelType w:val="hybridMultilevel"/>
    <w:tmpl w:val="96D26740"/>
    <w:lvl w:ilvl="0" w:tplc="344A885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D157C73"/>
    <w:multiLevelType w:val="hybridMultilevel"/>
    <w:tmpl w:val="231E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D9A6D67"/>
    <w:multiLevelType w:val="hybridMultilevel"/>
    <w:tmpl w:val="B70A8CB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6" w15:restartNumberingAfterBreak="0">
    <w:nsid w:val="453F354E"/>
    <w:multiLevelType w:val="hybridMultilevel"/>
    <w:tmpl w:val="A26803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48B764C8"/>
    <w:multiLevelType w:val="multilevel"/>
    <w:tmpl w:val="53FC7F94"/>
    <w:lvl w:ilvl="0">
      <w:start w:val="1"/>
      <w:numFmt w:val="none"/>
      <w:lvlText w:val="6."/>
      <w:lvlJc w:val="left"/>
      <w:pPr>
        <w:ind w:left="720" w:hanging="360"/>
      </w:pPr>
      <w:rPr>
        <w:rFonts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BC82C52"/>
    <w:multiLevelType w:val="hybridMultilevel"/>
    <w:tmpl w:val="1F5C5994"/>
    <w:lvl w:ilvl="0" w:tplc="EB12BD7C">
      <w:start w:val="1"/>
      <w:numFmt w:val="bullet"/>
      <w:lvlText w:val=""/>
      <w:lvlJc w:val="left"/>
      <w:pPr>
        <w:ind w:left="720" w:hanging="360"/>
      </w:pPr>
      <w:rPr>
        <w:rFonts w:ascii="Symbol" w:hAnsi="Symbol" w:hint="default"/>
        <w:color w:val="1F1F5F"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211A93"/>
    <w:multiLevelType w:val="hybridMultilevel"/>
    <w:tmpl w:val="59B4D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5C43C1C"/>
    <w:multiLevelType w:val="hybridMultilevel"/>
    <w:tmpl w:val="800EF8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6FD10BE"/>
    <w:multiLevelType w:val="hybridMultilevel"/>
    <w:tmpl w:val="055AB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74D1F9B"/>
    <w:multiLevelType w:val="hybridMultilevel"/>
    <w:tmpl w:val="5B7E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965E55"/>
    <w:multiLevelType w:val="hybridMultilevel"/>
    <w:tmpl w:val="8B104720"/>
    <w:lvl w:ilvl="0" w:tplc="F6DAA9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7" w15:restartNumberingAfterBreak="0">
    <w:nsid w:val="7CE11724"/>
    <w:multiLevelType w:val="hybridMultilevel"/>
    <w:tmpl w:val="0C2C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56"/>
  </w:num>
  <w:num w:numId="4">
    <w:abstractNumId w:val="39"/>
  </w:num>
  <w:num w:numId="5">
    <w:abstractNumId w:val="22"/>
  </w:num>
  <w:num w:numId="6">
    <w:abstractNumId w:val="13"/>
  </w:num>
  <w:num w:numId="7">
    <w:abstractNumId w:val="41"/>
  </w:num>
  <w:num w:numId="8">
    <w:abstractNumId w:val="20"/>
  </w:num>
  <w:num w:numId="9">
    <w:abstractNumId w:val="29"/>
  </w:num>
  <w:num w:numId="10">
    <w:abstractNumId w:val="36"/>
  </w:num>
  <w:num w:numId="11">
    <w:abstractNumId w:val="51"/>
  </w:num>
  <w:num w:numId="12">
    <w:abstractNumId w:val="11"/>
  </w:num>
  <w:num w:numId="13">
    <w:abstractNumId w:val="35"/>
  </w:num>
  <w:num w:numId="14">
    <w:abstractNumId w:val="27"/>
  </w:num>
  <w:num w:numId="15">
    <w:abstractNumId w:val="25"/>
  </w:num>
  <w:num w:numId="16">
    <w:abstractNumId w:val="1"/>
  </w:num>
  <w:num w:numId="17">
    <w:abstractNumId w:val="21"/>
  </w:num>
  <w:num w:numId="18">
    <w:abstractNumId w:val="32"/>
  </w:num>
  <w:num w:numId="19">
    <w:abstractNumId w:val="57"/>
  </w:num>
  <w:num w:numId="20">
    <w:abstractNumId w:val="48"/>
  </w:num>
  <w:num w:numId="21">
    <w:abstractNumId w:val="7"/>
  </w:num>
  <w:num w:numId="22">
    <w:abstractNumId w:val="37"/>
  </w:num>
  <w:num w:numId="23">
    <w:abstractNumId w:val="30"/>
  </w:num>
  <w:num w:numId="24">
    <w:abstractNumId w:val="31"/>
  </w:num>
  <w:num w:numId="25">
    <w:abstractNumId w:val="0"/>
  </w:num>
  <w:num w:numId="26">
    <w:abstractNumId w:val="49"/>
  </w:num>
  <w:num w:numId="27">
    <w:abstractNumId w:val="53"/>
  </w:num>
  <w:num w:numId="28">
    <w:abstractNumId w:val="3"/>
  </w:num>
  <w:num w:numId="29">
    <w:abstractNumId w:val="12"/>
  </w:num>
  <w:num w:numId="30">
    <w:abstractNumId w:val="34"/>
  </w:num>
  <w:num w:numId="31">
    <w:abstractNumId w:val="54"/>
  </w:num>
  <w:num w:numId="32">
    <w:abstractNumId w:val="5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11141"/>
    <w:rsid w:val="00012ACA"/>
    <w:rsid w:val="0001364D"/>
    <w:rsid w:val="00013EE1"/>
    <w:rsid w:val="00014807"/>
    <w:rsid w:val="0002393A"/>
    <w:rsid w:val="00027DB8"/>
    <w:rsid w:val="000307A7"/>
    <w:rsid w:val="00031A96"/>
    <w:rsid w:val="00040BF3"/>
    <w:rsid w:val="000441BE"/>
    <w:rsid w:val="0004577F"/>
    <w:rsid w:val="00046C59"/>
    <w:rsid w:val="00051362"/>
    <w:rsid w:val="00051F45"/>
    <w:rsid w:val="00052953"/>
    <w:rsid w:val="0005341A"/>
    <w:rsid w:val="000566AE"/>
    <w:rsid w:val="00056DEF"/>
    <w:rsid w:val="000720BE"/>
    <w:rsid w:val="0007259C"/>
    <w:rsid w:val="00074573"/>
    <w:rsid w:val="00080202"/>
    <w:rsid w:val="00080DCD"/>
    <w:rsid w:val="00080E22"/>
    <w:rsid w:val="00082573"/>
    <w:rsid w:val="000840A3"/>
    <w:rsid w:val="00085062"/>
    <w:rsid w:val="00086A5F"/>
    <w:rsid w:val="000911EF"/>
    <w:rsid w:val="0009279B"/>
    <w:rsid w:val="000962C5"/>
    <w:rsid w:val="000A04AF"/>
    <w:rsid w:val="000A385C"/>
    <w:rsid w:val="000A4317"/>
    <w:rsid w:val="000A559C"/>
    <w:rsid w:val="000B2CA1"/>
    <w:rsid w:val="000B5C34"/>
    <w:rsid w:val="000C5C1F"/>
    <w:rsid w:val="000C6DA5"/>
    <w:rsid w:val="000D1F29"/>
    <w:rsid w:val="000D633D"/>
    <w:rsid w:val="000E0962"/>
    <w:rsid w:val="000E342B"/>
    <w:rsid w:val="000E38FB"/>
    <w:rsid w:val="000E5DD2"/>
    <w:rsid w:val="000F2958"/>
    <w:rsid w:val="000F4805"/>
    <w:rsid w:val="00104E7F"/>
    <w:rsid w:val="00107D3E"/>
    <w:rsid w:val="001117D8"/>
    <w:rsid w:val="00112D09"/>
    <w:rsid w:val="001137EC"/>
    <w:rsid w:val="001152F5"/>
    <w:rsid w:val="00116ED8"/>
    <w:rsid w:val="00117743"/>
    <w:rsid w:val="00117F5B"/>
    <w:rsid w:val="00132658"/>
    <w:rsid w:val="00147DED"/>
    <w:rsid w:val="00150DC0"/>
    <w:rsid w:val="00156CD4"/>
    <w:rsid w:val="00161CC6"/>
    <w:rsid w:val="00164A3E"/>
    <w:rsid w:val="00166FF6"/>
    <w:rsid w:val="00172C77"/>
    <w:rsid w:val="00176123"/>
    <w:rsid w:val="00181620"/>
    <w:rsid w:val="00182085"/>
    <w:rsid w:val="001852AF"/>
    <w:rsid w:val="001957AD"/>
    <w:rsid w:val="001A151F"/>
    <w:rsid w:val="001A21F0"/>
    <w:rsid w:val="001A2B7F"/>
    <w:rsid w:val="001A3AFD"/>
    <w:rsid w:val="001A496C"/>
    <w:rsid w:val="001A6304"/>
    <w:rsid w:val="001B0D58"/>
    <w:rsid w:val="001B2B6C"/>
    <w:rsid w:val="001B49AD"/>
    <w:rsid w:val="001D01C4"/>
    <w:rsid w:val="001D52B0"/>
    <w:rsid w:val="001D5A18"/>
    <w:rsid w:val="001D6309"/>
    <w:rsid w:val="001D7CA4"/>
    <w:rsid w:val="001E057F"/>
    <w:rsid w:val="001E14EB"/>
    <w:rsid w:val="001E1982"/>
    <w:rsid w:val="001F2879"/>
    <w:rsid w:val="001F59E6"/>
    <w:rsid w:val="001F5C6E"/>
    <w:rsid w:val="00202014"/>
    <w:rsid w:val="00206936"/>
    <w:rsid w:val="00206C6F"/>
    <w:rsid w:val="00206FBD"/>
    <w:rsid w:val="00207746"/>
    <w:rsid w:val="0021165E"/>
    <w:rsid w:val="002160A9"/>
    <w:rsid w:val="00220C24"/>
    <w:rsid w:val="00221220"/>
    <w:rsid w:val="00230031"/>
    <w:rsid w:val="00235C01"/>
    <w:rsid w:val="00236878"/>
    <w:rsid w:val="002417C5"/>
    <w:rsid w:val="00247343"/>
    <w:rsid w:val="00253ED2"/>
    <w:rsid w:val="002541AE"/>
    <w:rsid w:val="00265C56"/>
    <w:rsid w:val="002716CD"/>
    <w:rsid w:val="00274D4B"/>
    <w:rsid w:val="002806F5"/>
    <w:rsid w:val="00281577"/>
    <w:rsid w:val="0028367B"/>
    <w:rsid w:val="002926BC"/>
    <w:rsid w:val="00293A72"/>
    <w:rsid w:val="002A0160"/>
    <w:rsid w:val="002A30C3"/>
    <w:rsid w:val="002A68D6"/>
    <w:rsid w:val="002A6F6A"/>
    <w:rsid w:val="002A7712"/>
    <w:rsid w:val="002B38F7"/>
    <w:rsid w:val="002B5591"/>
    <w:rsid w:val="002B6869"/>
    <w:rsid w:val="002B6AA4"/>
    <w:rsid w:val="002C1FE9"/>
    <w:rsid w:val="002D2965"/>
    <w:rsid w:val="002D3A57"/>
    <w:rsid w:val="002D4376"/>
    <w:rsid w:val="002D7D05"/>
    <w:rsid w:val="002E0F6E"/>
    <w:rsid w:val="002E20C8"/>
    <w:rsid w:val="002E4290"/>
    <w:rsid w:val="002E5B94"/>
    <w:rsid w:val="002E66A6"/>
    <w:rsid w:val="002F0DB1"/>
    <w:rsid w:val="002F2885"/>
    <w:rsid w:val="002F2BCE"/>
    <w:rsid w:val="002F32D0"/>
    <w:rsid w:val="002F3CF1"/>
    <w:rsid w:val="002F45A1"/>
    <w:rsid w:val="00301CE8"/>
    <w:rsid w:val="00301E2F"/>
    <w:rsid w:val="003037F9"/>
    <w:rsid w:val="0030583E"/>
    <w:rsid w:val="00307FE1"/>
    <w:rsid w:val="003164BA"/>
    <w:rsid w:val="00320B47"/>
    <w:rsid w:val="003223FE"/>
    <w:rsid w:val="003258E6"/>
    <w:rsid w:val="00326DF8"/>
    <w:rsid w:val="0033116D"/>
    <w:rsid w:val="00342283"/>
    <w:rsid w:val="00343A87"/>
    <w:rsid w:val="00344A36"/>
    <w:rsid w:val="003456F4"/>
    <w:rsid w:val="003477B6"/>
    <w:rsid w:val="00347FB6"/>
    <w:rsid w:val="003504FD"/>
    <w:rsid w:val="00350881"/>
    <w:rsid w:val="00353049"/>
    <w:rsid w:val="00357D55"/>
    <w:rsid w:val="003616A9"/>
    <w:rsid w:val="00363513"/>
    <w:rsid w:val="003657E5"/>
    <w:rsid w:val="0036589C"/>
    <w:rsid w:val="00370EC2"/>
    <w:rsid w:val="00371312"/>
    <w:rsid w:val="00371DC7"/>
    <w:rsid w:val="003765C6"/>
    <w:rsid w:val="00376BF0"/>
    <w:rsid w:val="00377728"/>
    <w:rsid w:val="00377B21"/>
    <w:rsid w:val="003812ED"/>
    <w:rsid w:val="00382BE1"/>
    <w:rsid w:val="00390CE3"/>
    <w:rsid w:val="00394876"/>
    <w:rsid w:val="00394AAF"/>
    <w:rsid w:val="00394CE5"/>
    <w:rsid w:val="003A134B"/>
    <w:rsid w:val="003A6341"/>
    <w:rsid w:val="003B173F"/>
    <w:rsid w:val="003B3DBF"/>
    <w:rsid w:val="003B5C33"/>
    <w:rsid w:val="003B666C"/>
    <w:rsid w:val="003B67FD"/>
    <w:rsid w:val="003B6A61"/>
    <w:rsid w:val="003C2CB5"/>
    <w:rsid w:val="003D42C0"/>
    <w:rsid w:val="003D5B29"/>
    <w:rsid w:val="003D7818"/>
    <w:rsid w:val="003E0BAA"/>
    <w:rsid w:val="003E2445"/>
    <w:rsid w:val="003E3BB2"/>
    <w:rsid w:val="003F5B58"/>
    <w:rsid w:val="00401623"/>
    <w:rsid w:val="0040222A"/>
    <w:rsid w:val="0040306E"/>
    <w:rsid w:val="004047BC"/>
    <w:rsid w:val="00406497"/>
    <w:rsid w:val="004100F7"/>
    <w:rsid w:val="00414CB3"/>
    <w:rsid w:val="0041563D"/>
    <w:rsid w:val="00420043"/>
    <w:rsid w:val="00420CF5"/>
    <w:rsid w:val="00420FF4"/>
    <w:rsid w:val="00422874"/>
    <w:rsid w:val="00426E25"/>
    <w:rsid w:val="00427D9C"/>
    <w:rsid w:val="00427E7E"/>
    <w:rsid w:val="004433AE"/>
    <w:rsid w:val="00443B6E"/>
    <w:rsid w:val="00451FCF"/>
    <w:rsid w:val="004521CB"/>
    <w:rsid w:val="0045420A"/>
    <w:rsid w:val="004554D4"/>
    <w:rsid w:val="00456282"/>
    <w:rsid w:val="004569E1"/>
    <w:rsid w:val="00461744"/>
    <w:rsid w:val="00464D2E"/>
    <w:rsid w:val="00466185"/>
    <w:rsid w:val="004668A7"/>
    <w:rsid w:val="00466D96"/>
    <w:rsid w:val="00467747"/>
    <w:rsid w:val="00473C98"/>
    <w:rsid w:val="00474965"/>
    <w:rsid w:val="00482DF8"/>
    <w:rsid w:val="004864DE"/>
    <w:rsid w:val="00494BE5"/>
    <w:rsid w:val="004A0EBA"/>
    <w:rsid w:val="004A2538"/>
    <w:rsid w:val="004A59AC"/>
    <w:rsid w:val="004B0C15"/>
    <w:rsid w:val="004B35EA"/>
    <w:rsid w:val="004B3704"/>
    <w:rsid w:val="004B69E4"/>
    <w:rsid w:val="004B69ED"/>
    <w:rsid w:val="004B7373"/>
    <w:rsid w:val="004C2BF4"/>
    <w:rsid w:val="004C6C39"/>
    <w:rsid w:val="004D075F"/>
    <w:rsid w:val="004D0C85"/>
    <w:rsid w:val="004D1B76"/>
    <w:rsid w:val="004D344E"/>
    <w:rsid w:val="004E019E"/>
    <w:rsid w:val="004E06EC"/>
    <w:rsid w:val="004E0781"/>
    <w:rsid w:val="004E2CB7"/>
    <w:rsid w:val="004F016A"/>
    <w:rsid w:val="004F2206"/>
    <w:rsid w:val="004F5186"/>
    <w:rsid w:val="00500F94"/>
    <w:rsid w:val="00502FB3"/>
    <w:rsid w:val="00503CDA"/>
    <w:rsid w:val="00503DE9"/>
    <w:rsid w:val="0050530C"/>
    <w:rsid w:val="00505DEA"/>
    <w:rsid w:val="00507782"/>
    <w:rsid w:val="0051263C"/>
    <w:rsid w:val="00512A04"/>
    <w:rsid w:val="005202CF"/>
    <w:rsid w:val="005249F5"/>
    <w:rsid w:val="00525A43"/>
    <w:rsid w:val="005260F7"/>
    <w:rsid w:val="00530FA6"/>
    <w:rsid w:val="00542F59"/>
    <w:rsid w:val="00543BD1"/>
    <w:rsid w:val="0054507C"/>
    <w:rsid w:val="00546D7E"/>
    <w:rsid w:val="00550CCF"/>
    <w:rsid w:val="00556113"/>
    <w:rsid w:val="005646AC"/>
    <w:rsid w:val="00564C12"/>
    <w:rsid w:val="005654B8"/>
    <w:rsid w:val="00570F51"/>
    <w:rsid w:val="005713D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2CD7"/>
    <w:rsid w:val="005E3A43"/>
    <w:rsid w:val="005E51A4"/>
    <w:rsid w:val="005F77C7"/>
    <w:rsid w:val="0060030B"/>
    <w:rsid w:val="006145BB"/>
    <w:rsid w:val="00620675"/>
    <w:rsid w:val="00622910"/>
    <w:rsid w:val="0064192C"/>
    <w:rsid w:val="006433C3"/>
    <w:rsid w:val="00650F5B"/>
    <w:rsid w:val="00652DC0"/>
    <w:rsid w:val="00660584"/>
    <w:rsid w:val="006670D7"/>
    <w:rsid w:val="006700B9"/>
    <w:rsid w:val="006719EA"/>
    <w:rsid w:val="00671F13"/>
    <w:rsid w:val="0067400A"/>
    <w:rsid w:val="006747E0"/>
    <w:rsid w:val="006847AD"/>
    <w:rsid w:val="00690862"/>
    <w:rsid w:val="00690B7D"/>
    <w:rsid w:val="0069114B"/>
    <w:rsid w:val="006A0B34"/>
    <w:rsid w:val="006A756A"/>
    <w:rsid w:val="006C396A"/>
    <w:rsid w:val="006C4E55"/>
    <w:rsid w:val="006D1ADA"/>
    <w:rsid w:val="006D66F7"/>
    <w:rsid w:val="006D6723"/>
    <w:rsid w:val="006E3B5D"/>
    <w:rsid w:val="006F338F"/>
    <w:rsid w:val="00701500"/>
    <w:rsid w:val="00702D61"/>
    <w:rsid w:val="00705C9D"/>
    <w:rsid w:val="00705F13"/>
    <w:rsid w:val="00714F1D"/>
    <w:rsid w:val="00715225"/>
    <w:rsid w:val="00720442"/>
    <w:rsid w:val="00720B5E"/>
    <w:rsid w:val="00720CC6"/>
    <w:rsid w:val="00722DDB"/>
    <w:rsid w:val="00724728"/>
    <w:rsid w:val="00724F98"/>
    <w:rsid w:val="00730A35"/>
    <w:rsid w:val="00730B9B"/>
    <w:rsid w:val="0073182E"/>
    <w:rsid w:val="007332FF"/>
    <w:rsid w:val="00735061"/>
    <w:rsid w:val="0073520D"/>
    <w:rsid w:val="007372B0"/>
    <w:rsid w:val="007408F5"/>
    <w:rsid w:val="00741EAE"/>
    <w:rsid w:val="007524A6"/>
    <w:rsid w:val="0075413F"/>
    <w:rsid w:val="00755248"/>
    <w:rsid w:val="0076190B"/>
    <w:rsid w:val="0076355D"/>
    <w:rsid w:val="00763A2D"/>
    <w:rsid w:val="007761D8"/>
    <w:rsid w:val="00777795"/>
    <w:rsid w:val="00783A57"/>
    <w:rsid w:val="00784C92"/>
    <w:rsid w:val="007859CD"/>
    <w:rsid w:val="007907E4"/>
    <w:rsid w:val="0079576C"/>
    <w:rsid w:val="00796461"/>
    <w:rsid w:val="007A6A4F"/>
    <w:rsid w:val="007B03F5"/>
    <w:rsid w:val="007B59D3"/>
    <w:rsid w:val="007B5C09"/>
    <w:rsid w:val="007B5DA2"/>
    <w:rsid w:val="007B69BF"/>
    <w:rsid w:val="007C0966"/>
    <w:rsid w:val="007C19E7"/>
    <w:rsid w:val="007C5CFD"/>
    <w:rsid w:val="007C6D9F"/>
    <w:rsid w:val="007D0F6D"/>
    <w:rsid w:val="007D4893"/>
    <w:rsid w:val="007D7697"/>
    <w:rsid w:val="007E3498"/>
    <w:rsid w:val="007E70CF"/>
    <w:rsid w:val="007E74A4"/>
    <w:rsid w:val="007F1EBF"/>
    <w:rsid w:val="007F263F"/>
    <w:rsid w:val="007F46EA"/>
    <w:rsid w:val="007F5579"/>
    <w:rsid w:val="008002E8"/>
    <w:rsid w:val="00806985"/>
    <w:rsid w:val="0080766E"/>
    <w:rsid w:val="008105BE"/>
    <w:rsid w:val="00810A6D"/>
    <w:rsid w:val="00811169"/>
    <w:rsid w:val="0081182D"/>
    <w:rsid w:val="00815297"/>
    <w:rsid w:val="00817BA1"/>
    <w:rsid w:val="00823022"/>
    <w:rsid w:val="0082634E"/>
    <w:rsid w:val="008313C4"/>
    <w:rsid w:val="00833F8D"/>
    <w:rsid w:val="00835434"/>
    <w:rsid w:val="008358C0"/>
    <w:rsid w:val="00842838"/>
    <w:rsid w:val="00854EC1"/>
    <w:rsid w:val="0085797F"/>
    <w:rsid w:val="00860804"/>
    <w:rsid w:val="00861DC3"/>
    <w:rsid w:val="00862AFC"/>
    <w:rsid w:val="00867019"/>
    <w:rsid w:val="008735A9"/>
    <w:rsid w:val="00876B56"/>
    <w:rsid w:val="00877D20"/>
    <w:rsid w:val="00881C48"/>
    <w:rsid w:val="00885590"/>
    <w:rsid w:val="00885B80"/>
    <w:rsid w:val="00885C30"/>
    <w:rsid w:val="00885E9B"/>
    <w:rsid w:val="00886C9D"/>
    <w:rsid w:val="00890DDB"/>
    <w:rsid w:val="00893C96"/>
    <w:rsid w:val="0089500A"/>
    <w:rsid w:val="00897C94"/>
    <w:rsid w:val="008A51A3"/>
    <w:rsid w:val="008A7C12"/>
    <w:rsid w:val="008B03CE"/>
    <w:rsid w:val="008B529E"/>
    <w:rsid w:val="008B7C3D"/>
    <w:rsid w:val="008C17FB"/>
    <w:rsid w:val="008C6961"/>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522A9"/>
    <w:rsid w:val="00952F8D"/>
    <w:rsid w:val="009616DF"/>
    <w:rsid w:val="00964B22"/>
    <w:rsid w:val="0096542F"/>
    <w:rsid w:val="00967FA7"/>
    <w:rsid w:val="00971645"/>
    <w:rsid w:val="00977919"/>
    <w:rsid w:val="00980375"/>
    <w:rsid w:val="00983000"/>
    <w:rsid w:val="009870FA"/>
    <w:rsid w:val="009921C3"/>
    <w:rsid w:val="00992E6B"/>
    <w:rsid w:val="0099551D"/>
    <w:rsid w:val="009A5897"/>
    <w:rsid w:val="009A5F24"/>
    <w:rsid w:val="009A7883"/>
    <w:rsid w:val="009B0B3E"/>
    <w:rsid w:val="009B17CB"/>
    <w:rsid w:val="009B1913"/>
    <w:rsid w:val="009B6657"/>
    <w:rsid w:val="009B7C35"/>
    <w:rsid w:val="009C198E"/>
    <w:rsid w:val="009C21F1"/>
    <w:rsid w:val="009C2C99"/>
    <w:rsid w:val="009C688E"/>
    <w:rsid w:val="009C70C1"/>
    <w:rsid w:val="009D0EB5"/>
    <w:rsid w:val="009D14F9"/>
    <w:rsid w:val="009D2B74"/>
    <w:rsid w:val="009D63FF"/>
    <w:rsid w:val="009E01BE"/>
    <w:rsid w:val="009E175D"/>
    <w:rsid w:val="009E3CC2"/>
    <w:rsid w:val="009F06BD"/>
    <w:rsid w:val="009F2A4D"/>
    <w:rsid w:val="009F3302"/>
    <w:rsid w:val="009F69D7"/>
    <w:rsid w:val="00A00828"/>
    <w:rsid w:val="00A03290"/>
    <w:rsid w:val="00A07490"/>
    <w:rsid w:val="00A10655"/>
    <w:rsid w:val="00A1197C"/>
    <w:rsid w:val="00A12B64"/>
    <w:rsid w:val="00A22C38"/>
    <w:rsid w:val="00A25193"/>
    <w:rsid w:val="00A26E80"/>
    <w:rsid w:val="00A2714E"/>
    <w:rsid w:val="00A31AE8"/>
    <w:rsid w:val="00A3739D"/>
    <w:rsid w:val="00A37DDA"/>
    <w:rsid w:val="00A37ED8"/>
    <w:rsid w:val="00A45BF7"/>
    <w:rsid w:val="00A55F38"/>
    <w:rsid w:val="00A71E1C"/>
    <w:rsid w:val="00A856ED"/>
    <w:rsid w:val="00A86CD3"/>
    <w:rsid w:val="00A925EC"/>
    <w:rsid w:val="00A929AA"/>
    <w:rsid w:val="00A92B6B"/>
    <w:rsid w:val="00A95544"/>
    <w:rsid w:val="00A955A9"/>
    <w:rsid w:val="00AA06B7"/>
    <w:rsid w:val="00AA541E"/>
    <w:rsid w:val="00AD0DA4"/>
    <w:rsid w:val="00AD4169"/>
    <w:rsid w:val="00AE18B8"/>
    <w:rsid w:val="00AE25C6"/>
    <w:rsid w:val="00AE306C"/>
    <w:rsid w:val="00AE78D0"/>
    <w:rsid w:val="00AF28C1"/>
    <w:rsid w:val="00AF5F76"/>
    <w:rsid w:val="00B01A5B"/>
    <w:rsid w:val="00B02EF1"/>
    <w:rsid w:val="00B07C97"/>
    <w:rsid w:val="00B07EA1"/>
    <w:rsid w:val="00B11C67"/>
    <w:rsid w:val="00B15754"/>
    <w:rsid w:val="00B15A27"/>
    <w:rsid w:val="00B2046E"/>
    <w:rsid w:val="00B20E8B"/>
    <w:rsid w:val="00B22BF5"/>
    <w:rsid w:val="00B252AE"/>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52E6"/>
    <w:rsid w:val="00B96513"/>
    <w:rsid w:val="00BA1D47"/>
    <w:rsid w:val="00BA66F0"/>
    <w:rsid w:val="00BB2239"/>
    <w:rsid w:val="00BB2AE7"/>
    <w:rsid w:val="00BB5C23"/>
    <w:rsid w:val="00BB6464"/>
    <w:rsid w:val="00BC1BB8"/>
    <w:rsid w:val="00BC2E8F"/>
    <w:rsid w:val="00BD478E"/>
    <w:rsid w:val="00BD7F6F"/>
    <w:rsid w:val="00BD7FE1"/>
    <w:rsid w:val="00BE37CA"/>
    <w:rsid w:val="00BE4925"/>
    <w:rsid w:val="00BE6144"/>
    <w:rsid w:val="00BE635A"/>
    <w:rsid w:val="00BF17E9"/>
    <w:rsid w:val="00BF2ABB"/>
    <w:rsid w:val="00BF5099"/>
    <w:rsid w:val="00BF5345"/>
    <w:rsid w:val="00C06D01"/>
    <w:rsid w:val="00C10F10"/>
    <w:rsid w:val="00C144D1"/>
    <w:rsid w:val="00C15D4D"/>
    <w:rsid w:val="00C175DC"/>
    <w:rsid w:val="00C30171"/>
    <w:rsid w:val="00C309D8"/>
    <w:rsid w:val="00C43519"/>
    <w:rsid w:val="00C51537"/>
    <w:rsid w:val="00C52BC3"/>
    <w:rsid w:val="00C61AFA"/>
    <w:rsid w:val="00C61D64"/>
    <w:rsid w:val="00C62099"/>
    <w:rsid w:val="00C63F0E"/>
    <w:rsid w:val="00C64EA3"/>
    <w:rsid w:val="00C64FD3"/>
    <w:rsid w:val="00C72867"/>
    <w:rsid w:val="00C75E81"/>
    <w:rsid w:val="00C75F52"/>
    <w:rsid w:val="00C800F1"/>
    <w:rsid w:val="00C86533"/>
    <w:rsid w:val="00C86609"/>
    <w:rsid w:val="00C90ED6"/>
    <w:rsid w:val="00C92B4C"/>
    <w:rsid w:val="00C94A90"/>
    <w:rsid w:val="00C954F6"/>
    <w:rsid w:val="00CA3C46"/>
    <w:rsid w:val="00CA4C98"/>
    <w:rsid w:val="00CA6BC5"/>
    <w:rsid w:val="00CB6A67"/>
    <w:rsid w:val="00CC61CD"/>
    <w:rsid w:val="00CD5011"/>
    <w:rsid w:val="00CD609F"/>
    <w:rsid w:val="00CE640F"/>
    <w:rsid w:val="00CE76BC"/>
    <w:rsid w:val="00CF28A8"/>
    <w:rsid w:val="00CF540E"/>
    <w:rsid w:val="00D02F07"/>
    <w:rsid w:val="00D056B4"/>
    <w:rsid w:val="00D1774C"/>
    <w:rsid w:val="00D23346"/>
    <w:rsid w:val="00D27EBE"/>
    <w:rsid w:val="00D36A49"/>
    <w:rsid w:val="00D405DD"/>
    <w:rsid w:val="00D468DE"/>
    <w:rsid w:val="00D517C6"/>
    <w:rsid w:val="00D64806"/>
    <w:rsid w:val="00D71D84"/>
    <w:rsid w:val="00D72464"/>
    <w:rsid w:val="00D768EB"/>
    <w:rsid w:val="00D779DA"/>
    <w:rsid w:val="00D77FF7"/>
    <w:rsid w:val="00D82D1E"/>
    <w:rsid w:val="00D832D9"/>
    <w:rsid w:val="00D90F00"/>
    <w:rsid w:val="00D94F6B"/>
    <w:rsid w:val="00D975C0"/>
    <w:rsid w:val="00DA5285"/>
    <w:rsid w:val="00DA7606"/>
    <w:rsid w:val="00DB191D"/>
    <w:rsid w:val="00DB4F91"/>
    <w:rsid w:val="00DB5BBC"/>
    <w:rsid w:val="00DC1EF7"/>
    <w:rsid w:val="00DC1F0F"/>
    <w:rsid w:val="00DC3117"/>
    <w:rsid w:val="00DC5DD9"/>
    <w:rsid w:val="00DC6D2D"/>
    <w:rsid w:val="00DC7A7E"/>
    <w:rsid w:val="00DD64C2"/>
    <w:rsid w:val="00DE1ACD"/>
    <w:rsid w:val="00DE33B5"/>
    <w:rsid w:val="00DE5E18"/>
    <w:rsid w:val="00DE6D4B"/>
    <w:rsid w:val="00DE6E01"/>
    <w:rsid w:val="00DF0487"/>
    <w:rsid w:val="00DF1C5B"/>
    <w:rsid w:val="00DF5EA4"/>
    <w:rsid w:val="00E02681"/>
    <w:rsid w:val="00E02792"/>
    <w:rsid w:val="00E034D8"/>
    <w:rsid w:val="00E04CC0"/>
    <w:rsid w:val="00E1126B"/>
    <w:rsid w:val="00E15816"/>
    <w:rsid w:val="00E160D5"/>
    <w:rsid w:val="00E239FF"/>
    <w:rsid w:val="00E27D7B"/>
    <w:rsid w:val="00E30556"/>
    <w:rsid w:val="00E30981"/>
    <w:rsid w:val="00E32C7B"/>
    <w:rsid w:val="00E33136"/>
    <w:rsid w:val="00E34D7C"/>
    <w:rsid w:val="00E36C7E"/>
    <w:rsid w:val="00E3723D"/>
    <w:rsid w:val="00E44C89"/>
    <w:rsid w:val="00E470F6"/>
    <w:rsid w:val="00E51433"/>
    <w:rsid w:val="00E51B37"/>
    <w:rsid w:val="00E60877"/>
    <w:rsid w:val="00E61BA2"/>
    <w:rsid w:val="00E63864"/>
    <w:rsid w:val="00E6403F"/>
    <w:rsid w:val="00E64725"/>
    <w:rsid w:val="00E718EB"/>
    <w:rsid w:val="00E75449"/>
    <w:rsid w:val="00E770C4"/>
    <w:rsid w:val="00E83B43"/>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36DD9"/>
    <w:rsid w:val="00F448E8"/>
    <w:rsid w:val="00F50E66"/>
    <w:rsid w:val="00F5696E"/>
    <w:rsid w:val="00F60EFF"/>
    <w:rsid w:val="00F66552"/>
    <w:rsid w:val="00F67D2D"/>
    <w:rsid w:val="00F67F5C"/>
    <w:rsid w:val="00F7717C"/>
    <w:rsid w:val="00F860CC"/>
    <w:rsid w:val="00F90858"/>
    <w:rsid w:val="00F92834"/>
    <w:rsid w:val="00F94398"/>
    <w:rsid w:val="00F97D42"/>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E5E0D"/>
    <w:rsid w:val="00FF127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HeaderText">
    <w:name w:val="Header Text"/>
    <w:basedOn w:val="Normal"/>
    <w:rsid w:val="00E718EB"/>
    <w:pPr>
      <w:autoSpaceDE w:val="0"/>
      <w:autoSpaceDN w:val="0"/>
      <w:adjustRightInd w:val="0"/>
      <w:spacing w:after="0"/>
    </w:pPr>
    <w:rPr>
      <w:rFonts w:ascii="Arial" w:eastAsia="Times New Roman" w:hAnsi="Arial" w:cs="Arial"/>
      <w:i/>
      <w:iCs/>
      <w:sz w:val="20"/>
      <w:szCs w:val="20"/>
      <w:lang w:val="en-US"/>
    </w:rPr>
  </w:style>
  <w:style w:type="character" w:styleId="FollowedHyperlink">
    <w:name w:val="FollowedHyperlink"/>
    <w:basedOn w:val="DefaultParagraphFont"/>
    <w:uiPriority w:val="99"/>
    <w:semiHidden/>
    <w:unhideWhenUsed/>
    <w:rsid w:val="004569E1"/>
    <w:rPr>
      <w:color w:val="8C4799" w:themeColor="followedHyperlink"/>
      <w:u w:val="single"/>
    </w:rPr>
  </w:style>
  <w:style w:type="character" w:styleId="UnresolvedMention">
    <w:name w:val="Unresolved Mention"/>
    <w:basedOn w:val="DefaultParagraphFont"/>
    <w:uiPriority w:val="99"/>
    <w:semiHidden/>
    <w:unhideWhenUsed/>
    <w:rsid w:val="003B666C"/>
    <w:rPr>
      <w:color w:val="605E5C"/>
      <w:shd w:val="clear" w:color="auto" w:fill="E1DFDD"/>
    </w:rPr>
  </w:style>
  <w:style w:type="character" w:styleId="CommentReference">
    <w:name w:val="annotation reference"/>
    <w:basedOn w:val="DefaultParagraphFont"/>
    <w:uiPriority w:val="99"/>
    <w:semiHidden/>
    <w:unhideWhenUsed/>
    <w:rsid w:val="0001364D"/>
    <w:rPr>
      <w:sz w:val="16"/>
      <w:szCs w:val="16"/>
    </w:rPr>
  </w:style>
  <w:style w:type="paragraph" w:styleId="CommentText">
    <w:name w:val="annotation text"/>
    <w:basedOn w:val="Normal"/>
    <w:link w:val="CommentTextChar"/>
    <w:uiPriority w:val="99"/>
    <w:unhideWhenUsed/>
    <w:rsid w:val="0001364D"/>
    <w:rPr>
      <w:sz w:val="20"/>
      <w:szCs w:val="20"/>
    </w:rPr>
  </w:style>
  <w:style w:type="character" w:customStyle="1" w:styleId="CommentTextChar">
    <w:name w:val="Comment Text Char"/>
    <w:basedOn w:val="DefaultParagraphFont"/>
    <w:link w:val="CommentText"/>
    <w:uiPriority w:val="99"/>
    <w:rsid w:val="0001364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1364D"/>
    <w:rPr>
      <w:b/>
      <w:bCs/>
    </w:rPr>
  </w:style>
  <w:style w:type="character" w:customStyle="1" w:styleId="CommentSubjectChar">
    <w:name w:val="Comment Subject Char"/>
    <w:basedOn w:val="CommentTextChar"/>
    <w:link w:val="CommentSubject"/>
    <w:uiPriority w:val="99"/>
    <w:semiHidden/>
    <w:rsid w:val="0001364D"/>
    <w:rPr>
      <w:rFonts w:ascii="Lato" w:hAnsi="Lato"/>
      <w:b/>
      <w:bCs/>
      <w:sz w:val="20"/>
      <w:szCs w:val="20"/>
    </w:rPr>
  </w:style>
  <w:style w:type="paragraph" w:styleId="BalloonText">
    <w:name w:val="Balloon Text"/>
    <w:basedOn w:val="Normal"/>
    <w:link w:val="BalloonTextChar"/>
    <w:uiPriority w:val="99"/>
    <w:semiHidden/>
    <w:unhideWhenUsed/>
    <w:rsid w:val="000136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EDUCATION-AND-CARE-SERVICES-NATIONAL-UNIFORM-LEGISLATION-ACT-2011" TargetMode="External"/><Relationship Id="rId26" Type="http://schemas.openxmlformats.org/officeDocument/2006/relationships/hyperlink" Target="https://nt.gov.au/wellbeing/remote-health/remote-health-services" TargetMode="External"/><Relationship Id="rId3" Type="http://schemas.openxmlformats.org/officeDocument/2006/relationships/numbering" Target="numbering.xml"/><Relationship Id="rId21" Type="http://schemas.openxmlformats.org/officeDocument/2006/relationships/hyperlink" Target="https://education.nt.gov.au/policies/health-safety"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en/Legislation/CRIMINAL-CODE-ACT-1983" TargetMode="External"/><Relationship Id="rId25" Type="http://schemas.openxmlformats.org/officeDocument/2006/relationships/hyperlink" Target="https://digitallibrary.health.nt.gov.au/prodjspui/handle/10137/52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t.gov.au/Legislation/CARE-AND-PROTECTION-OF-CHILDREN-ACT-2007" TargetMode="External"/><Relationship Id="rId20" Type="http://schemas.openxmlformats.org/officeDocument/2006/relationships/hyperlink" Target="https://legislation.nt.gov.au/en/Legislation/SEXUAL-OFFENCES-EVIDENCE-AND-PROCEDURE-ACT-1983" TargetMode="External"/><Relationship Id="rId29" Type="http://schemas.openxmlformats.org/officeDocument/2006/relationships/hyperlink" Target="https://nt.gov.au/law/crime/report-child-ab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conduct/working-with-children-clearance-notices-ochre-cards"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ducation.nt.gov.au/education/policies/mandatory-reporting-of-harm-and-exploitation-of-children" TargetMode="External"/><Relationship Id="rId23" Type="http://schemas.openxmlformats.org/officeDocument/2006/relationships/hyperlink" Target="https://education.nt.gov.au/policies/health-safety" TargetMode="External"/><Relationship Id="rId28" Type="http://schemas.openxmlformats.org/officeDocument/2006/relationships/hyperlink" Target="https://nt.gov.au/wellbeing/health-conditions-treatments/sexual-health/free-condoms-in-nt" TargetMode="External"/><Relationship Id="rId10" Type="http://schemas.openxmlformats.org/officeDocument/2006/relationships/header" Target="header2.xml"/><Relationship Id="rId19" Type="http://schemas.openxmlformats.org/officeDocument/2006/relationships/hyperlink" Target="https://www.legislation.gov.au/Details/C2016Q00062"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CARE-AND-PROTECTION-OF-CHILDREN-ACT-2007" TargetMode="External"/><Relationship Id="rId22" Type="http://schemas.openxmlformats.org/officeDocument/2006/relationships/hyperlink" Target="https://education.nt.gov.au/policies/curriculum" TargetMode="External"/><Relationship Id="rId27" Type="http://schemas.openxmlformats.org/officeDocument/2006/relationships/hyperlink" Target="https://digitallibrary.health.nt.gov.au/prodjspui/handle/10137/529" TargetMode="External"/><Relationship Id="rId30" Type="http://schemas.openxmlformats.org/officeDocument/2006/relationships/hyperlink" Target="mailto:swipolicy.doe@education.nt.gov.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66F99"/>
    <w:rsid w:val="00200CB0"/>
    <w:rsid w:val="00211370"/>
    <w:rsid w:val="00262984"/>
    <w:rsid w:val="00536110"/>
    <w:rsid w:val="005C1348"/>
    <w:rsid w:val="00681062"/>
    <w:rsid w:val="00761CB0"/>
    <w:rsid w:val="0079300D"/>
    <w:rsid w:val="00841DDA"/>
    <w:rsid w:val="00845CE7"/>
    <w:rsid w:val="0085370C"/>
    <w:rsid w:val="00882A1F"/>
    <w:rsid w:val="00940728"/>
    <w:rsid w:val="009A65CD"/>
    <w:rsid w:val="00A342A2"/>
    <w:rsid w:val="00AD4806"/>
    <w:rsid w:val="00B1324B"/>
    <w:rsid w:val="00C32D2B"/>
    <w:rsid w:val="00C35A46"/>
    <w:rsid w:val="00C80C83"/>
    <w:rsid w:val="00D43AE9"/>
    <w:rsid w:val="00DA6A7D"/>
    <w:rsid w:val="00E1315D"/>
    <w:rsid w:val="00E344C3"/>
    <w:rsid w:val="00E750C4"/>
    <w:rsid w:val="00F22BD7"/>
    <w:rsid w:val="00FC5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03137-E721-4ECD-9ACB-8A07D3B5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8</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Condom provision in school – guidelines</vt:lpstr>
    </vt:vector>
  </TitlesOfParts>
  <Company>Education</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 provision in school – guidelines</dc:title>
  <dc:creator>Northern Territory Government</dc:creator>
  <cp:lastModifiedBy>Jessica Lai</cp:lastModifiedBy>
  <cp:revision>3</cp:revision>
  <cp:lastPrinted>2016-02-04T04:37:00Z</cp:lastPrinted>
  <dcterms:created xsi:type="dcterms:W3CDTF">2023-07-05T01:11:00Z</dcterms:created>
  <dcterms:modified xsi:type="dcterms:W3CDTF">2023-07-10T23:21:00Z</dcterms:modified>
</cp:coreProperties>
</file>