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B2EA" w14:textId="20F4AB23" w:rsidR="0082790F" w:rsidRPr="00680466" w:rsidRDefault="00BE3144" w:rsidP="00680466">
      <w:pPr>
        <w:rPr>
          <w:color w:val="1F1F5F" w:themeColor="text1"/>
          <w:lang w:val="en-US"/>
        </w:rPr>
      </w:pPr>
      <w:r>
        <w:rPr>
          <w:lang w:val="en-US"/>
        </w:rPr>
        <w:t>Read t</w:t>
      </w:r>
      <w:r w:rsidR="0082790F" w:rsidRPr="00680466">
        <w:rPr>
          <w:lang w:val="en-US"/>
        </w:rPr>
        <w:t>his document with the</w:t>
      </w:r>
      <w:r w:rsidR="00FA164D">
        <w:rPr>
          <w:lang w:val="en-US"/>
        </w:rPr>
        <w:t xml:space="preserve"> Drugs in </w:t>
      </w:r>
      <w:proofErr w:type="gramStart"/>
      <w:r w:rsidR="00FA164D">
        <w:rPr>
          <w:lang w:val="en-US"/>
        </w:rPr>
        <w:t>schools</w:t>
      </w:r>
      <w:proofErr w:type="gramEnd"/>
      <w:r w:rsidR="00FA164D">
        <w:rPr>
          <w:lang w:val="en-US"/>
        </w:rPr>
        <w:t xml:space="preserve"> policy, Management </w:t>
      </w:r>
      <w:r w:rsidR="00FA164D" w:rsidRPr="00FA164D">
        <w:rPr>
          <w:lang w:val="en-US"/>
        </w:rPr>
        <w:t>of drug related incidents in schools guidelines</w:t>
      </w:r>
      <w:r w:rsidR="00FA164D">
        <w:rPr>
          <w:lang w:val="en-US"/>
        </w:rPr>
        <w:t xml:space="preserve"> and </w:t>
      </w:r>
      <w:r w:rsidR="00FA164D" w:rsidRPr="00FA164D">
        <w:rPr>
          <w:lang w:val="en-US"/>
        </w:rPr>
        <w:t>External providers engaged for teaching and learning guidelines</w:t>
      </w:r>
      <w:r w:rsidR="00FA164D">
        <w:rPr>
          <w:lang w:val="en-US"/>
        </w:rPr>
        <w:t>.</w:t>
      </w:r>
    </w:p>
    <w:p w14:paraId="699C1FA2" w14:textId="5B184740" w:rsidR="00794A86" w:rsidRPr="00BE3144" w:rsidRDefault="00794A86">
      <w:pPr>
        <w:pStyle w:val="Heading1"/>
        <w:rPr>
          <w:lang w:val="en-US"/>
        </w:rPr>
      </w:pPr>
      <w:r w:rsidRPr="00BE3144">
        <w:rPr>
          <w:lang w:val="en-US"/>
        </w:rPr>
        <w:t xml:space="preserve">Introduction </w:t>
      </w:r>
    </w:p>
    <w:p w14:paraId="25766C4F" w14:textId="5588991F" w:rsidR="00794A86" w:rsidRPr="000B6644" w:rsidRDefault="00794A86" w:rsidP="00680466">
      <w:pPr>
        <w:rPr>
          <w:lang w:val="en-US"/>
        </w:rPr>
      </w:pPr>
      <w:r w:rsidRPr="00BE3144">
        <w:rPr>
          <w:lang w:val="en-US"/>
        </w:rPr>
        <w:t>The purpose of these guidelines is to outline the responsibilities of schools to adopt a sequential approach to drug education to build student capacity to make informed decisions and thereby reduce the incidence</w:t>
      </w:r>
      <w:r w:rsidRPr="000B6644">
        <w:rPr>
          <w:lang w:val="en-US"/>
        </w:rPr>
        <w:t xml:space="preserve"> of drug use and the impact of drug-related harm.  </w:t>
      </w:r>
    </w:p>
    <w:p w14:paraId="4B25E01A" w14:textId="34E0B3D0" w:rsidR="00794A86" w:rsidRPr="00BE3144" w:rsidRDefault="00794A86" w:rsidP="00680466">
      <w:pPr>
        <w:rPr>
          <w:lang w:val="en-US"/>
        </w:rPr>
      </w:pPr>
      <w:r w:rsidRPr="000B6644">
        <w:rPr>
          <w:lang w:val="en-US"/>
        </w:rPr>
        <w:t xml:space="preserve">Drug education should be guided by a whole school approach, be an integral part of the schools’ curriculum program, and include developmentally appropriate teaching and learning opportunities aligned to the </w:t>
      </w:r>
      <w:r w:rsidR="00972022" w:rsidRPr="00680466">
        <w:rPr>
          <w:rFonts w:asciiTheme="minorHAnsi" w:hAnsiTheme="minorHAnsi"/>
        </w:rPr>
        <w:t>Australian Curriculum</w:t>
      </w:r>
      <w:r w:rsidRPr="00BE3144">
        <w:rPr>
          <w:lang w:val="en-US"/>
        </w:rPr>
        <w:t>.</w:t>
      </w:r>
    </w:p>
    <w:p w14:paraId="07131147" w14:textId="135DF748" w:rsidR="00794A86" w:rsidRPr="000B6644" w:rsidRDefault="00794A86" w:rsidP="00680466">
      <w:pPr>
        <w:rPr>
          <w:lang w:val="en-US"/>
        </w:rPr>
      </w:pPr>
      <w:r w:rsidRPr="00BE3144">
        <w:rPr>
          <w:lang w:val="en-US"/>
        </w:rPr>
        <w:t>Schools play an important role in supporting the development of knowledge, understanding and skills that require students to make healthy and safe choices.  Explicit and developmentally appropriate drug education prog</w:t>
      </w:r>
      <w:r w:rsidRPr="000B6644">
        <w:rPr>
          <w:lang w:val="en-US"/>
        </w:rPr>
        <w:t xml:space="preserve">rams which employ a strengths-based and critical inquiry approach allow students to access, evaluate and synthesise information, and increase their ability to take positive action for themselves and others. </w:t>
      </w:r>
    </w:p>
    <w:p w14:paraId="38F8A8A3" w14:textId="77777777" w:rsidR="00794A86" w:rsidRPr="000B6644" w:rsidRDefault="00794A86" w:rsidP="00680466">
      <w:pPr>
        <w:rPr>
          <w:lang w:val="en-US"/>
        </w:rPr>
      </w:pPr>
      <w:r w:rsidRPr="000B6644">
        <w:rPr>
          <w:lang w:val="en-US"/>
        </w:rPr>
        <w:t xml:space="preserve">Drug education should: </w:t>
      </w:r>
    </w:p>
    <w:p w14:paraId="366A4A1C" w14:textId="77777777" w:rsidR="00794A86" w:rsidRPr="000B6644" w:rsidRDefault="00794A86" w:rsidP="00680466">
      <w:pPr>
        <w:pStyle w:val="ListParagraph"/>
        <w:numPr>
          <w:ilvl w:val="0"/>
          <w:numId w:val="16"/>
        </w:numPr>
        <w:rPr>
          <w:lang w:val="en-US"/>
        </w:rPr>
      </w:pPr>
      <w:r w:rsidRPr="000B6644">
        <w:rPr>
          <w:lang w:val="en-US"/>
        </w:rPr>
        <w:t>be embedded in the schools’ curriculum plan across all stages of schooling</w:t>
      </w:r>
    </w:p>
    <w:p w14:paraId="26A9F1C2" w14:textId="16E431BE" w:rsidR="00794A86" w:rsidRPr="000B6644" w:rsidRDefault="00794A86" w:rsidP="00680466">
      <w:pPr>
        <w:pStyle w:val="ListParagraph"/>
        <w:numPr>
          <w:ilvl w:val="0"/>
          <w:numId w:val="16"/>
        </w:numPr>
        <w:rPr>
          <w:lang w:val="en-US"/>
        </w:rPr>
      </w:pPr>
      <w:r w:rsidRPr="000B6644">
        <w:rPr>
          <w:lang w:val="en-US"/>
        </w:rPr>
        <w:t xml:space="preserve">provide sequential, contextually relevant explicit learning </w:t>
      </w:r>
    </w:p>
    <w:p w14:paraId="60AC744B" w14:textId="77777777" w:rsidR="00794A86" w:rsidRPr="000B6644" w:rsidRDefault="00794A86" w:rsidP="00680466">
      <w:pPr>
        <w:pStyle w:val="ListParagraph"/>
        <w:numPr>
          <w:ilvl w:val="0"/>
          <w:numId w:val="16"/>
        </w:numPr>
        <w:rPr>
          <w:lang w:val="en-US"/>
        </w:rPr>
      </w:pPr>
      <w:r w:rsidRPr="000B6644">
        <w:rPr>
          <w:lang w:val="en-US"/>
        </w:rPr>
        <w:t>provide opportunities to practice, apply and evaluate knowledge and skills</w:t>
      </w:r>
    </w:p>
    <w:p w14:paraId="52F652C3" w14:textId="77777777" w:rsidR="00794A86" w:rsidRPr="000B6644" w:rsidRDefault="00794A86" w:rsidP="00680466">
      <w:pPr>
        <w:pStyle w:val="ListParagraph"/>
        <w:numPr>
          <w:ilvl w:val="0"/>
          <w:numId w:val="16"/>
        </w:numPr>
        <w:rPr>
          <w:lang w:val="en-US"/>
        </w:rPr>
      </w:pPr>
      <w:r w:rsidRPr="000B6644">
        <w:rPr>
          <w:lang w:val="en-US"/>
        </w:rPr>
        <w:t>take a strengths-based approach and affirm that all students and their communities have particular strengths and resources that can be nurtured</w:t>
      </w:r>
    </w:p>
    <w:p w14:paraId="4ED1E3CC" w14:textId="77777777" w:rsidR="00794A86" w:rsidRPr="000B6644" w:rsidRDefault="00794A86" w:rsidP="00680466">
      <w:pPr>
        <w:pStyle w:val="ListParagraph"/>
        <w:numPr>
          <w:ilvl w:val="0"/>
          <w:numId w:val="16"/>
        </w:numPr>
        <w:rPr>
          <w:lang w:val="en-US"/>
        </w:rPr>
      </w:pPr>
      <w:r w:rsidRPr="000B6644">
        <w:rPr>
          <w:lang w:val="en-US"/>
        </w:rPr>
        <w:t xml:space="preserve">take a critical inquiry approach where students are encouraged to ask questions, </w:t>
      </w:r>
      <w:proofErr w:type="spellStart"/>
      <w:r w:rsidRPr="000B6644">
        <w:rPr>
          <w:lang w:val="en-US"/>
        </w:rPr>
        <w:t>analyse</w:t>
      </w:r>
      <w:proofErr w:type="spellEnd"/>
      <w:r w:rsidRPr="000B6644">
        <w:rPr>
          <w:lang w:val="en-US"/>
        </w:rPr>
        <w:t xml:space="preserve"> information and explore the impact drugs can have on individuals, families and communities</w:t>
      </w:r>
    </w:p>
    <w:p w14:paraId="651CE498" w14:textId="77777777" w:rsidR="00794A86" w:rsidRPr="000B6644" w:rsidRDefault="00794A86" w:rsidP="00680466">
      <w:pPr>
        <w:pStyle w:val="ListParagraph"/>
        <w:numPr>
          <w:ilvl w:val="0"/>
          <w:numId w:val="16"/>
        </w:numPr>
        <w:rPr>
          <w:lang w:val="en-US"/>
        </w:rPr>
      </w:pPr>
      <w:r w:rsidRPr="000B6644">
        <w:rPr>
          <w:lang w:val="en-US"/>
        </w:rPr>
        <w:t xml:space="preserve">develop students’ health literacy in relation to drugs, harm </w:t>
      </w:r>
      <w:proofErr w:type="spellStart"/>
      <w:r w:rsidRPr="000B6644">
        <w:rPr>
          <w:lang w:val="en-US"/>
        </w:rPr>
        <w:t>minimisation</w:t>
      </w:r>
      <w:proofErr w:type="spellEnd"/>
      <w:r w:rsidRPr="000B6644">
        <w:rPr>
          <w:lang w:val="en-US"/>
        </w:rPr>
        <w:t>, issues or drug use in society and support services available</w:t>
      </w:r>
    </w:p>
    <w:p w14:paraId="207A931B" w14:textId="2B5F140C" w:rsidR="00794A86" w:rsidRPr="000B6644" w:rsidRDefault="00794A86" w:rsidP="00680466">
      <w:pPr>
        <w:pStyle w:val="ListParagraph"/>
        <w:numPr>
          <w:ilvl w:val="0"/>
          <w:numId w:val="16"/>
        </w:numPr>
        <w:rPr>
          <w:lang w:val="en-US"/>
        </w:rPr>
      </w:pPr>
      <w:r w:rsidRPr="000B6644">
        <w:rPr>
          <w:lang w:val="en-US"/>
        </w:rPr>
        <w:t xml:space="preserve">develop skills and </w:t>
      </w:r>
      <w:proofErr w:type="spellStart"/>
      <w:r w:rsidRPr="000B6644">
        <w:rPr>
          <w:lang w:val="en-US"/>
        </w:rPr>
        <w:t>behaviours</w:t>
      </w:r>
      <w:proofErr w:type="spellEnd"/>
      <w:r w:rsidRPr="000B6644">
        <w:rPr>
          <w:lang w:val="en-US"/>
        </w:rPr>
        <w:t xml:space="preserve"> such as being assertive and resilient, and the ability to make decisions and seek help.</w:t>
      </w:r>
      <w:r w:rsidR="00445497">
        <w:rPr>
          <w:lang w:val="en-US"/>
        </w:rPr>
        <w:t xml:space="preserve"> </w:t>
      </w:r>
    </w:p>
    <w:p w14:paraId="38156B80" w14:textId="7990CFE5" w:rsidR="00F506EF" w:rsidRPr="00BE3144" w:rsidRDefault="00F506EF">
      <w:pPr>
        <w:pStyle w:val="Heading1"/>
        <w:rPr>
          <w:lang w:val="en-US"/>
        </w:rPr>
      </w:pPr>
      <w:r w:rsidRPr="00BE3144">
        <w:rPr>
          <w:lang w:val="en-US"/>
        </w:rPr>
        <w:t>Australian Curriculum</w:t>
      </w:r>
    </w:p>
    <w:p w14:paraId="28C9E1A5" w14:textId="3542CE43" w:rsidR="00F506EF" w:rsidRPr="00680466" w:rsidRDefault="00F506EF" w:rsidP="00680466">
      <w:r w:rsidRPr="00680466">
        <w:t xml:space="preserve">The Australian Curriculum addresses the concepts outlined in the guidelines through the </w:t>
      </w:r>
      <w:r w:rsidR="007B38C2" w:rsidRPr="00680466">
        <w:rPr>
          <w:rFonts w:asciiTheme="minorHAnsi" w:hAnsiTheme="minorHAnsi"/>
        </w:rPr>
        <w:t xml:space="preserve">Health and </w:t>
      </w:r>
      <w:r w:rsidR="007B38C2" w:rsidRPr="00680466">
        <w:t>p</w:t>
      </w:r>
      <w:r w:rsidR="007B38C2" w:rsidRPr="00680466">
        <w:rPr>
          <w:rFonts w:asciiTheme="minorHAnsi" w:hAnsiTheme="minorHAnsi"/>
        </w:rPr>
        <w:t xml:space="preserve">hysical </w:t>
      </w:r>
      <w:r w:rsidR="007B38C2" w:rsidRPr="00680466">
        <w:t>e</w:t>
      </w:r>
      <w:r w:rsidR="007B38C2" w:rsidRPr="00680466">
        <w:rPr>
          <w:rFonts w:asciiTheme="minorHAnsi" w:hAnsiTheme="minorHAnsi"/>
        </w:rPr>
        <w:t>ducation</w:t>
      </w:r>
      <w:r w:rsidRPr="00680466">
        <w:t xml:space="preserve"> learning area and the </w:t>
      </w:r>
      <w:r w:rsidR="007B38C2" w:rsidRPr="00680466">
        <w:rPr>
          <w:rFonts w:asciiTheme="minorHAnsi" w:hAnsiTheme="minorHAnsi"/>
        </w:rPr>
        <w:t xml:space="preserve">General </w:t>
      </w:r>
      <w:r w:rsidR="007B38C2" w:rsidRPr="00680466">
        <w:t>c</w:t>
      </w:r>
      <w:r w:rsidR="007B38C2" w:rsidRPr="00680466">
        <w:rPr>
          <w:rFonts w:asciiTheme="minorHAnsi" w:hAnsiTheme="minorHAnsi"/>
        </w:rPr>
        <w:t>apabilities</w:t>
      </w:r>
      <w:r w:rsidR="00BF5AF8">
        <w:rPr>
          <w:rFonts w:asciiTheme="minorHAnsi" w:hAnsiTheme="minorHAnsi"/>
        </w:rPr>
        <w:t xml:space="preserve"> area</w:t>
      </w:r>
      <w:r w:rsidRPr="00680466">
        <w:t xml:space="preserve">. Schools are responsible for identifying priority curriculum areas for their community, and teachers are responsible for developing health programs accordingly. </w:t>
      </w:r>
    </w:p>
    <w:p w14:paraId="43FABA98" w14:textId="471249A2" w:rsidR="00AE38D6" w:rsidRDefault="00F506EF" w:rsidP="00BE3144">
      <w:pPr>
        <w:rPr>
          <w:spacing w:val="10"/>
        </w:rPr>
      </w:pPr>
      <w:r w:rsidRPr="00680466">
        <w:t xml:space="preserve">The Health and </w:t>
      </w:r>
      <w:r w:rsidR="003173EB">
        <w:t>p</w:t>
      </w:r>
      <w:r w:rsidRPr="00680466">
        <w:t xml:space="preserve">hysical </w:t>
      </w:r>
      <w:r w:rsidR="003173EB">
        <w:t>e</w:t>
      </w:r>
      <w:r w:rsidRPr="00680466">
        <w:t xml:space="preserve">ducation curriculum </w:t>
      </w:r>
      <w:proofErr w:type="gramStart"/>
      <w:r w:rsidRPr="00680466">
        <w:t>has</w:t>
      </w:r>
      <w:proofErr w:type="gramEnd"/>
      <w:r w:rsidRPr="00680466">
        <w:t xml:space="preserve"> twelve focus areas that must be addressed through various stages of schooling. One focus area is dedicated to alcohol and other drugs and addresses a range of drugs, including prescription drugs, alternative medicine, caffeine, tobacco, alcohol, illegal drugs and performance-enhancing</w:t>
      </w:r>
      <w:r w:rsidRPr="00680466">
        <w:rPr>
          <w:spacing w:val="10"/>
        </w:rPr>
        <w:t xml:space="preserve"> </w:t>
      </w:r>
      <w:r w:rsidRPr="00680466">
        <w:t>drugs.</w:t>
      </w:r>
    </w:p>
    <w:p w14:paraId="24E7E8E4" w14:textId="10759309" w:rsidR="00F506EF" w:rsidRPr="00680466" w:rsidRDefault="00F506EF" w:rsidP="00680466">
      <w:r w:rsidRPr="00680466">
        <w:lastRenderedPageBreak/>
        <w:t>The</w:t>
      </w:r>
      <w:r w:rsidRPr="00680466">
        <w:rPr>
          <w:spacing w:val="10"/>
        </w:rPr>
        <w:t xml:space="preserve"> </w:t>
      </w:r>
      <w:r w:rsidR="000B6644">
        <w:rPr>
          <w:rFonts w:asciiTheme="minorHAnsi" w:hAnsiTheme="minorHAnsi"/>
          <w:spacing w:val="10"/>
        </w:rPr>
        <w:t>a</w:t>
      </w:r>
      <w:r w:rsidR="000B6644" w:rsidRPr="00680466">
        <w:t>lcohol and other drugs</w:t>
      </w:r>
      <w:r w:rsidRPr="00680466">
        <w:t xml:space="preserve"> focus area</w:t>
      </w:r>
      <w:r w:rsidRPr="00680466">
        <w:rPr>
          <w:spacing w:val="10"/>
        </w:rPr>
        <w:t xml:space="preserve"> </w:t>
      </w:r>
      <w:r w:rsidRPr="00680466">
        <w:t>supports</w:t>
      </w:r>
      <w:r w:rsidRPr="00680466">
        <w:rPr>
          <w:spacing w:val="10"/>
        </w:rPr>
        <w:t xml:space="preserve"> </w:t>
      </w:r>
      <w:r w:rsidRPr="00680466">
        <w:t>students</w:t>
      </w:r>
      <w:r w:rsidRPr="00680466">
        <w:rPr>
          <w:spacing w:val="10"/>
        </w:rPr>
        <w:t xml:space="preserve"> </w:t>
      </w:r>
      <w:r w:rsidRPr="00680466">
        <w:t>to</w:t>
      </w:r>
      <w:r w:rsidRPr="00680466">
        <w:rPr>
          <w:spacing w:val="10"/>
        </w:rPr>
        <w:t xml:space="preserve"> </w:t>
      </w:r>
      <w:r w:rsidRPr="00680466">
        <w:t>explore</w:t>
      </w:r>
      <w:r w:rsidRPr="00680466">
        <w:rPr>
          <w:spacing w:val="10"/>
        </w:rPr>
        <w:t xml:space="preserve"> </w:t>
      </w:r>
      <w:r w:rsidRPr="00680466">
        <w:t>the</w:t>
      </w:r>
      <w:r w:rsidRPr="00680466">
        <w:rPr>
          <w:spacing w:val="10"/>
        </w:rPr>
        <w:t xml:space="preserve"> </w:t>
      </w:r>
      <w:r w:rsidRPr="00680466">
        <w:t>impact</w:t>
      </w:r>
      <w:r w:rsidRPr="00680466">
        <w:rPr>
          <w:spacing w:val="10"/>
        </w:rPr>
        <w:t xml:space="preserve"> </w:t>
      </w:r>
      <w:r w:rsidRPr="00680466">
        <w:t>drugs</w:t>
      </w:r>
      <w:r w:rsidRPr="00680466">
        <w:rPr>
          <w:spacing w:val="10"/>
        </w:rPr>
        <w:t xml:space="preserve"> </w:t>
      </w:r>
      <w:r w:rsidRPr="00680466">
        <w:t>can</w:t>
      </w:r>
      <w:r w:rsidRPr="00680466">
        <w:rPr>
          <w:spacing w:val="10"/>
        </w:rPr>
        <w:t xml:space="preserve"> </w:t>
      </w:r>
      <w:r w:rsidRPr="00680466">
        <w:t>have</w:t>
      </w:r>
      <w:r w:rsidRPr="00680466">
        <w:rPr>
          <w:spacing w:val="10"/>
        </w:rPr>
        <w:t xml:space="preserve"> </w:t>
      </w:r>
      <w:r w:rsidRPr="00680466">
        <w:t>on</w:t>
      </w:r>
      <w:r w:rsidRPr="00680466">
        <w:rPr>
          <w:spacing w:val="10"/>
        </w:rPr>
        <w:t xml:space="preserve"> </w:t>
      </w:r>
      <w:r w:rsidRPr="00680466">
        <w:t>individuals,</w:t>
      </w:r>
      <w:r w:rsidRPr="00680466">
        <w:rPr>
          <w:spacing w:val="10"/>
        </w:rPr>
        <w:t xml:space="preserve"> </w:t>
      </w:r>
      <w:r w:rsidRPr="00680466">
        <w:t>families</w:t>
      </w:r>
      <w:r w:rsidRPr="00680466">
        <w:rPr>
          <w:spacing w:val="10"/>
        </w:rPr>
        <w:t xml:space="preserve"> </w:t>
      </w:r>
      <w:r w:rsidRPr="00680466">
        <w:t>and</w:t>
      </w:r>
      <w:r w:rsidRPr="00680466">
        <w:rPr>
          <w:spacing w:val="10"/>
        </w:rPr>
        <w:t xml:space="preserve"> </w:t>
      </w:r>
      <w:r w:rsidRPr="00680466">
        <w:t>communities. It</w:t>
      </w:r>
      <w:r w:rsidRPr="00680466">
        <w:rPr>
          <w:spacing w:val="7"/>
        </w:rPr>
        <w:t xml:space="preserve"> </w:t>
      </w:r>
      <w:r w:rsidRPr="00680466">
        <w:t>is</w:t>
      </w:r>
      <w:r w:rsidRPr="00680466">
        <w:rPr>
          <w:spacing w:val="7"/>
        </w:rPr>
        <w:t xml:space="preserve"> </w:t>
      </w:r>
      <w:r w:rsidRPr="00680466">
        <w:t>expected</w:t>
      </w:r>
      <w:r w:rsidRPr="00680466">
        <w:rPr>
          <w:spacing w:val="7"/>
        </w:rPr>
        <w:t xml:space="preserve"> </w:t>
      </w:r>
      <w:r w:rsidRPr="00680466">
        <w:t>that</w:t>
      </w:r>
      <w:r w:rsidRPr="00680466">
        <w:rPr>
          <w:spacing w:val="7"/>
        </w:rPr>
        <w:t xml:space="preserve"> </w:t>
      </w:r>
      <w:r w:rsidRPr="00680466">
        <w:t>all</w:t>
      </w:r>
      <w:r w:rsidRPr="00680466">
        <w:rPr>
          <w:spacing w:val="7"/>
        </w:rPr>
        <w:t xml:space="preserve"> </w:t>
      </w:r>
      <w:r w:rsidRPr="00680466">
        <w:t>students</w:t>
      </w:r>
      <w:r w:rsidRPr="00680466">
        <w:rPr>
          <w:spacing w:val="7"/>
        </w:rPr>
        <w:t xml:space="preserve"> </w:t>
      </w:r>
      <w:r w:rsidRPr="00680466">
        <w:t>at</w:t>
      </w:r>
      <w:r w:rsidRPr="00680466">
        <w:rPr>
          <w:spacing w:val="7"/>
        </w:rPr>
        <w:t xml:space="preserve"> </w:t>
      </w:r>
      <w:r w:rsidRPr="00680466">
        <w:t>appropriate</w:t>
      </w:r>
      <w:r w:rsidRPr="00680466">
        <w:rPr>
          <w:spacing w:val="7"/>
        </w:rPr>
        <w:t xml:space="preserve"> </w:t>
      </w:r>
      <w:r w:rsidRPr="00680466">
        <w:t>intervals</w:t>
      </w:r>
      <w:r w:rsidRPr="00680466">
        <w:rPr>
          <w:spacing w:val="7"/>
        </w:rPr>
        <w:t xml:space="preserve"> </w:t>
      </w:r>
      <w:r w:rsidRPr="00680466">
        <w:t>across</w:t>
      </w:r>
      <w:r w:rsidRPr="00680466">
        <w:rPr>
          <w:spacing w:val="7"/>
        </w:rPr>
        <w:t xml:space="preserve"> </w:t>
      </w:r>
      <w:r w:rsidRPr="00680466">
        <w:t>the</w:t>
      </w:r>
      <w:r w:rsidRPr="00680466">
        <w:rPr>
          <w:spacing w:val="7"/>
        </w:rPr>
        <w:t xml:space="preserve"> </w:t>
      </w:r>
      <w:r w:rsidRPr="00680466">
        <w:t>continuum</w:t>
      </w:r>
      <w:r w:rsidRPr="00680466">
        <w:rPr>
          <w:spacing w:val="7"/>
        </w:rPr>
        <w:t xml:space="preserve"> </w:t>
      </w:r>
      <w:r w:rsidRPr="00680466">
        <w:t>of</w:t>
      </w:r>
      <w:r w:rsidRPr="00680466">
        <w:rPr>
          <w:spacing w:val="7"/>
        </w:rPr>
        <w:t xml:space="preserve"> </w:t>
      </w:r>
      <w:r w:rsidRPr="00680466">
        <w:t>learning</w:t>
      </w:r>
      <w:r w:rsidRPr="00680466">
        <w:rPr>
          <w:spacing w:val="7"/>
        </w:rPr>
        <w:t xml:space="preserve"> </w:t>
      </w:r>
      <w:r w:rsidRPr="00680466">
        <w:t>from</w:t>
      </w:r>
      <w:r w:rsidRPr="00680466">
        <w:rPr>
          <w:spacing w:val="7"/>
        </w:rPr>
        <w:t xml:space="preserve"> </w:t>
      </w:r>
      <w:r w:rsidR="000B6644">
        <w:t>t</w:t>
      </w:r>
      <w:r w:rsidRPr="00680466">
        <w:t>ransition</w:t>
      </w:r>
      <w:r w:rsidRPr="00680466">
        <w:rPr>
          <w:spacing w:val="7"/>
        </w:rPr>
        <w:t xml:space="preserve"> </w:t>
      </w:r>
      <w:r w:rsidRPr="00680466">
        <w:t>to</w:t>
      </w:r>
      <w:r w:rsidRPr="00680466">
        <w:rPr>
          <w:spacing w:val="7"/>
        </w:rPr>
        <w:t xml:space="preserve"> </w:t>
      </w:r>
      <w:r w:rsidR="000B6644">
        <w:rPr>
          <w:spacing w:val="-6"/>
        </w:rPr>
        <w:t>y</w:t>
      </w:r>
      <w:r w:rsidRPr="00680466">
        <w:rPr>
          <w:spacing w:val="-6"/>
        </w:rPr>
        <w:t>ear</w:t>
      </w:r>
      <w:r w:rsidRPr="00680466">
        <w:rPr>
          <w:spacing w:val="7"/>
        </w:rPr>
        <w:t xml:space="preserve"> </w:t>
      </w:r>
      <w:r w:rsidRPr="00680466">
        <w:t>10</w:t>
      </w:r>
      <w:r w:rsidRPr="00680466">
        <w:rPr>
          <w:spacing w:val="7"/>
        </w:rPr>
        <w:t xml:space="preserve"> </w:t>
      </w:r>
      <w:r w:rsidRPr="00680466">
        <w:t>will</w:t>
      </w:r>
      <w:r w:rsidRPr="00680466">
        <w:rPr>
          <w:spacing w:val="7"/>
        </w:rPr>
        <w:t xml:space="preserve"> </w:t>
      </w:r>
      <w:r w:rsidRPr="00680466">
        <w:t>learn</w:t>
      </w:r>
      <w:r w:rsidRPr="00680466">
        <w:rPr>
          <w:spacing w:val="7"/>
        </w:rPr>
        <w:t xml:space="preserve"> </w:t>
      </w:r>
      <w:r w:rsidRPr="00680466">
        <w:t>about</w:t>
      </w:r>
      <w:r w:rsidRPr="00680466">
        <w:rPr>
          <w:spacing w:val="7"/>
        </w:rPr>
        <w:t xml:space="preserve"> </w:t>
      </w:r>
      <w:r w:rsidRPr="00680466">
        <w:t>the</w:t>
      </w:r>
      <w:r w:rsidRPr="00680466">
        <w:rPr>
          <w:spacing w:val="7"/>
        </w:rPr>
        <w:t xml:space="preserve"> </w:t>
      </w:r>
      <w:r w:rsidRPr="00680466">
        <w:t>following:</w:t>
      </w:r>
    </w:p>
    <w:p w14:paraId="6FDE3DAE" w14:textId="09966F07" w:rsidR="00F506EF" w:rsidRPr="00680466" w:rsidRDefault="00F506EF" w:rsidP="00680466">
      <w:pPr>
        <w:pStyle w:val="ListParagraph"/>
        <w:numPr>
          <w:ilvl w:val="0"/>
          <w:numId w:val="18"/>
        </w:numPr>
        <w:rPr>
          <w:lang w:val="en-US"/>
        </w:rPr>
      </w:pPr>
      <w:r w:rsidRPr="00680466">
        <w:rPr>
          <w:lang w:val="en-US"/>
        </w:rPr>
        <w:t>safe use of medicines</w:t>
      </w:r>
    </w:p>
    <w:p w14:paraId="3BF127A9" w14:textId="6B2E2034" w:rsidR="00F506EF" w:rsidRPr="00680466" w:rsidRDefault="00F506EF" w:rsidP="00680466">
      <w:pPr>
        <w:pStyle w:val="ListParagraph"/>
        <w:numPr>
          <w:ilvl w:val="0"/>
          <w:numId w:val="18"/>
        </w:numPr>
        <w:rPr>
          <w:lang w:val="en-US"/>
        </w:rPr>
      </w:pPr>
      <w:r w:rsidRPr="00680466">
        <w:rPr>
          <w:lang w:val="en-US"/>
        </w:rPr>
        <w:t>alternatives to taking medicines</w:t>
      </w:r>
    </w:p>
    <w:p w14:paraId="2D8B4427" w14:textId="1A8B6621" w:rsidR="00F506EF" w:rsidRPr="00680466" w:rsidRDefault="00F506EF" w:rsidP="00680466">
      <w:pPr>
        <w:pStyle w:val="ListParagraph"/>
        <w:numPr>
          <w:ilvl w:val="0"/>
          <w:numId w:val="18"/>
        </w:numPr>
        <w:rPr>
          <w:lang w:val="en-US"/>
        </w:rPr>
      </w:pPr>
      <w:r w:rsidRPr="00680466">
        <w:rPr>
          <w:lang w:val="en-US"/>
        </w:rPr>
        <w:t>the effects of drugs on the body</w:t>
      </w:r>
      <w:r w:rsidR="00445497">
        <w:rPr>
          <w:lang w:val="en-US"/>
        </w:rPr>
        <w:t>,</w:t>
      </w:r>
      <w:r w:rsidRPr="00680466">
        <w:rPr>
          <w:lang w:val="en-US"/>
        </w:rPr>
        <w:t xml:space="preserve"> including energy drinks and caffeine</w:t>
      </w:r>
    </w:p>
    <w:p w14:paraId="52C26A21" w14:textId="70D9BD80" w:rsidR="00F506EF" w:rsidRPr="00680466" w:rsidRDefault="00F506EF" w:rsidP="00680466">
      <w:pPr>
        <w:pStyle w:val="ListParagraph"/>
        <w:numPr>
          <w:ilvl w:val="0"/>
          <w:numId w:val="18"/>
        </w:numPr>
        <w:rPr>
          <w:lang w:val="en-US"/>
        </w:rPr>
      </w:pPr>
      <w:r w:rsidRPr="00680466">
        <w:rPr>
          <w:lang w:val="en-US"/>
        </w:rPr>
        <w:t>factors that influence the use of different types of drugs</w:t>
      </w:r>
    </w:p>
    <w:p w14:paraId="076E454A" w14:textId="6C47DC92" w:rsidR="00F506EF" w:rsidRPr="00680466" w:rsidRDefault="00F506EF" w:rsidP="00680466">
      <w:pPr>
        <w:pStyle w:val="ListParagraph"/>
        <w:numPr>
          <w:ilvl w:val="0"/>
          <w:numId w:val="18"/>
        </w:numPr>
        <w:rPr>
          <w:lang w:val="en-US"/>
        </w:rPr>
      </w:pPr>
      <w:r w:rsidRPr="00680466">
        <w:rPr>
          <w:lang w:val="en-US"/>
        </w:rPr>
        <w:t>the impacts of drug use on individuals and communities</w:t>
      </w:r>
    </w:p>
    <w:p w14:paraId="2C64DE6F" w14:textId="23D84F2B" w:rsidR="00F506EF" w:rsidRPr="00680466" w:rsidRDefault="00F506EF" w:rsidP="00680466">
      <w:pPr>
        <w:pStyle w:val="ListParagraph"/>
        <w:numPr>
          <w:ilvl w:val="0"/>
          <w:numId w:val="18"/>
        </w:numPr>
        <w:ind w:left="714" w:hanging="357"/>
        <w:rPr>
          <w:rFonts w:eastAsia="Times New Roman"/>
          <w:color w:val="1F1F5F"/>
          <w:kern w:val="32"/>
          <w:lang w:val="en-US"/>
        </w:rPr>
      </w:pPr>
      <w:r w:rsidRPr="00680466">
        <w:rPr>
          <w:rFonts w:eastAsia="Arial"/>
          <w:lang w:val="en-US"/>
        </w:rPr>
        <w:t xml:space="preserve">making informed decisions about drugs </w:t>
      </w:r>
      <w:r w:rsidR="00445497">
        <w:rPr>
          <w:rFonts w:eastAsia="Arial"/>
          <w:lang w:val="en-US"/>
        </w:rPr>
        <w:t xml:space="preserve">– </w:t>
      </w:r>
      <w:r w:rsidRPr="00680466">
        <w:rPr>
          <w:rFonts w:eastAsia="Arial"/>
          <w:lang w:val="en-US"/>
        </w:rPr>
        <w:t xml:space="preserve">assertive </w:t>
      </w:r>
      <w:proofErr w:type="spellStart"/>
      <w:r w:rsidRPr="00680466">
        <w:rPr>
          <w:rFonts w:eastAsia="Arial"/>
          <w:lang w:val="en-US"/>
        </w:rPr>
        <w:t>behaviour</w:t>
      </w:r>
      <w:proofErr w:type="spellEnd"/>
      <w:r w:rsidRPr="00680466">
        <w:rPr>
          <w:rFonts w:eastAsia="Arial"/>
          <w:lang w:val="en-US"/>
        </w:rPr>
        <w:t xml:space="preserve">, peer influence, harm </w:t>
      </w:r>
      <w:proofErr w:type="spellStart"/>
      <w:r w:rsidRPr="00680466">
        <w:rPr>
          <w:rFonts w:eastAsia="Arial"/>
          <w:lang w:val="en-US"/>
        </w:rPr>
        <w:t>minimisation</w:t>
      </w:r>
      <w:proofErr w:type="spellEnd"/>
      <w:r w:rsidRPr="00680466">
        <w:rPr>
          <w:rFonts w:eastAsia="Arial"/>
          <w:lang w:val="en-US"/>
        </w:rPr>
        <w:t>, awareness of blood-borne viruses.</w:t>
      </w:r>
    </w:p>
    <w:p w14:paraId="4A144448" w14:textId="3C61ED87" w:rsidR="00794A86" w:rsidRPr="00BE3144" w:rsidRDefault="00794A86">
      <w:pPr>
        <w:pStyle w:val="Heading1"/>
        <w:rPr>
          <w:lang w:val="en-US"/>
        </w:rPr>
      </w:pPr>
      <w:r w:rsidRPr="00BE3144">
        <w:rPr>
          <w:lang w:val="en-US"/>
        </w:rPr>
        <w:t>Roles and responsibilities</w:t>
      </w:r>
    </w:p>
    <w:p w14:paraId="2D7B494E" w14:textId="50C68E67" w:rsidR="00AE38D6" w:rsidRDefault="00AE38D6" w:rsidP="00680466">
      <w:pPr>
        <w:pStyle w:val="Heading2"/>
        <w:rPr>
          <w:lang w:val="en-US"/>
        </w:rPr>
      </w:pPr>
      <w:r>
        <w:rPr>
          <w:lang w:val="en-US"/>
        </w:rPr>
        <w:t>Principals</w:t>
      </w:r>
    </w:p>
    <w:p w14:paraId="50DF25E5" w14:textId="5B06C332" w:rsidR="00794A86" w:rsidRPr="00680466" w:rsidRDefault="00794A86" w:rsidP="00680466">
      <w:pPr>
        <w:rPr>
          <w:lang w:val="en-US"/>
        </w:rPr>
      </w:pPr>
      <w:r w:rsidRPr="00680466">
        <w:rPr>
          <w:lang w:val="en-US"/>
        </w:rPr>
        <w:t>Principals are responsible for:</w:t>
      </w:r>
    </w:p>
    <w:p w14:paraId="1BBDA147" w14:textId="77777777" w:rsidR="00794A86" w:rsidRPr="00680466" w:rsidRDefault="00794A86" w:rsidP="00680466">
      <w:pPr>
        <w:pStyle w:val="ListParagraph"/>
        <w:numPr>
          <w:ilvl w:val="0"/>
          <w:numId w:val="19"/>
        </w:numPr>
        <w:rPr>
          <w:lang w:val="en-US"/>
        </w:rPr>
      </w:pPr>
      <w:r w:rsidRPr="00680466">
        <w:rPr>
          <w:lang w:val="en-US"/>
        </w:rPr>
        <w:t>ensuring staff are aware of these guidelines</w:t>
      </w:r>
    </w:p>
    <w:p w14:paraId="54E0E786" w14:textId="6582FA3B" w:rsidR="00794A86" w:rsidRPr="00680466" w:rsidRDefault="00794A86" w:rsidP="00680466">
      <w:pPr>
        <w:pStyle w:val="ListParagraph"/>
        <w:numPr>
          <w:ilvl w:val="0"/>
          <w:numId w:val="19"/>
        </w:numPr>
      </w:pPr>
      <w:r w:rsidRPr="00680466">
        <w:t xml:space="preserve">ensuring the school delivers a </w:t>
      </w:r>
      <w:r w:rsidR="00445497">
        <w:t>h</w:t>
      </w:r>
      <w:r w:rsidRPr="00680466">
        <w:t xml:space="preserve">ealth </w:t>
      </w:r>
      <w:r w:rsidR="00445497">
        <w:t>e</w:t>
      </w:r>
      <w:r w:rsidRPr="00680466">
        <w:t>ducation program that includes sequential and contextually relevant drug education</w:t>
      </w:r>
    </w:p>
    <w:p w14:paraId="531EEB80" w14:textId="197865A5" w:rsidR="00794A86" w:rsidRDefault="00794A86" w:rsidP="00AE38D6">
      <w:pPr>
        <w:pStyle w:val="ListParagraph"/>
        <w:numPr>
          <w:ilvl w:val="0"/>
          <w:numId w:val="19"/>
        </w:numPr>
        <w:rPr>
          <w:lang w:val="en-US"/>
        </w:rPr>
      </w:pPr>
      <w:r w:rsidRPr="00680466">
        <w:rPr>
          <w:lang w:val="en-US"/>
        </w:rPr>
        <w:t xml:space="preserve">ensuring that any externally provided drug education programs are negotiated using the </w:t>
      </w:r>
      <w:r w:rsidR="000B6644" w:rsidRPr="00680466">
        <w:rPr>
          <w:rFonts w:asciiTheme="minorHAnsi" w:hAnsiTheme="minorHAnsi"/>
        </w:rPr>
        <w:t xml:space="preserve">External </w:t>
      </w:r>
      <w:r w:rsidR="000B6644">
        <w:rPr>
          <w:rFonts w:asciiTheme="minorHAnsi" w:hAnsiTheme="minorHAnsi" w:cs="Arial"/>
          <w:lang w:val="en-US"/>
        </w:rPr>
        <w:t>p</w:t>
      </w:r>
      <w:proofErr w:type="spellStart"/>
      <w:r w:rsidR="000B6644" w:rsidRPr="00680466">
        <w:rPr>
          <w:rFonts w:asciiTheme="minorHAnsi" w:hAnsiTheme="minorHAnsi"/>
        </w:rPr>
        <w:t>roviders</w:t>
      </w:r>
      <w:proofErr w:type="spellEnd"/>
      <w:r w:rsidR="000B6644" w:rsidRPr="00680466">
        <w:rPr>
          <w:rFonts w:asciiTheme="minorHAnsi" w:hAnsiTheme="minorHAnsi"/>
        </w:rPr>
        <w:t xml:space="preserve"> </w:t>
      </w:r>
      <w:r w:rsidR="000B6644">
        <w:rPr>
          <w:rFonts w:asciiTheme="minorHAnsi" w:hAnsiTheme="minorHAnsi" w:cs="Arial"/>
          <w:lang w:val="en-US"/>
        </w:rPr>
        <w:t>e</w:t>
      </w:r>
      <w:proofErr w:type="spellStart"/>
      <w:r w:rsidR="000B6644" w:rsidRPr="00680466">
        <w:rPr>
          <w:rFonts w:asciiTheme="minorHAnsi" w:hAnsiTheme="minorHAnsi"/>
        </w:rPr>
        <w:t>ngaged</w:t>
      </w:r>
      <w:proofErr w:type="spellEnd"/>
      <w:r w:rsidR="000B6644" w:rsidRPr="00680466">
        <w:rPr>
          <w:rFonts w:asciiTheme="minorHAnsi" w:hAnsiTheme="minorHAnsi"/>
        </w:rPr>
        <w:t xml:space="preserve"> for </w:t>
      </w:r>
      <w:r w:rsidR="000B6644">
        <w:rPr>
          <w:rFonts w:asciiTheme="minorHAnsi" w:hAnsiTheme="minorHAnsi" w:cs="Arial"/>
          <w:lang w:val="en-US"/>
        </w:rPr>
        <w:t>t</w:t>
      </w:r>
      <w:proofErr w:type="spellStart"/>
      <w:r w:rsidR="000B6644" w:rsidRPr="00680466">
        <w:rPr>
          <w:rFonts w:asciiTheme="minorHAnsi" w:hAnsiTheme="minorHAnsi"/>
        </w:rPr>
        <w:t>eaching</w:t>
      </w:r>
      <w:proofErr w:type="spellEnd"/>
      <w:r w:rsidR="000B6644" w:rsidRPr="00680466">
        <w:rPr>
          <w:rFonts w:asciiTheme="minorHAnsi" w:hAnsiTheme="minorHAnsi"/>
        </w:rPr>
        <w:t xml:space="preserve"> and </w:t>
      </w:r>
      <w:r w:rsidR="000B6644">
        <w:rPr>
          <w:rFonts w:asciiTheme="minorHAnsi" w:hAnsiTheme="minorHAnsi" w:cs="Arial"/>
          <w:lang w:val="en-US"/>
        </w:rPr>
        <w:t>l</w:t>
      </w:r>
      <w:r w:rsidR="000B6644" w:rsidRPr="00680466">
        <w:rPr>
          <w:rFonts w:asciiTheme="minorHAnsi" w:hAnsiTheme="minorHAnsi"/>
        </w:rPr>
        <w:t xml:space="preserve">earning </w:t>
      </w:r>
      <w:r w:rsidR="000B6644">
        <w:rPr>
          <w:rFonts w:asciiTheme="minorHAnsi" w:hAnsiTheme="minorHAnsi" w:cs="Arial"/>
          <w:lang w:val="en-US"/>
        </w:rPr>
        <w:t>g</w:t>
      </w:r>
      <w:proofErr w:type="spellStart"/>
      <w:r w:rsidR="000B6644" w:rsidRPr="00680466">
        <w:rPr>
          <w:rFonts w:asciiTheme="minorHAnsi" w:hAnsiTheme="minorHAnsi"/>
        </w:rPr>
        <w:t>uidelines</w:t>
      </w:r>
      <w:proofErr w:type="spellEnd"/>
      <w:r w:rsidRPr="00680466">
        <w:rPr>
          <w:color w:val="2731F9"/>
          <w:lang w:val="en-US"/>
        </w:rPr>
        <w:t xml:space="preserve"> </w:t>
      </w:r>
      <w:r w:rsidRPr="00680466">
        <w:rPr>
          <w:lang w:val="en-US"/>
        </w:rPr>
        <w:t xml:space="preserve">and align with the </w:t>
      </w:r>
      <w:r w:rsidR="000B6644" w:rsidRPr="00680466">
        <w:rPr>
          <w:rFonts w:asciiTheme="minorHAnsi" w:hAnsiTheme="minorHAnsi"/>
        </w:rPr>
        <w:t>Australian Curriculum</w:t>
      </w:r>
      <w:r w:rsidRPr="00680466">
        <w:rPr>
          <w:lang w:val="en-US"/>
        </w:rPr>
        <w:t>.</w:t>
      </w:r>
    </w:p>
    <w:p w14:paraId="5C499ABD" w14:textId="05AD4115" w:rsidR="00AE38D6" w:rsidRPr="00680466" w:rsidRDefault="00AE38D6" w:rsidP="00680466">
      <w:pPr>
        <w:pStyle w:val="Heading2"/>
        <w:rPr>
          <w:lang w:val="en-US"/>
        </w:rPr>
      </w:pPr>
      <w:r>
        <w:rPr>
          <w:lang w:val="en-US"/>
        </w:rPr>
        <w:t>Teachers</w:t>
      </w:r>
    </w:p>
    <w:p w14:paraId="24E2CD10" w14:textId="3AE01F77" w:rsidR="00794A86" w:rsidRPr="00680466" w:rsidRDefault="00794A86" w:rsidP="00680466">
      <w:pPr>
        <w:rPr>
          <w:lang w:val="en-US"/>
        </w:rPr>
      </w:pPr>
      <w:r w:rsidRPr="00680466">
        <w:rPr>
          <w:lang w:val="en-US"/>
        </w:rPr>
        <w:t>Teachers are responsible for:</w:t>
      </w:r>
    </w:p>
    <w:p w14:paraId="2BE193DD" w14:textId="4323FEBC" w:rsidR="00794A86" w:rsidRPr="00680466" w:rsidRDefault="00794A86" w:rsidP="00680466">
      <w:pPr>
        <w:pStyle w:val="ListParagraph"/>
        <w:numPr>
          <w:ilvl w:val="0"/>
          <w:numId w:val="20"/>
        </w:numPr>
        <w:rPr>
          <w:rFonts w:eastAsia="Calibri"/>
          <w:lang w:val="en-US"/>
        </w:rPr>
      </w:pPr>
      <w:r w:rsidRPr="00680466">
        <w:rPr>
          <w:rFonts w:eastAsia="Calibri"/>
          <w:lang w:val="en-US"/>
        </w:rPr>
        <w:t>ensuring drug education programs align with the Australian Curriculum, department policy and guidelines, and legislative requirements</w:t>
      </w:r>
    </w:p>
    <w:p w14:paraId="07F24FD8" w14:textId="56F0385B" w:rsidR="00794A86" w:rsidRPr="00680466" w:rsidRDefault="00794A86" w:rsidP="00680466">
      <w:pPr>
        <w:pStyle w:val="ListParagraph"/>
        <w:numPr>
          <w:ilvl w:val="0"/>
          <w:numId w:val="20"/>
        </w:numPr>
        <w:rPr>
          <w:rFonts w:eastAsia="Calibri"/>
          <w:lang w:val="en-US"/>
        </w:rPr>
      </w:pPr>
      <w:r w:rsidRPr="00680466">
        <w:rPr>
          <w:rFonts w:eastAsia="Calibri"/>
          <w:lang w:val="en-US"/>
        </w:rPr>
        <w:t>ensuring drug education programs are appropriate for developmental age and stage and meet student and community needs.</w:t>
      </w:r>
    </w:p>
    <w:p w14:paraId="34DF1751" w14:textId="77777777" w:rsidR="00AE38D6" w:rsidRPr="004D1B0D" w:rsidRDefault="00AE38D6" w:rsidP="00AE38D6">
      <w:pPr>
        <w:pStyle w:val="Heading1"/>
        <w:rPr>
          <w:lang w:val="en-US"/>
        </w:rPr>
      </w:pPr>
      <w:r w:rsidRPr="00BE3144">
        <w:rPr>
          <w:lang w:val="en-US"/>
        </w:rPr>
        <w:t>D</w:t>
      </w:r>
      <w:r w:rsidRPr="004D1B0D">
        <w:rPr>
          <w:lang w:val="en-US"/>
        </w:rPr>
        <w:t>efinitions</w:t>
      </w:r>
    </w:p>
    <w:tbl>
      <w:tblPr>
        <w:tblStyle w:val="NTGtable1"/>
        <w:tblW w:w="0" w:type="auto"/>
        <w:tblInd w:w="-5" w:type="dxa"/>
        <w:tblLook w:val="04A0" w:firstRow="1" w:lastRow="0" w:firstColumn="1" w:lastColumn="0" w:noHBand="0" w:noVBand="1"/>
      </w:tblPr>
      <w:tblGrid>
        <w:gridCol w:w="2018"/>
        <w:gridCol w:w="8295"/>
      </w:tblGrid>
      <w:tr w:rsidR="00AE38D6" w:rsidRPr="004D1B0D" w14:paraId="56274518" w14:textId="77777777" w:rsidTr="004D1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14:paraId="6D8E448E" w14:textId="77777777" w:rsidR="00AE38D6" w:rsidRPr="004D1B0D" w:rsidRDefault="00AE38D6" w:rsidP="004D1B0D">
            <w:r w:rsidRPr="004D1B0D">
              <w:t>Term</w:t>
            </w:r>
          </w:p>
        </w:tc>
        <w:tc>
          <w:tcPr>
            <w:tcW w:w="8295" w:type="dxa"/>
          </w:tcPr>
          <w:p w14:paraId="05E8FC64" w14:textId="77777777" w:rsidR="00AE38D6" w:rsidRPr="004D1B0D" w:rsidRDefault="00AE38D6" w:rsidP="004D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1B0D">
              <w:t>Definition</w:t>
            </w:r>
          </w:p>
        </w:tc>
      </w:tr>
      <w:tr w:rsidR="00AE38D6" w:rsidRPr="004D1B0D" w14:paraId="376B2FC4" w14:textId="77777777" w:rsidTr="004D1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14:paraId="3B928F79" w14:textId="77777777" w:rsidR="00AE38D6" w:rsidRPr="004D1B0D" w:rsidRDefault="00AE38D6" w:rsidP="004D1B0D">
            <w:r w:rsidRPr="004D1B0D">
              <w:rPr>
                <w:lang w:val="en-US"/>
              </w:rPr>
              <w:t>Critical inquiry approach</w:t>
            </w:r>
          </w:p>
        </w:tc>
        <w:tc>
          <w:tcPr>
            <w:tcW w:w="8295" w:type="dxa"/>
          </w:tcPr>
          <w:p w14:paraId="0096E210" w14:textId="58AECE87" w:rsidR="00AE38D6" w:rsidRPr="004D1B0D" w:rsidRDefault="00AE38D6" w:rsidP="004D1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B0D">
              <w:rPr>
                <w:lang w:val="en-US"/>
              </w:rPr>
              <w:t xml:space="preserve">A method of teaching that requires students to gather and </w:t>
            </w:r>
            <w:proofErr w:type="spellStart"/>
            <w:r w:rsidRPr="004D1B0D">
              <w:rPr>
                <w:lang w:val="en-US"/>
              </w:rPr>
              <w:t>analyse</w:t>
            </w:r>
            <w:proofErr w:type="spellEnd"/>
            <w:r w:rsidRPr="004D1B0D">
              <w:rPr>
                <w:lang w:val="en-US"/>
              </w:rPr>
              <w:t xml:space="preserve"> information, ideas and assumptions from multiple sources and perspectives in order to form an understanding of the subject area and the influence on their own and others health, safety and wellbeing.</w:t>
            </w:r>
          </w:p>
        </w:tc>
      </w:tr>
      <w:tr w:rsidR="00AE38D6" w:rsidRPr="004D1B0D" w14:paraId="500A1EBA" w14:textId="77777777" w:rsidTr="004D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14:paraId="261455A3" w14:textId="77777777" w:rsidR="00AE38D6" w:rsidRPr="004D1B0D" w:rsidRDefault="00AE38D6" w:rsidP="004D1B0D">
            <w:pPr>
              <w:rPr>
                <w:lang w:val="en-US"/>
              </w:rPr>
            </w:pPr>
            <w:r w:rsidRPr="004D1B0D">
              <w:rPr>
                <w:lang w:val="en-US"/>
              </w:rPr>
              <w:t xml:space="preserve">Harm </w:t>
            </w:r>
            <w:proofErr w:type="spellStart"/>
            <w:r w:rsidRPr="004D1B0D">
              <w:rPr>
                <w:lang w:val="en-US"/>
              </w:rPr>
              <w:t>minimisation</w:t>
            </w:r>
            <w:proofErr w:type="spellEnd"/>
          </w:p>
        </w:tc>
        <w:tc>
          <w:tcPr>
            <w:tcW w:w="8295" w:type="dxa"/>
          </w:tcPr>
          <w:p w14:paraId="75260E93" w14:textId="4535F838" w:rsidR="00AE38D6" w:rsidRPr="004D1B0D" w:rsidRDefault="00AE38D6" w:rsidP="004D1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D1B0D">
              <w:rPr>
                <w:lang w:val="en-US"/>
              </w:rPr>
              <w:t xml:space="preserve">An approach that </w:t>
            </w:r>
            <w:proofErr w:type="spellStart"/>
            <w:r w:rsidRPr="004D1B0D">
              <w:rPr>
                <w:lang w:val="en-US"/>
              </w:rPr>
              <w:t>recognises</w:t>
            </w:r>
            <w:proofErr w:type="spellEnd"/>
            <w:r w:rsidRPr="004D1B0D">
              <w:rPr>
                <w:lang w:val="en-US"/>
              </w:rPr>
              <w:t xml:space="preserve"> drug use is a complex phenomenon that will never be entirely eliminated, and that people who use drugs should be supported to progressively reduce harm to themselves and the wider community.</w:t>
            </w:r>
          </w:p>
        </w:tc>
      </w:tr>
      <w:tr w:rsidR="00AE38D6" w:rsidRPr="004D1B0D" w14:paraId="06476E74" w14:textId="77777777" w:rsidTr="004D1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14:paraId="2F49B331" w14:textId="77777777" w:rsidR="00AE38D6" w:rsidRPr="004D1B0D" w:rsidRDefault="00AE38D6" w:rsidP="004D1B0D">
            <w:r w:rsidRPr="004D1B0D">
              <w:rPr>
                <w:lang w:val="en-US"/>
              </w:rPr>
              <w:t>Strengths based approach</w:t>
            </w:r>
          </w:p>
        </w:tc>
        <w:tc>
          <w:tcPr>
            <w:tcW w:w="8295" w:type="dxa"/>
          </w:tcPr>
          <w:p w14:paraId="396C2EAD" w14:textId="42805AC1" w:rsidR="00AE38D6" w:rsidRPr="004D1B0D" w:rsidRDefault="00AE38D6" w:rsidP="004D1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B0D">
              <w:rPr>
                <w:lang w:val="en-US"/>
              </w:rPr>
              <w:t xml:space="preserve">The method of assessing, teaching and designing activities in a way that matches the student’s abilities; </w:t>
            </w:r>
            <w:proofErr w:type="spellStart"/>
            <w:r w:rsidRPr="004D1B0D">
              <w:rPr>
                <w:lang w:val="en-US"/>
              </w:rPr>
              <w:t>recognising</w:t>
            </w:r>
            <w:proofErr w:type="spellEnd"/>
            <w:r w:rsidRPr="004D1B0D">
              <w:rPr>
                <w:lang w:val="en-US"/>
              </w:rPr>
              <w:t xml:space="preserve"> that when a student’s strengths are </w:t>
            </w:r>
            <w:proofErr w:type="spellStart"/>
            <w:r w:rsidRPr="004D1B0D">
              <w:rPr>
                <w:lang w:val="en-US"/>
              </w:rPr>
              <w:t>recognised</w:t>
            </w:r>
            <w:proofErr w:type="spellEnd"/>
            <w:r w:rsidRPr="004D1B0D">
              <w:rPr>
                <w:lang w:val="en-US"/>
              </w:rPr>
              <w:t xml:space="preserve">, </w:t>
            </w:r>
            <w:r w:rsidRPr="004D1B0D">
              <w:rPr>
                <w:lang w:val="en-US"/>
              </w:rPr>
              <w:lastRenderedPageBreak/>
              <w:t xml:space="preserve">their engagement with the content is </w:t>
            </w:r>
            <w:proofErr w:type="spellStart"/>
            <w:r w:rsidRPr="004D1B0D">
              <w:rPr>
                <w:lang w:val="en-US"/>
              </w:rPr>
              <w:t>maximised</w:t>
            </w:r>
            <w:proofErr w:type="spellEnd"/>
            <w:r w:rsidRPr="004D1B0D">
              <w:rPr>
                <w:lang w:val="en-US"/>
              </w:rPr>
              <w:t xml:space="preserve"> and their skills and knowledge develop in the most effective way possible.</w:t>
            </w:r>
          </w:p>
        </w:tc>
      </w:tr>
      <w:tr w:rsidR="00AE38D6" w:rsidRPr="004D1B0D" w14:paraId="1E91B471" w14:textId="77777777" w:rsidTr="004D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14:paraId="7D65162E" w14:textId="77777777" w:rsidR="00AE38D6" w:rsidRPr="004D1B0D" w:rsidRDefault="00AE38D6" w:rsidP="004D1B0D">
            <w:r w:rsidRPr="004D1B0D">
              <w:rPr>
                <w:lang w:val="en-US"/>
              </w:rPr>
              <w:lastRenderedPageBreak/>
              <w:t>Standard curriculum program</w:t>
            </w:r>
          </w:p>
        </w:tc>
        <w:tc>
          <w:tcPr>
            <w:tcW w:w="8295" w:type="dxa"/>
          </w:tcPr>
          <w:p w14:paraId="2A10CBD6" w14:textId="77777777" w:rsidR="00AE38D6" w:rsidRPr="004D1B0D" w:rsidRDefault="00AE38D6" w:rsidP="004D1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D1B0D">
              <w:rPr>
                <w:lang w:val="en-US"/>
              </w:rPr>
              <w:t>The provision of teaching and learning activities, instructional support and instructional materials for delivery of the following:</w:t>
            </w:r>
          </w:p>
          <w:p w14:paraId="6168A496" w14:textId="77777777" w:rsidR="00AE38D6" w:rsidRPr="00960494" w:rsidRDefault="00AE38D6" w:rsidP="00680466">
            <w:pPr>
              <w:pStyle w:val="ListParagraph"/>
              <w:numPr>
                <w:ilvl w:val="0"/>
                <w:numId w:val="21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960494">
              <w:rPr>
                <w:lang w:val="en-US"/>
              </w:rPr>
              <w:t>the Early Years Learning Framework</w:t>
            </w:r>
          </w:p>
          <w:p w14:paraId="067EF227" w14:textId="77777777" w:rsidR="00AE38D6" w:rsidRPr="00960494" w:rsidRDefault="00AE38D6" w:rsidP="00680466">
            <w:pPr>
              <w:pStyle w:val="ListParagraph"/>
              <w:numPr>
                <w:ilvl w:val="0"/>
                <w:numId w:val="21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960494">
              <w:rPr>
                <w:lang w:val="en-US"/>
              </w:rPr>
              <w:t>the Australian Curriculum</w:t>
            </w:r>
          </w:p>
          <w:p w14:paraId="4F1C659C" w14:textId="77777777" w:rsidR="00AE38D6" w:rsidRPr="00960494" w:rsidRDefault="00AE38D6" w:rsidP="00680466">
            <w:pPr>
              <w:pStyle w:val="ListParagraph"/>
              <w:numPr>
                <w:ilvl w:val="0"/>
                <w:numId w:val="21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960494">
              <w:rPr>
                <w:lang w:val="en-US"/>
              </w:rPr>
              <w:t>the senior secondary Northern Territory Certificate of Education and Training</w:t>
            </w:r>
          </w:p>
          <w:p w14:paraId="0F72E84B" w14:textId="77777777" w:rsidR="00AE38D6" w:rsidRPr="00960494" w:rsidRDefault="00AE38D6" w:rsidP="00680466">
            <w:pPr>
              <w:pStyle w:val="ListParagraph"/>
              <w:numPr>
                <w:ilvl w:val="0"/>
                <w:numId w:val="21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960494">
              <w:rPr>
                <w:lang w:val="en-US"/>
              </w:rPr>
              <w:t>Vocational Education and Training.</w:t>
            </w:r>
          </w:p>
          <w:p w14:paraId="464637D3" w14:textId="5B312F06" w:rsidR="00AE38D6" w:rsidRDefault="00AE38D6" w:rsidP="004D1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D1B0D">
              <w:rPr>
                <w:lang w:val="en-US"/>
              </w:rPr>
              <w:t>It also includes any materials, administration, services or facilities provided as part of the standard curriculum program.</w:t>
            </w:r>
          </w:p>
          <w:p w14:paraId="08E5CD67" w14:textId="77777777" w:rsidR="00960494" w:rsidRPr="004D1B0D" w:rsidRDefault="00960494" w:rsidP="004D1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0ED8646F" w14:textId="7DF28A8A" w:rsidR="00AE38D6" w:rsidRPr="004D1B0D" w:rsidRDefault="00AE38D6" w:rsidP="004D1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D1B0D">
              <w:rPr>
                <w:iCs/>
                <w:lang w:val="en-US"/>
              </w:rPr>
              <w:t>Please note:</w:t>
            </w:r>
            <w:r w:rsidR="00960494">
              <w:rPr>
                <w:iCs/>
                <w:lang w:val="en-US"/>
              </w:rPr>
              <w:t xml:space="preserve"> </w:t>
            </w:r>
            <w:r w:rsidRPr="004D1B0D">
              <w:rPr>
                <w:lang w:val="en-US"/>
              </w:rPr>
              <w:t>Northern Territory Police are willing to provide additional information regarding illicit drugs or alcohol issues if requested.</w:t>
            </w:r>
          </w:p>
        </w:tc>
      </w:tr>
    </w:tbl>
    <w:p w14:paraId="66763DFB" w14:textId="70C633CE" w:rsidR="00794A86" w:rsidRPr="00BE3144" w:rsidRDefault="00AE38D6">
      <w:pPr>
        <w:pStyle w:val="Heading1"/>
        <w:rPr>
          <w:lang w:val="en-US"/>
        </w:rPr>
      </w:pPr>
      <w:r>
        <w:rPr>
          <w:lang w:eastAsia="en-AU"/>
        </w:rPr>
        <w:t>Related policy and resources</w:t>
      </w:r>
    </w:p>
    <w:p w14:paraId="2D5C2D22" w14:textId="55FCAE27" w:rsidR="00972022" w:rsidRDefault="00972022" w:rsidP="00BB370F">
      <w:pPr>
        <w:pStyle w:val="ListParagraph"/>
        <w:numPr>
          <w:ilvl w:val="0"/>
          <w:numId w:val="22"/>
        </w:numPr>
      </w:pPr>
      <w:r>
        <w:t>Australian Curriculum</w:t>
      </w:r>
      <w:r w:rsidR="007B38C2">
        <w:t xml:space="preserve"> – </w:t>
      </w:r>
      <w:hyperlink r:id="rId9" w:history="1">
        <w:r w:rsidR="007B38C2" w:rsidRPr="00EB2B40">
          <w:rPr>
            <w:rStyle w:val="Hyperlink"/>
          </w:rPr>
          <w:t>https://v9.australiancurriculum.edu.au/</w:t>
        </w:r>
      </w:hyperlink>
    </w:p>
    <w:p w14:paraId="59B1E8AE" w14:textId="0D8FC8E8" w:rsidR="00827F45" w:rsidRDefault="00827F45" w:rsidP="00BB370F">
      <w:pPr>
        <w:pStyle w:val="ListParagraph"/>
        <w:numPr>
          <w:ilvl w:val="0"/>
          <w:numId w:val="22"/>
        </w:numPr>
      </w:pPr>
      <w:r>
        <w:t xml:space="preserve">Australian Curriculum – General capabilities – </w:t>
      </w:r>
      <w:hyperlink r:id="rId10" w:history="1">
        <w:r w:rsidRPr="00EB2B40">
          <w:rPr>
            <w:rStyle w:val="Hyperlink"/>
          </w:rPr>
          <w:t>https://v9.australiancurriculum.edu.au/f-10-curriculum/f-10-curriculum-overview/general-capabilities</w:t>
        </w:r>
      </w:hyperlink>
    </w:p>
    <w:p w14:paraId="310FC304" w14:textId="1D374D56" w:rsidR="007B38C2" w:rsidRDefault="007B38C2" w:rsidP="00BB370F">
      <w:pPr>
        <w:pStyle w:val="ListParagraph"/>
        <w:numPr>
          <w:ilvl w:val="0"/>
          <w:numId w:val="22"/>
        </w:numPr>
      </w:pPr>
      <w:r>
        <w:t xml:space="preserve">Australian Curriculum – </w:t>
      </w:r>
      <w:r w:rsidRPr="007B38C2">
        <w:t xml:space="preserve">Health and </w:t>
      </w:r>
      <w:r w:rsidR="004E6A4C">
        <w:t>p</w:t>
      </w:r>
      <w:r w:rsidRPr="007B38C2">
        <w:t xml:space="preserve">hysical </w:t>
      </w:r>
      <w:r w:rsidR="004E6A4C">
        <w:t>e</w:t>
      </w:r>
      <w:r w:rsidRPr="007B38C2">
        <w:t>ducation</w:t>
      </w:r>
      <w:r>
        <w:t xml:space="preserve"> – </w:t>
      </w:r>
      <w:hyperlink r:id="rId11" w:history="1">
        <w:r w:rsidRPr="00EB2B40">
          <w:rPr>
            <w:rStyle w:val="Hyperlink"/>
          </w:rPr>
          <w:t>https://v9.australiancurriculum.edu.au/f-10-curriculum.html/learning-areas/health-and-physical-education/foundation-year_year-1_year-2_year-3_year-4_year-5_year-6_year-7_year-8_year-9_year-10?view=quick&amp;detailed-content-descriptions=0&amp;side-by-side=1&amp;strands-start-index=0&amp;subjects-start-index=0&amp;hide-ccp=0&amp;hide-gc=0</w:t>
        </w:r>
      </w:hyperlink>
      <w:r>
        <w:t xml:space="preserve"> </w:t>
      </w:r>
    </w:p>
    <w:p w14:paraId="7405BC78" w14:textId="6E49355F" w:rsidR="00AE38D6" w:rsidRDefault="00AE38D6" w:rsidP="00BB370F">
      <w:pPr>
        <w:pStyle w:val="ListParagraph"/>
        <w:numPr>
          <w:ilvl w:val="0"/>
          <w:numId w:val="22"/>
        </w:numPr>
      </w:pPr>
      <w:r>
        <w:t xml:space="preserve">Drugs in </w:t>
      </w:r>
      <w:proofErr w:type="gramStart"/>
      <w:r>
        <w:t>schools</w:t>
      </w:r>
      <w:proofErr w:type="gramEnd"/>
      <w:r>
        <w:t xml:space="preserve"> policy – </w:t>
      </w:r>
      <w:hyperlink r:id="rId12" w:history="1">
        <w:r w:rsidRPr="00EB2B40">
          <w:rPr>
            <w:rStyle w:val="Hyperlink"/>
          </w:rPr>
          <w:t>https://education.nt.gov.au/policies/health-safety/drugs-in-schools</w:t>
        </w:r>
      </w:hyperlink>
    </w:p>
    <w:p w14:paraId="099174BA" w14:textId="37A0BF1E" w:rsidR="00B17C39" w:rsidRDefault="00B17C39" w:rsidP="00BB370F">
      <w:pPr>
        <w:pStyle w:val="ListParagraph"/>
        <w:numPr>
          <w:ilvl w:val="0"/>
          <w:numId w:val="22"/>
        </w:numPr>
      </w:pPr>
      <w:r>
        <w:t xml:space="preserve">eLearn – resources available to support teachers – </w:t>
      </w:r>
      <w:hyperlink r:id="rId13" w:history="1">
        <w:r w:rsidRPr="0020404E">
          <w:rPr>
            <w:rStyle w:val="Hyperlink"/>
          </w:rPr>
          <w:t>https://elearn.ntschools.net/</w:t>
        </w:r>
      </w:hyperlink>
    </w:p>
    <w:p w14:paraId="52A94E7B" w14:textId="55974B57" w:rsidR="00FA164D" w:rsidRDefault="00FA164D" w:rsidP="00BB370F">
      <w:pPr>
        <w:pStyle w:val="ListParagraph"/>
        <w:numPr>
          <w:ilvl w:val="0"/>
          <w:numId w:val="22"/>
        </w:numPr>
      </w:pPr>
      <w:r w:rsidRPr="00BB370F">
        <w:rPr>
          <w:lang w:val="en-US"/>
        </w:rPr>
        <w:t xml:space="preserve">External providers engaged for teaching and learning guidelines – </w:t>
      </w:r>
      <w:hyperlink r:id="rId14" w:history="1">
        <w:r w:rsidR="00F257BF" w:rsidRPr="00BB370F">
          <w:rPr>
            <w:rStyle w:val="Hyperlink"/>
            <w:lang w:val="en-US"/>
          </w:rPr>
          <w:t>https://education.nt.gov.au/policies/curriculum</w:t>
        </w:r>
      </w:hyperlink>
      <w:r w:rsidR="00F257BF" w:rsidRPr="00BB370F">
        <w:rPr>
          <w:lang w:val="en-US"/>
        </w:rPr>
        <w:t xml:space="preserve"> </w:t>
      </w:r>
    </w:p>
    <w:p w14:paraId="768D9593" w14:textId="0107338B" w:rsidR="00FA164D" w:rsidRDefault="00FA164D" w:rsidP="00BB370F">
      <w:pPr>
        <w:pStyle w:val="ListParagraph"/>
        <w:numPr>
          <w:ilvl w:val="0"/>
          <w:numId w:val="22"/>
        </w:numPr>
      </w:pPr>
      <w:r w:rsidRPr="00BB370F">
        <w:rPr>
          <w:lang w:val="en-US"/>
        </w:rPr>
        <w:t xml:space="preserve">Management of drug related incidents in </w:t>
      </w:r>
      <w:proofErr w:type="gramStart"/>
      <w:r w:rsidRPr="00BB370F">
        <w:rPr>
          <w:lang w:val="en-US"/>
        </w:rPr>
        <w:t>schools</w:t>
      </w:r>
      <w:proofErr w:type="gramEnd"/>
      <w:r w:rsidRPr="00BB370F">
        <w:rPr>
          <w:lang w:val="en-US"/>
        </w:rPr>
        <w:t xml:space="preserve"> guidelines – </w:t>
      </w:r>
      <w:hyperlink r:id="rId15" w:history="1">
        <w:r w:rsidRPr="00EB2B40">
          <w:rPr>
            <w:rStyle w:val="Hyperlink"/>
          </w:rPr>
          <w:t>https://education.nt.gov.au/policies/health-safety/drugs-in-schools</w:t>
        </w:r>
      </w:hyperlink>
    </w:p>
    <w:p w14:paraId="4D4A3BAB" w14:textId="6A4BF4B8" w:rsidR="000B6644" w:rsidRDefault="000B6644">
      <w:r>
        <w:br w:type="page"/>
      </w: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FE6961" w:rsidRPr="00BE3144" w14:paraId="6F3D6CB0" w14:textId="77777777" w:rsidTr="00CC7AF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7C5908BD" w14:textId="77777777" w:rsidR="00FE6961" w:rsidRPr="00BE3144" w:rsidRDefault="00FE6961" w:rsidP="00BE3144">
            <w:pPr>
              <w:rPr>
                <w:b/>
              </w:rPr>
            </w:pPr>
            <w:r w:rsidRPr="00BE3144">
              <w:rPr>
                <w:b/>
              </w:rPr>
              <w:lastRenderedPageBreak/>
              <w:t>Document title</w:t>
            </w:r>
          </w:p>
        </w:tc>
        <w:tc>
          <w:tcPr>
            <w:tcW w:w="7938" w:type="dxa"/>
          </w:tcPr>
          <w:p w14:paraId="7EB134A4" w14:textId="720832B7" w:rsidR="00FE6961" w:rsidRPr="00BE3144" w:rsidRDefault="00D466E9" w:rsidP="00BE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C80FD128FE394BF49084A20D3B1753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BE3144" w:rsidRPr="00BE3144">
                  <w:t>Drug education – guidelines</w:t>
                </w:r>
              </w:sdtContent>
            </w:sdt>
          </w:p>
        </w:tc>
      </w:tr>
      <w:tr w:rsidR="00FE6961" w:rsidRPr="00BE3144" w14:paraId="27F7BE43" w14:textId="77777777" w:rsidTr="00CC7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27F988C" w14:textId="11AE759E" w:rsidR="00FE6961" w:rsidRPr="00BE3144" w:rsidRDefault="00FE6961" w:rsidP="00BE3144">
            <w:pPr>
              <w:rPr>
                <w:b/>
              </w:rPr>
            </w:pPr>
            <w:r w:rsidRPr="00BE3144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140BE909" w14:textId="7EF82177" w:rsidR="00FE6961" w:rsidRPr="00BE3144" w:rsidRDefault="000B6644" w:rsidP="00BE3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Inclusion and Engagement Services, </w:t>
            </w:r>
            <w:r w:rsidRPr="00167666">
              <w:t>Student Wellbeing and Inclusion Programs and Services</w:t>
            </w:r>
            <w:r>
              <w:t xml:space="preserve">, </w:t>
            </w:r>
            <w:hyperlink r:id="rId16" w:history="1">
              <w:r w:rsidRPr="003C2C75">
                <w:rPr>
                  <w:rStyle w:val="Hyperlink"/>
                </w:rPr>
                <w:t>swipolicy.doe@education.nt.gov.au</w:t>
              </w:r>
            </w:hyperlink>
          </w:p>
        </w:tc>
      </w:tr>
      <w:tr w:rsidR="00FE6961" w:rsidRPr="00BE3144" w14:paraId="3C163E31" w14:textId="77777777" w:rsidTr="00CC7AF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664AC876" w14:textId="77777777" w:rsidR="00FE6961" w:rsidRPr="00BE3144" w:rsidRDefault="00FE6961" w:rsidP="00BE3144">
            <w:pPr>
              <w:rPr>
                <w:b/>
              </w:rPr>
            </w:pPr>
            <w:r w:rsidRPr="00BE3144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5DF93294" w14:textId="7E405530" w:rsidR="00FE6961" w:rsidRPr="00BE3144" w:rsidRDefault="00D0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144">
              <w:t>Executive Director Inclusion and Engagement Services</w:t>
            </w:r>
          </w:p>
        </w:tc>
      </w:tr>
      <w:tr w:rsidR="00FE6961" w:rsidRPr="00BE3144" w14:paraId="2A32EDB2" w14:textId="77777777" w:rsidTr="00CC7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C5CC341" w14:textId="77777777" w:rsidR="00FE6961" w:rsidRPr="00BE3144" w:rsidRDefault="00FE6961" w:rsidP="00BE3144">
            <w:pPr>
              <w:rPr>
                <w:b/>
              </w:rPr>
            </w:pPr>
            <w:r w:rsidRPr="00BE3144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4DBB6C34" w14:textId="3856E3D8" w:rsidR="00FE6961" w:rsidRPr="00BE3144" w:rsidRDefault="00D466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  <w:r w:rsidR="005B7E20">
              <w:t xml:space="preserve"> July 2023</w:t>
            </w:r>
          </w:p>
        </w:tc>
      </w:tr>
      <w:tr w:rsidR="00FE6961" w:rsidRPr="00BE3144" w14:paraId="1A2865A3" w14:textId="77777777" w:rsidTr="0083004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3E04EF3" w14:textId="77777777" w:rsidR="00FE6961" w:rsidRPr="00BE3144" w:rsidRDefault="00FE6961" w:rsidP="00BE3144">
            <w:pPr>
              <w:rPr>
                <w:b/>
              </w:rPr>
            </w:pPr>
            <w:r w:rsidRPr="00BE3144">
              <w:rPr>
                <w:b/>
              </w:rPr>
              <w:t>TRM number</w:t>
            </w:r>
          </w:p>
        </w:tc>
        <w:tc>
          <w:tcPr>
            <w:tcW w:w="7938" w:type="dxa"/>
          </w:tcPr>
          <w:p w14:paraId="4F4160B8" w14:textId="06AA9972" w:rsidR="00FE6961" w:rsidRPr="00BE3144" w:rsidRDefault="00ED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E3144">
              <w:t>50:D</w:t>
            </w:r>
            <w:proofErr w:type="gramEnd"/>
            <w:r w:rsidRPr="00BE3144">
              <w:t>22:100759</w:t>
            </w:r>
          </w:p>
        </w:tc>
      </w:tr>
    </w:tbl>
    <w:p w14:paraId="3CD4FD02" w14:textId="63B499DB" w:rsidR="00FE6961" w:rsidRPr="00BE3144" w:rsidRDefault="00FE6961" w:rsidP="00BE3144">
      <w:pPr>
        <w:rPr>
          <w:lang w:eastAsia="en-AU"/>
        </w:rPr>
      </w:pPr>
    </w:p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FE6961" w:rsidRPr="00BE3144" w14:paraId="6DD0CB40" w14:textId="77777777" w:rsidTr="00CC7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6CE2E95D" w14:textId="77777777" w:rsidR="00FE6961" w:rsidRPr="00BE3144" w:rsidRDefault="00FE6961">
            <w:r w:rsidRPr="00BE3144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581F931D" w14:textId="77777777" w:rsidR="00FE6961" w:rsidRPr="00BE3144" w:rsidRDefault="00FE6961">
            <w:r w:rsidRPr="00BE3144">
              <w:rPr>
                <w:w w:val="105"/>
              </w:rPr>
              <w:t>Date</w:t>
            </w:r>
          </w:p>
        </w:tc>
        <w:tc>
          <w:tcPr>
            <w:tcW w:w="2552" w:type="dxa"/>
          </w:tcPr>
          <w:p w14:paraId="4E5BA2F7" w14:textId="77777777" w:rsidR="00FE6961" w:rsidRPr="00BE3144" w:rsidRDefault="00FE6961">
            <w:r w:rsidRPr="00BE3144">
              <w:rPr>
                <w:w w:val="105"/>
              </w:rPr>
              <w:t>Author</w:t>
            </w:r>
          </w:p>
        </w:tc>
        <w:tc>
          <w:tcPr>
            <w:tcW w:w="4394" w:type="dxa"/>
          </w:tcPr>
          <w:p w14:paraId="2C87B8FF" w14:textId="77777777" w:rsidR="00FE6961" w:rsidRPr="00BE3144" w:rsidRDefault="00FE6961">
            <w:r w:rsidRPr="00BE3144">
              <w:t>Changes made</w:t>
            </w:r>
          </w:p>
        </w:tc>
      </w:tr>
      <w:tr w:rsidR="00FE6961" w:rsidRPr="00BE3144" w14:paraId="11E5427B" w14:textId="77777777" w:rsidTr="00BE3144">
        <w:trPr>
          <w:trHeight w:val="431"/>
        </w:trPr>
        <w:tc>
          <w:tcPr>
            <w:tcW w:w="1129" w:type="dxa"/>
            <w:tcBorders>
              <w:bottom w:val="nil"/>
            </w:tcBorders>
          </w:tcPr>
          <w:p w14:paraId="7E12546D" w14:textId="524DC677" w:rsidR="00FE6961" w:rsidRPr="00BE3144" w:rsidRDefault="00794A86" w:rsidP="00BE3144">
            <w:r w:rsidRPr="00BE3144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14:paraId="203DD54E" w14:textId="71F49C5D" w:rsidR="00FE6961" w:rsidRPr="00BE3144" w:rsidRDefault="00794A86">
            <w:r w:rsidRPr="00BE3144">
              <w:t>20 September 2017</w:t>
            </w:r>
          </w:p>
        </w:tc>
        <w:tc>
          <w:tcPr>
            <w:tcW w:w="2552" w:type="dxa"/>
            <w:tcBorders>
              <w:bottom w:val="nil"/>
            </w:tcBorders>
          </w:tcPr>
          <w:p w14:paraId="7F2CE6FA" w14:textId="1808EEEC" w:rsidR="00FE6961" w:rsidRPr="00BE3144" w:rsidRDefault="00794A86">
            <w:r w:rsidRPr="00BE3144">
              <w:t>Student Wellbeing and Inclusion</w:t>
            </w:r>
          </w:p>
        </w:tc>
        <w:tc>
          <w:tcPr>
            <w:tcW w:w="4394" w:type="dxa"/>
            <w:tcBorders>
              <w:bottom w:val="nil"/>
            </w:tcBorders>
          </w:tcPr>
          <w:p w14:paraId="5BE10962" w14:textId="77777777" w:rsidR="00D026B3" w:rsidRPr="00BE3144" w:rsidRDefault="00794A86">
            <w:r w:rsidRPr="00BE3144">
              <w:t>FILE2017/1038</w:t>
            </w:r>
          </w:p>
          <w:p w14:paraId="78A5F642" w14:textId="33B90427" w:rsidR="00FE6961" w:rsidRPr="00BE3144" w:rsidRDefault="00794A86">
            <w:r w:rsidRPr="00BE3144">
              <w:t>EDOC 2017/59234</w:t>
            </w:r>
          </w:p>
        </w:tc>
      </w:tr>
      <w:tr w:rsidR="00FE6961" w:rsidRPr="00BE3144" w14:paraId="1CB1E496" w14:textId="77777777" w:rsidTr="00BE3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23342FF1" w14:textId="4B9E8129" w:rsidR="00FE6961" w:rsidRPr="00BE3144" w:rsidRDefault="00794A86" w:rsidP="00BE3144">
            <w:r w:rsidRPr="00BE3144">
              <w:t>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20006D" w14:textId="1028BE48" w:rsidR="00FE6961" w:rsidRPr="00BE3144" w:rsidRDefault="00FE6961"/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7ABD2132" w14:textId="5DDB02FC" w:rsidR="00FE6961" w:rsidRPr="00BE3144" w:rsidRDefault="00794A86">
            <w:r w:rsidRPr="00BE3144">
              <w:t>Student Wellbeing and Inclusion Programs and Services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14:paraId="44AF85EE" w14:textId="061880F0" w:rsidR="00FE6961" w:rsidRPr="00BE3144" w:rsidRDefault="00D026B3">
            <w:r w:rsidRPr="00BE3144">
              <w:t>Administrative amendments to align roles and responsibilities to the structural alignment in effect from 1 July 2022, including NTG template and minor formatting</w:t>
            </w:r>
          </w:p>
        </w:tc>
      </w:tr>
    </w:tbl>
    <w:p w14:paraId="6FD1F932" w14:textId="77777777" w:rsidR="00FE6961" w:rsidRPr="00BE3144" w:rsidRDefault="00FE6961">
      <w:pPr>
        <w:rPr>
          <w:lang w:eastAsia="en-AU"/>
        </w:rPr>
      </w:pPr>
      <w:bookmarkStart w:id="0" w:name="_GoBack"/>
      <w:bookmarkEnd w:id="0"/>
    </w:p>
    <w:sectPr w:rsidR="00FE6961" w:rsidRPr="00BE3144" w:rsidSect="00A567EE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8059" w14:textId="77777777" w:rsidR="007374C1" w:rsidRDefault="007374C1" w:rsidP="007332FF">
      <w:r>
        <w:separator/>
      </w:r>
    </w:p>
  </w:endnote>
  <w:endnote w:type="continuationSeparator" w:id="0">
    <w:p w14:paraId="41716E59" w14:textId="77777777" w:rsidR="007374C1" w:rsidRDefault="007374C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B079" w14:textId="1C4B708E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3B595795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546ECE20" w14:textId="77777777" w:rsidR="00BE3144" w:rsidRDefault="00BE3144" w:rsidP="00BE3144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Pr="00E16739">
            <w:rPr>
              <w:rStyle w:val="PageNumber"/>
              <w:b/>
            </w:rPr>
            <w:t>Education</w:t>
          </w:r>
          <w:r>
            <w:rPr>
              <w:rStyle w:val="PageNumber"/>
            </w:rPr>
            <w:t xml:space="preserve"> – Drugs in schools</w:t>
          </w:r>
        </w:p>
        <w:p w14:paraId="65852D92" w14:textId="0000502F" w:rsidR="00D47DC7" w:rsidRPr="00CE6614" w:rsidRDefault="00F506EF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5B7E20">
            <w:rPr>
              <w:rStyle w:val="PageNumber"/>
            </w:rPr>
            <w:t>July 2023</w:t>
          </w:r>
        </w:p>
        <w:p w14:paraId="41322244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D81B08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E707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148F63B3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222A3F1F" w14:textId="77777777" w:rsidR="005B7E20" w:rsidRDefault="00BE3144" w:rsidP="005B7E20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r w:rsidRPr="00E16739">
            <w:rPr>
              <w:rStyle w:val="PageNumber"/>
              <w:b/>
            </w:rPr>
            <w:t>Education</w:t>
          </w:r>
          <w:r>
            <w:rPr>
              <w:rStyle w:val="PageNumber"/>
            </w:rPr>
            <w:t xml:space="preserve"> – Drugs in schools</w:t>
          </w:r>
        </w:p>
        <w:p w14:paraId="053DC9B5" w14:textId="134E668A" w:rsidR="005B7E20" w:rsidRDefault="005B7E20" w:rsidP="005B7E20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July 2023</w:t>
          </w:r>
        </w:p>
        <w:p w14:paraId="75830743" w14:textId="0C1E660D" w:rsidR="0071700C" w:rsidRPr="00CE30CF" w:rsidRDefault="00D47DC7" w:rsidP="005B7E20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D464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D464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3EBA850F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423D2A4" wp14:editId="5D54B3BF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BF075EF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B03C" w14:textId="77777777" w:rsidR="007374C1" w:rsidRDefault="007374C1" w:rsidP="007332FF">
      <w:r>
        <w:separator/>
      </w:r>
    </w:p>
  </w:footnote>
  <w:footnote w:type="continuationSeparator" w:id="0">
    <w:p w14:paraId="2093DCE2" w14:textId="77777777" w:rsidR="007374C1" w:rsidRDefault="007374C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1FBD" w14:textId="7CF61BBD" w:rsidR="00983000" w:rsidRPr="00162207" w:rsidRDefault="00D466E9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3144">
          <w:t>Drug education –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7D77973C" w14:textId="08931714" w:rsidR="00E54F9E" w:rsidRDefault="00BE3144" w:rsidP="00435082">
        <w:pPr>
          <w:pStyle w:val="Title"/>
        </w:pPr>
        <w:r>
          <w:rPr>
            <w:rStyle w:val="TitleChar"/>
          </w:rPr>
          <w:t>Drug education – guidelines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228"/>
    <w:multiLevelType w:val="hybridMultilevel"/>
    <w:tmpl w:val="DE10B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28B"/>
    <w:multiLevelType w:val="hybridMultilevel"/>
    <w:tmpl w:val="5F04AC4C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B8F2079"/>
    <w:multiLevelType w:val="hybridMultilevel"/>
    <w:tmpl w:val="026C5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3D9C"/>
    <w:multiLevelType w:val="hybridMultilevel"/>
    <w:tmpl w:val="BF12D16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48018B0"/>
    <w:multiLevelType w:val="hybridMultilevel"/>
    <w:tmpl w:val="713C75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A34F3B"/>
    <w:multiLevelType w:val="hybridMultilevel"/>
    <w:tmpl w:val="98DCA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90C6416"/>
    <w:multiLevelType w:val="hybridMultilevel"/>
    <w:tmpl w:val="BA2A78E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8" w15:restartNumberingAfterBreak="0">
    <w:nsid w:val="3DCA40F1"/>
    <w:multiLevelType w:val="hybridMultilevel"/>
    <w:tmpl w:val="60D2F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10DE9"/>
    <w:multiLevelType w:val="hybridMultilevel"/>
    <w:tmpl w:val="B17C9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1" w15:restartNumberingAfterBreak="0">
    <w:nsid w:val="4AD20FC2"/>
    <w:multiLevelType w:val="hybridMultilevel"/>
    <w:tmpl w:val="80D039AC"/>
    <w:lvl w:ilvl="0" w:tplc="8430949A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671C6FB0"/>
    <w:multiLevelType w:val="hybridMultilevel"/>
    <w:tmpl w:val="F9A4AFB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2" w15:restartNumberingAfterBreak="0">
    <w:nsid w:val="69AA74ED"/>
    <w:multiLevelType w:val="hybridMultilevel"/>
    <w:tmpl w:val="5E182FB0"/>
    <w:lvl w:ilvl="0" w:tplc="8430949A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D40F3"/>
    <w:multiLevelType w:val="hybridMultilevel"/>
    <w:tmpl w:val="C0BA35B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DAA3C25"/>
    <w:multiLevelType w:val="hybridMultilevel"/>
    <w:tmpl w:val="1A487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6"/>
  </w:num>
  <w:num w:numId="3">
    <w:abstractNumId w:val="46"/>
  </w:num>
  <w:num w:numId="4">
    <w:abstractNumId w:val="32"/>
  </w:num>
  <w:num w:numId="5">
    <w:abstractNumId w:val="22"/>
  </w:num>
  <w:num w:numId="6">
    <w:abstractNumId w:val="12"/>
  </w:num>
  <w:num w:numId="7">
    <w:abstractNumId w:val="34"/>
  </w:num>
  <w:num w:numId="8">
    <w:abstractNumId w:val="20"/>
  </w:num>
  <w:num w:numId="9">
    <w:abstractNumId w:val="21"/>
  </w:num>
  <w:num w:numId="10">
    <w:abstractNumId w:val="1"/>
  </w:num>
  <w:num w:numId="11">
    <w:abstractNumId w:val="4"/>
  </w:num>
  <w:num w:numId="12">
    <w:abstractNumId w:val="40"/>
  </w:num>
  <w:num w:numId="13">
    <w:abstractNumId w:val="43"/>
  </w:num>
  <w:num w:numId="14">
    <w:abstractNumId w:val="47"/>
  </w:num>
  <w:num w:numId="15">
    <w:abstractNumId w:val="8"/>
  </w:num>
  <w:num w:numId="16">
    <w:abstractNumId w:val="3"/>
  </w:num>
  <w:num w:numId="17">
    <w:abstractNumId w:val="0"/>
  </w:num>
  <w:num w:numId="18">
    <w:abstractNumId w:val="42"/>
  </w:num>
  <w:num w:numId="19">
    <w:abstractNumId w:val="31"/>
  </w:num>
  <w:num w:numId="20">
    <w:abstractNumId w:val="29"/>
  </w:num>
  <w:num w:numId="21">
    <w:abstractNumId w:val="28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hideSpellingErrors/>
  <w:hideGrammaticalErrors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61"/>
    <w:rsid w:val="00001DDF"/>
    <w:rsid w:val="0000322D"/>
    <w:rsid w:val="00007670"/>
    <w:rsid w:val="00010665"/>
    <w:rsid w:val="0002393A"/>
    <w:rsid w:val="0002526F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5EEF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B6644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45318"/>
    <w:rsid w:val="00150DC0"/>
    <w:rsid w:val="0015394D"/>
    <w:rsid w:val="00156CD4"/>
    <w:rsid w:val="0016153B"/>
    <w:rsid w:val="00162207"/>
    <w:rsid w:val="00164A3E"/>
    <w:rsid w:val="00166FF6"/>
    <w:rsid w:val="00176123"/>
    <w:rsid w:val="00177C57"/>
    <w:rsid w:val="00181620"/>
    <w:rsid w:val="00187130"/>
    <w:rsid w:val="00187A4C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15A0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B4D"/>
    <w:rsid w:val="0031340C"/>
    <w:rsid w:val="003164BA"/>
    <w:rsid w:val="003173EB"/>
    <w:rsid w:val="003258E6"/>
    <w:rsid w:val="00342283"/>
    <w:rsid w:val="00343A87"/>
    <w:rsid w:val="00344A36"/>
    <w:rsid w:val="003456F4"/>
    <w:rsid w:val="00347FB6"/>
    <w:rsid w:val="003504FD"/>
    <w:rsid w:val="00350881"/>
    <w:rsid w:val="00356F27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3F5D4F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45497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65A2"/>
    <w:rsid w:val="004E6A4C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5623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5BB4"/>
    <w:rsid w:val="005B7E20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0466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74C1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4A86"/>
    <w:rsid w:val="00796461"/>
    <w:rsid w:val="00796662"/>
    <w:rsid w:val="007A6A4F"/>
    <w:rsid w:val="007B03F5"/>
    <w:rsid w:val="007B0506"/>
    <w:rsid w:val="007B38C2"/>
    <w:rsid w:val="007B5C09"/>
    <w:rsid w:val="007B5DA2"/>
    <w:rsid w:val="007C0966"/>
    <w:rsid w:val="007C19E7"/>
    <w:rsid w:val="007C5CFD"/>
    <w:rsid w:val="007C6D9F"/>
    <w:rsid w:val="007D3949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790F"/>
    <w:rsid w:val="00827F45"/>
    <w:rsid w:val="00830040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873BC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6703"/>
    <w:rsid w:val="009444F0"/>
    <w:rsid w:val="009468BC"/>
    <w:rsid w:val="00947FAE"/>
    <w:rsid w:val="00960494"/>
    <w:rsid w:val="009616DF"/>
    <w:rsid w:val="0096542F"/>
    <w:rsid w:val="00967FA7"/>
    <w:rsid w:val="00971645"/>
    <w:rsid w:val="00972022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18CF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3BA7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023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E38D6"/>
    <w:rsid w:val="00AF28C1"/>
    <w:rsid w:val="00B02EF1"/>
    <w:rsid w:val="00B07C97"/>
    <w:rsid w:val="00B11C67"/>
    <w:rsid w:val="00B14257"/>
    <w:rsid w:val="00B15754"/>
    <w:rsid w:val="00B16002"/>
    <w:rsid w:val="00B17C39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370F"/>
    <w:rsid w:val="00BB4CED"/>
    <w:rsid w:val="00BB6464"/>
    <w:rsid w:val="00BC1BB8"/>
    <w:rsid w:val="00BD7FE1"/>
    <w:rsid w:val="00BE3144"/>
    <w:rsid w:val="00BE37CA"/>
    <w:rsid w:val="00BE6144"/>
    <w:rsid w:val="00BE635A"/>
    <w:rsid w:val="00BF17E9"/>
    <w:rsid w:val="00BF2ABB"/>
    <w:rsid w:val="00BF5099"/>
    <w:rsid w:val="00BF5AF8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8795C"/>
    <w:rsid w:val="00C92B4C"/>
    <w:rsid w:val="00C954F6"/>
    <w:rsid w:val="00CA36A0"/>
    <w:rsid w:val="00CA6BC5"/>
    <w:rsid w:val="00CC3FB9"/>
    <w:rsid w:val="00CC571B"/>
    <w:rsid w:val="00CC61CD"/>
    <w:rsid w:val="00CC6C02"/>
    <w:rsid w:val="00CC737B"/>
    <w:rsid w:val="00CD5011"/>
    <w:rsid w:val="00CE640F"/>
    <w:rsid w:val="00CE76BC"/>
    <w:rsid w:val="00CF540E"/>
    <w:rsid w:val="00D026B3"/>
    <w:rsid w:val="00D02F07"/>
    <w:rsid w:val="00D15D88"/>
    <w:rsid w:val="00D27D49"/>
    <w:rsid w:val="00D27EBE"/>
    <w:rsid w:val="00D36A49"/>
    <w:rsid w:val="00D466E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3FE3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34D9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D740F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051"/>
    <w:rsid w:val="00F257BF"/>
    <w:rsid w:val="00F30AE1"/>
    <w:rsid w:val="00F506EF"/>
    <w:rsid w:val="00F5696E"/>
    <w:rsid w:val="00F60EFF"/>
    <w:rsid w:val="00F67D2D"/>
    <w:rsid w:val="00F80D4D"/>
    <w:rsid w:val="00F858F2"/>
    <w:rsid w:val="00F860CC"/>
    <w:rsid w:val="00F94398"/>
    <w:rsid w:val="00FA164D"/>
    <w:rsid w:val="00FA4396"/>
    <w:rsid w:val="00FB2B56"/>
    <w:rsid w:val="00FB55D5"/>
    <w:rsid w:val="00FB7503"/>
    <w:rsid w:val="00FC12BF"/>
    <w:rsid w:val="00FC2C60"/>
    <w:rsid w:val="00FD3E6F"/>
    <w:rsid w:val="00FD51B9"/>
    <w:rsid w:val="00FD5849"/>
    <w:rsid w:val="00FE03E4"/>
    <w:rsid w:val="00FE2A39"/>
    <w:rsid w:val="00FE6961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1D4A3D"/>
  <w15:docId w15:val="{EBC8147E-BD42-473C-8220-2D09E22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 1"/>
    <w:basedOn w:val="TableNormal"/>
    <w:uiPriority w:val="99"/>
    <w:rsid w:val="00FE6961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0040"/>
    <w:rPr>
      <w:color w:val="8C4799" w:themeColor="followedHyperlink"/>
      <w:u w:val="single"/>
    </w:rPr>
  </w:style>
  <w:style w:type="paragraph" w:customStyle="1" w:styleId="HeaderText">
    <w:name w:val="Header Text"/>
    <w:basedOn w:val="Normal"/>
    <w:rsid w:val="00794A86"/>
    <w:pPr>
      <w:autoSpaceDE w:val="0"/>
      <w:autoSpaceDN w:val="0"/>
      <w:adjustRightInd w:val="0"/>
      <w:spacing w:after="0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policyheading">
    <w:name w:val="policy heading"/>
    <w:basedOn w:val="Normal"/>
    <w:rsid w:val="00794A86"/>
    <w:pPr>
      <w:tabs>
        <w:tab w:val="left" w:pos="2880"/>
        <w:tab w:val="left" w:pos="3600"/>
      </w:tabs>
      <w:spacing w:before="240" w:after="0"/>
      <w:ind w:left="2260" w:hanging="2268"/>
    </w:pPr>
    <w:rPr>
      <w:rFonts w:ascii="Bookman" w:eastAsia="Times New Roman" w:hAnsi="Book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794A86"/>
    <w:pPr>
      <w:widowControl w:val="0"/>
      <w:spacing w:after="0"/>
    </w:pPr>
    <w:rPr>
      <w:rFonts w:asciiTheme="minorHAnsi" w:eastAsiaTheme="minorHAnsi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26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0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D4D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4D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6644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earn.ntschools.ne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ducation.nt.gov.au/policies/health-safety/drugs-in-school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wipolicy.doe@education.nt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9.australiancurriculum.edu.au/f-10-curriculum.html/learning-areas/health-and-physical-education/foundation-year_year-1_year-2_year-3_year-4_year-5_year-6_year-7_year-8_year-9_year-10?view=quick&amp;detailed-content-descriptions=0&amp;side-by-side=1&amp;strands-start-index=0&amp;subjects-start-index=0&amp;hide-ccp=0&amp;hide-gc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cation.nt.gov.au/policies/health-safety/drugs-in-schoo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9.australiancurriculum.edu.au/f-10-curriculum/f-10-curriculum-overview/general-capabilitie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v9.australiancurriculum.edu.au/" TargetMode="External"/><Relationship Id="rId14" Type="http://schemas.openxmlformats.org/officeDocument/2006/relationships/hyperlink" Target="https://education.nt.gov.au/policies/curriculum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ie.devine\Downloads\ntg-short-portrai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0FD128FE394BF49084A20D3B17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2DC3-ADC5-4D6E-9631-83DB0DC4D385}"/>
      </w:docPartPr>
      <w:docPartBody>
        <w:p w:rsidR="00695AF6" w:rsidRDefault="00F870CB" w:rsidP="00F870CB">
          <w:pPr>
            <w:pStyle w:val="C80FD128FE394BF49084A20D3B17530B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CB"/>
    <w:rsid w:val="00055A27"/>
    <w:rsid w:val="00312217"/>
    <w:rsid w:val="004A2623"/>
    <w:rsid w:val="004B5DE5"/>
    <w:rsid w:val="005F3398"/>
    <w:rsid w:val="00695AF6"/>
    <w:rsid w:val="006A5206"/>
    <w:rsid w:val="009223A3"/>
    <w:rsid w:val="00973EBD"/>
    <w:rsid w:val="00A209FE"/>
    <w:rsid w:val="00EB02EE"/>
    <w:rsid w:val="00F30FA4"/>
    <w:rsid w:val="00F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0CB"/>
    <w:rPr>
      <w:color w:val="808080"/>
    </w:rPr>
  </w:style>
  <w:style w:type="paragraph" w:customStyle="1" w:styleId="C80FD128FE394BF49084A20D3B17530B">
    <w:name w:val="C80FD128FE394BF49084A20D3B17530B"/>
    <w:rsid w:val="00F87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Published month year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25EE8B-BB62-4075-9B3F-C2EE6DB4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ntg-short-portrait-template.dotx</Template>
  <TotalTime>0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education – guidelines</vt:lpstr>
    </vt:vector>
  </TitlesOfParts>
  <Company>Education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education – guidelines</dc:title>
  <dc:creator>Northern Territory Government</dc:creator>
  <cp:lastModifiedBy>Jessica Lai</cp:lastModifiedBy>
  <cp:revision>3</cp:revision>
  <cp:lastPrinted>2023-03-16T23:52:00Z</cp:lastPrinted>
  <dcterms:created xsi:type="dcterms:W3CDTF">2023-07-05T01:25:00Z</dcterms:created>
  <dcterms:modified xsi:type="dcterms:W3CDTF">2023-07-10T23:22:00Z</dcterms:modified>
</cp:coreProperties>
</file>